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1B2C3BE2" w:rsidR="00920AA8" w:rsidRPr="0099725E" w:rsidRDefault="00152975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152975">
        <w:rPr>
          <w:rFonts w:asciiTheme="minorHAnsi" w:hAnsiTheme="minorHAnsi" w:cstheme="minorHAnsi"/>
          <w:b/>
          <w:w w:val="105"/>
        </w:rPr>
        <w:t>PORTARIA PRES Nº 143, DE 5 DE ABRIL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51288590" w:rsidR="00920AA8" w:rsidRPr="0099725E" w:rsidRDefault="00152975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152975">
        <w:rPr>
          <w:rFonts w:asciiTheme="minorHAnsi" w:hAnsiTheme="minorHAnsi" w:cstheme="minorHAnsi"/>
          <w:w w:val="105"/>
        </w:rPr>
        <w:t>Designa gestor e fiscal do Contrato nº 37/2015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5345818B" w14:textId="74DFDFF4" w:rsidR="00DA3C93" w:rsidRDefault="00152975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152975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e o art. 70 do Regimento Geral aprovado pela Resolução CAU/BR nº 33, de 6 de setembro de 2012, e tendo em vista a solicitação contida no Protocolo SICCAU nº 268576/2015;</w:t>
      </w:r>
    </w:p>
    <w:p w14:paraId="0EF2DAA4" w14:textId="77777777" w:rsidR="002C06BE" w:rsidRPr="0099725E" w:rsidRDefault="002C06BE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5A78B96B" w14:textId="63670C34" w:rsidR="00152975" w:rsidRPr="00152975" w:rsidRDefault="00152975" w:rsidP="001529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152975">
        <w:rPr>
          <w:rFonts w:asciiTheme="minorHAnsi" w:eastAsia="Times New Roman" w:hAnsiTheme="minorHAnsi" w:cstheme="minorHAnsi"/>
          <w:lang w:eastAsia="pt-BR"/>
        </w:rPr>
        <w:t xml:space="preserve">Art. 1° Designar, para exercer as atribuições relativas à fiscalização do Contrato de Prestação de Serviços nº 37/2015 (Processo nº 295/2015), firmado entre o Conselho de Arquitetura e Urbanismo do Brasil (CAU/BR) e o Arquiteto e Urbanista WILSON RIBEIRO DOS SANTOS JUNIOR, a Analista Técnica de Órgãos Colegiados, ANA LATERZA, em substituição à Analista Técnica de Órgãos Colegiados, DANIELE DE CÁSSIA GONDEK, </w:t>
      </w:r>
      <w:r>
        <w:rPr>
          <w:rFonts w:asciiTheme="minorHAnsi" w:eastAsia="Times New Roman" w:hAnsiTheme="minorHAnsi" w:cstheme="minorHAnsi"/>
          <w:lang w:eastAsia="pt-BR"/>
        </w:rPr>
        <w:t>a partir de 5 de abril de 2016.</w:t>
      </w:r>
    </w:p>
    <w:p w14:paraId="0BF442E6" w14:textId="646E29EA" w:rsidR="002C06BE" w:rsidRDefault="00152975" w:rsidP="0015297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152975">
        <w:rPr>
          <w:rFonts w:asciiTheme="minorHAnsi" w:eastAsia="Times New Roman" w:hAnsiTheme="minorHAnsi" w:cstheme="minorHAnsi"/>
          <w:lang w:eastAsia="pt-BR"/>
        </w:rPr>
        <w:t>Art. 2° Esta Portaria entra em vigor nesta data.</w:t>
      </w:r>
    </w:p>
    <w:p w14:paraId="34B7337E" w14:textId="33E0DF5B" w:rsidR="002C06BE" w:rsidRPr="0099725E" w:rsidRDefault="00152975" w:rsidP="002C06B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549CE5F2" wp14:editId="684853FF">
            <wp:simplePos x="0" y="0"/>
            <wp:positionH relativeFrom="margin">
              <wp:align>center</wp:align>
            </wp:positionH>
            <wp:positionV relativeFrom="paragraph">
              <wp:posOffset>525145</wp:posOffset>
            </wp:positionV>
            <wp:extent cx="2862712" cy="12435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712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C5D01" w14:textId="52A2353A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61E4" w14:textId="77777777" w:rsidR="00CD580B" w:rsidRDefault="00CD580B">
      <w:r>
        <w:separator/>
      </w:r>
    </w:p>
  </w:endnote>
  <w:endnote w:type="continuationSeparator" w:id="0">
    <w:p w14:paraId="4DF57995" w14:textId="77777777" w:rsidR="00CD580B" w:rsidRDefault="00CD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76E90" w14:textId="77777777" w:rsidR="00CD580B" w:rsidRDefault="00CD580B">
      <w:r>
        <w:separator/>
      </w:r>
    </w:p>
  </w:footnote>
  <w:footnote w:type="continuationSeparator" w:id="0">
    <w:p w14:paraId="74EB17C2" w14:textId="77777777" w:rsidR="00CD580B" w:rsidRDefault="00CD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2975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06BE"/>
    <w:rsid w:val="002C1DF5"/>
    <w:rsid w:val="002C69D6"/>
    <w:rsid w:val="002C6F06"/>
    <w:rsid w:val="002D331B"/>
    <w:rsid w:val="002D6201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0D15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580B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6DB6-D0A0-4EA6-8684-50506514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2022-02-08T19:17:00Z</cp:lastPrinted>
  <dcterms:created xsi:type="dcterms:W3CDTF">2022-02-08T19:21:00Z</dcterms:created>
  <dcterms:modified xsi:type="dcterms:W3CDTF">2022-02-08T19:21:00Z</dcterms:modified>
</cp:coreProperties>
</file>