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9"/>
        </w:rPr>
      </w:pPr>
      <w:r>
        <w:rPr/>
        <w:pict>
          <v:group style="position:absolute;margin-left:14.9pt;margin-top:775.599792pt;width:580.1pt;height:34.65pt;mso-position-horizontal-relative:page;mso-position-vertical-relative:page;z-index:251659264" coordorigin="298,15512" coordsize="11602,693">
            <v:shape style="position:absolute;left:298;top:15512;width:11602;height:693" type="#_x0000_t75" stroked="false">
              <v:imagedata r:id="rId7" o:title=""/>
            </v:shape>
            <v:shape style="position:absolute;left:10646;top:15942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1B6369"/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5.757813pt;margin-top:507.532166pt;width:10.95pt;height:295.55pt;mso-position-horizontal-relative:page;mso-position-vertical-relative:page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A9A9A9"/>
                      <w:sz w:val="16"/>
                    </w:rPr>
                    <w:t>Este documento foi assinado digitalmente por Antonio Luciano de Lima Guimarães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spacing w:before="51"/>
        <w:ind w:left="2968"/>
      </w:pPr>
      <w:r>
        <w:rPr/>
        <w:t>PORTARIA NORMATIVA N° 80, DE 13 DE JULHO DE 2020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5455" w:right="247"/>
        <w:jc w:val="both"/>
      </w:pPr>
      <w:r>
        <w:rPr/>
        <w:t>Prorroga os prazos de validade de atos e certidões no âmbito do Sistema de Informação e Comunicação dos Conselhos de Arquitetura e Urbanismo (SICCAU)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2" w:right="244"/>
        <w:jc w:val="both"/>
      </w:pPr>
      <w:r>
        <w:rPr/>
        <w:t>O </w:t>
      </w:r>
      <w:r>
        <w:rPr>
          <w:spacing w:val="-3"/>
        </w:rPr>
        <w:t>Presidente </w:t>
      </w:r>
      <w:r>
        <w:rPr/>
        <w:t>do Conselho de Arquitetura e </w:t>
      </w:r>
      <w:r>
        <w:rPr>
          <w:spacing w:val="-3"/>
        </w:rPr>
        <w:t>Urbanismo </w:t>
      </w:r>
      <w:r>
        <w:rPr/>
        <w:t>do </w:t>
      </w:r>
      <w:r>
        <w:rPr>
          <w:spacing w:val="-3"/>
        </w:rPr>
        <w:t>Brasil (CAU/BR), </w:t>
      </w:r>
      <w:r>
        <w:rPr/>
        <w:t>no uso das </w:t>
      </w:r>
      <w:r>
        <w:rPr>
          <w:spacing w:val="-3"/>
        </w:rPr>
        <w:t>atribuições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conferem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29,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III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12.378,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dezembro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2010, e o art. 159 do </w:t>
      </w:r>
      <w:r>
        <w:rPr>
          <w:spacing w:val="-3"/>
        </w:rPr>
        <w:t>Regimento Interno aprovado </w:t>
      </w:r>
      <w:r>
        <w:rPr/>
        <w:t>pela </w:t>
      </w:r>
      <w:r>
        <w:rPr>
          <w:spacing w:val="-3"/>
        </w:rPr>
        <w:t>Deliberação Plenária DPOBR </w:t>
      </w:r>
      <w:r>
        <w:rPr/>
        <w:t>n° 0065- 05/2017, de 28 de </w:t>
      </w:r>
      <w:r>
        <w:rPr>
          <w:spacing w:val="-3"/>
        </w:rPr>
        <w:t>abril </w:t>
      </w:r>
      <w:r>
        <w:rPr/>
        <w:t>de 2017, e </w:t>
      </w:r>
      <w:r>
        <w:rPr>
          <w:spacing w:val="-3"/>
        </w:rPr>
        <w:t>instituído </w:t>
      </w:r>
      <w:r>
        <w:rPr/>
        <w:t>pela </w:t>
      </w:r>
      <w:r>
        <w:rPr>
          <w:spacing w:val="-3"/>
        </w:rPr>
        <w:t>Resolução CAU/BR </w:t>
      </w:r>
      <w:r>
        <w:rPr/>
        <w:t>n° 139, de 28 de </w:t>
      </w:r>
      <w:r>
        <w:rPr>
          <w:spacing w:val="-3"/>
        </w:rPr>
        <w:t>abril </w:t>
      </w:r>
      <w:r>
        <w:rPr/>
        <w:t>de 2017;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202" w:right="247"/>
        <w:jc w:val="both"/>
      </w:pPr>
      <w:r>
        <w:rPr/>
        <w:t>Considerando a interrupção, a partir de 6 de julho de 2020, da disponibilidade do Sistema de Informação e Comunicação dos Conselhos de Arquitetura e Urbanismo (SICCAU);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02" w:right="250"/>
        <w:jc w:val="both"/>
      </w:pPr>
      <w:r>
        <w:rPr/>
        <w:t>Considerando que a disponibilidade do Sistema de Informação e Comunicação dos Conselhos de Arquitetura e Urbanismo (SICCAU) está retornando a partir desta</w:t>
      </w:r>
      <w:r>
        <w:rPr>
          <w:spacing w:val="-18"/>
        </w:rPr>
        <w:t> </w:t>
      </w:r>
      <w:r>
        <w:rPr/>
        <w:t>data;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2" w:right="254"/>
        <w:jc w:val="both"/>
      </w:pPr>
      <w:r>
        <w:rPr/>
        <w:t>Considerando as dificuldades momentâneas de acesso a todas as informações do SICCAU, relativamente às situações de regularidade fiscal dos arquitetos e urbanistas e empresas registrados no CAU;</w:t>
      </w:r>
    </w:p>
    <w:p>
      <w:pPr>
        <w:pStyle w:val="BodyText"/>
      </w:pPr>
    </w:p>
    <w:p>
      <w:pPr>
        <w:pStyle w:val="BodyText"/>
        <w:ind w:left="1202" w:right="248"/>
        <w:jc w:val="both"/>
      </w:pPr>
      <w:r>
        <w:rPr/>
        <w:t>Considerando que a conveniência de não sobrecarregar o Sistema de Informação e Comunicação dos Conselhos de Arquitetura e Urbanismo (SICCAU) com ações que podem ser solucionadas com medidas</w:t>
      </w:r>
      <w:r>
        <w:rPr>
          <w:spacing w:val="-1"/>
        </w:rPr>
        <w:t> </w:t>
      </w:r>
      <w:r>
        <w:rPr/>
        <w:t>administrativas;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RESOLVE: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202" w:right="248"/>
        <w:jc w:val="both"/>
      </w:pPr>
      <w:r>
        <w:rPr/>
        <w:t>Art. 1° Ficam prorrogados, até 31 de julho de 2020, os prazos de validade que se venceram desde 5 de julho de 2020 até esta data, e aqueles que se vencerão desta data até 30 de julho de 2020, dos seguintes registros e certidões operados no âmbito do Sistema de Informação  e Comunicação dos Conselhos de Arquitetura e Urbanismo</w:t>
      </w:r>
      <w:r>
        <w:rPr>
          <w:spacing w:val="-7"/>
        </w:rPr>
        <w:t> </w:t>
      </w:r>
      <w:r>
        <w:rPr/>
        <w:t>(SICCAU):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 w:before="1"/>
        <w:ind w:left="1202" w:right="4418"/>
        <w:jc w:val="both"/>
      </w:pPr>
      <w:r>
        <w:rPr/>
        <w:t>I - Registros Provisórios de Arquiteto e Urbanista; II - Certidão de Registro de Pessoa Física (CRQ-PF);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92" w:lineRule="exact" w:before="0" w:after="0"/>
        <w:ind w:left="1437" w:right="0" w:hanging="236"/>
        <w:jc w:val="both"/>
        <w:rPr>
          <w:sz w:val="24"/>
        </w:rPr>
      </w:pPr>
      <w:r>
        <w:rPr>
          <w:sz w:val="24"/>
        </w:rPr>
        <w:t>- Certidão de Registro de Pessoa Jurídica</w:t>
      </w:r>
      <w:r>
        <w:rPr>
          <w:spacing w:val="-1"/>
          <w:sz w:val="24"/>
        </w:rPr>
        <w:t> </w:t>
      </w:r>
      <w:r>
        <w:rPr>
          <w:sz w:val="24"/>
        </w:rPr>
        <w:t>(CRQ-PJ);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480" w:lineRule="auto" w:before="0" w:after="0"/>
        <w:ind w:left="1202" w:right="3452" w:firstLine="0"/>
        <w:jc w:val="left"/>
        <w:rPr>
          <w:sz w:val="24"/>
        </w:rPr>
      </w:pPr>
      <w:r>
        <w:rPr>
          <w:sz w:val="24"/>
        </w:rPr>
        <w:t>- Certidão Negativa de Débitos de Pessoa Física (CND-PF); V - Certidão Negativa de Débito de Pessoa Jurídica</w:t>
      </w:r>
      <w:r>
        <w:rPr>
          <w:spacing w:val="-22"/>
          <w:sz w:val="24"/>
        </w:rPr>
        <w:t> </w:t>
      </w:r>
      <w:r>
        <w:rPr>
          <w:sz w:val="24"/>
        </w:rPr>
        <w:t>(CND-PJ).</w:t>
      </w:r>
    </w:p>
    <w:p>
      <w:pPr>
        <w:spacing w:after="0" w:line="48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561" w:footer="265" w:top="1480" w:bottom="460" w:left="500" w:right="880"/>
          <w:pgNumType w:start="1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14.9pt;margin-top:775.599792pt;width:580.1pt;height:34.65pt;mso-position-horizontal-relative:page;mso-position-vertical-relative:page;z-index:251662336" coordorigin="298,15512" coordsize="11602,693">
            <v:shape style="position:absolute;left:298;top:15512;width:11602;height:693" type="#_x0000_t75" stroked="false">
              <v:imagedata r:id="rId7" o:title=""/>
            </v:shape>
            <v:shape style="position:absolute;left:10646;top:15942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1B6369"/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5.757813pt;margin-top:507.532166pt;width:10.95pt;height:295.55pt;mso-position-horizontal-relative:page;mso-position-vertical-relative:page;z-index:251663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A9A9A9"/>
                      <w:sz w:val="16"/>
                    </w:rPr>
                    <w:t>Este documento foi assinado digitalmente por Antonio Luciano de Lima Guimarães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1"/>
        <w:ind w:left="1202" w:right="246"/>
        <w:jc w:val="both"/>
      </w:pPr>
      <w:r>
        <w:rPr/>
        <w:t>Art. 2° Autorizar os Conselhos de Arquitetura e Urbanismo dos Estados e do Distrito Federal (CAU/UF) a expedirem certidões provisórias negativas de débitos, com prazo de validade até 31 de julho de 2020, a todos os arquitetos e urbanistas e empresas registrados no CAU, independentemente da existência ou não de débitos, com a finalidade de lhes permitir a participação em licitações, concursos e a prática de outros atos que exijam situação de regularidade fiscal junto aos Conselhos de Arquitetura e Urbanismo.</w:t>
      </w:r>
    </w:p>
    <w:p>
      <w:pPr>
        <w:pStyle w:val="BodyText"/>
        <w:spacing w:before="1"/>
      </w:pPr>
    </w:p>
    <w:p>
      <w:pPr>
        <w:pStyle w:val="BodyText"/>
        <w:spacing w:before="1"/>
        <w:ind w:left="1202" w:right="247"/>
        <w:jc w:val="both"/>
      </w:pPr>
      <w:r>
        <w:rPr/>
        <w:t>Art. 3° Esta Portaria Normativa entra em vigor na data de sua publicação, inclusive no sítio eletrônico do CAU/BR na Rede Mundial de Computadores (Internet), no endereço</w:t>
      </w:r>
      <w:hyperlink r:id="rId8">
        <w:r>
          <w:rPr/>
          <w:t> www.caubr.gov.br, </w:t>
        </w:r>
      </w:hyperlink>
      <w:r>
        <w:rPr/>
        <w:t>com efeitos a contar desta data.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926" w:right="974"/>
        <w:jc w:val="center"/>
      </w:pPr>
      <w:r>
        <w:rPr/>
        <w:t>Brasília, 13 de julho de 2020.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926" w:right="981" w:firstLine="0"/>
        <w:jc w:val="center"/>
        <w:rPr>
          <w:sz w:val="20"/>
        </w:rPr>
      </w:pPr>
      <w:r>
        <w:rPr>
          <w:sz w:val="20"/>
        </w:rPr>
        <w:t>(assinado digitalmente)</w:t>
      </w:r>
    </w:p>
    <w:p>
      <w:pPr>
        <w:pStyle w:val="Heading2"/>
        <w:ind w:left="1926" w:right="977"/>
        <w:jc w:val="center"/>
      </w:pPr>
      <w:r>
        <w:rPr/>
        <w:t>LUCIANO</w:t>
      </w:r>
      <w:r>
        <w:rPr>
          <w:spacing w:val="-4"/>
        </w:rPr>
        <w:t> </w:t>
      </w:r>
      <w:r>
        <w:rPr/>
        <w:t>GUIMARÃES</w:t>
      </w:r>
    </w:p>
    <w:p>
      <w:pPr>
        <w:pStyle w:val="BodyText"/>
        <w:ind w:left="1926" w:right="978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CAU/BR</w:t>
      </w:r>
    </w:p>
    <w:p>
      <w:pPr>
        <w:spacing w:after="0"/>
        <w:jc w:val="center"/>
        <w:sectPr>
          <w:pgSz w:w="11900" w:h="16850"/>
          <w:pgMar w:header="561" w:footer="265" w:top="1480" w:bottom="460" w:left="5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392429</wp:posOffset>
            </wp:positionH>
            <wp:positionV relativeFrom="paragraph">
              <wp:posOffset>-365002</wp:posOffset>
            </wp:positionV>
            <wp:extent cx="354330" cy="45979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45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Protocolo de Assinatura(s)</w:t>
      </w:r>
    </w:p>
    <w:p>
      <w:pPr>
        <w:pStyle w:val="BodyText"/>
        <w:spacing w:line="278" w:lineRule="auto" w:before="127"/>
        <w:ind w:left="100" w:right="87"/>
        <w:rPr>
          <w:rFonts w:ascii="Arial" w:hAnsi="Arial"/>
        </w:rPr>
      </w:pPr>
      <w:r>
        <w:rPr>
          <w:rFonts w:ascii="Arial" w:hAnsi="Arial"/>
        </w:rPr>
        <w:t>O documento acima foi proposto para assinatura digital. Para verificar as assinaturas acesse o </w:t>
      </w:r>
      <w:hyperlink r:id="rId12">
        <w:r>
          <w:rPr>
            <w:rFonts w:ascii="Arial" w:hAnsi="Arial"/>
          </w:rPr>
          <w:t>endereço http://docflow.caubr.gov.br/docflow/digitalSignChecker.jsf</w:t>
        </w:r>
      </w:hyperlink>
      <w:r>
        <w:rPr>
          <w:rFonts w:ascii="Arial" w:hAnsi="Arial"/>
        </w:rPr>
        <w:t> e utilize o código abaixo para verificar se este documento é válido.</w:t>
      </w:r>
    </w:p>
    <w:p>
      <w:pPr>
        <w:pStyle w:val="Heading1"/>
        <w:spacing w:before="175"/>
      </w:pPr>
      <w:r>
        <w:rPr/>
        <w:drawing>
          <wp:anchor distT="0" distB="0" distL="0" distR="0" allowOverlap="1" layoutInCell="1" locked="0" behindDoc="1" simplePos="0" relativeHeight="251537408">
            <wp:simplePos x="0" y="0"/>
            <wp:positionH relativeFrom="page">
              <wp:posOffset>404812</wp:posOffset>
            </wp:positionH>
            <wp:positionV relativeFrom="paragraph">
              <wp:posOffset>1341536</wp:posOffset>
            </wp:positionV>
            <wp:extent cx="71437" cy="7937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Código de verificação: WIWM-DTZH-7JVX-3GU6</w:t>
      </w:r>
    </w:p>
    <w:p>
      <w:pPr>
        <w:pStyle w:val="BodyText"/>
        <w:spacing w:before="5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1879600</wp:posOffset>
            </wp:positionH>
            <wp:positionV relativeFrom="paragraph">
              <wp:posOffset>115659</wp:posOffset>
            </wp:positionV>
            <wp:extent cx="3782567" cy="347662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34" w:lineRule="auto" w:before="248"/>
        <w:ind w:left="400" w:right="782" w:hanging="300"/>
        <w:rPr>
          <w:rFonts w:ascii="Arial" w:hAnsi="Arial"/>
        </w:rPr>
      </w:pPr>
      <w:r>
        <w:rPr>
          <w:rFonts w:ascii="Arial" w:hAnsi="Arial"/>
        </w:rPr>
        <w:t>O(s) nome(s) indicado(s) para assinatura, bem como seu(s) status em 13/07/2020 é(são) : Antonio Luciano de Lima Guimarães - 13/07/2020 11:16:04</w:t>
      </w:r>
    </w:p>
    <w:sectPr>
      <w:headerReference w:type="default" r:id="rId9"/>
      <w:footerReference w:type="default" r:id="rId10"/>
      <w:pgSz w:w="11900" w:h="16850"/>
      <w:pgMar w:header="0" w:footer="0" w:top="240" w:bottom="280" w:left="5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pt;margin-top:817.797791pt;width:496.5pt;height:19.95pt;mso-position-horizontal-relative:page;mso-position-vertical-relative:page;z-index:-251786240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18" w:firstLine="0"/>
                  <w:jc w:val="left"/>
                  <w:rPr>
                    <w:rFonts w:ascii="Arial" w:hAnsi="Arial"/>
                    <w:sz w:val="16"/>
                  </w:rPr>
                </w:pPr>
                <w:hyperlink r:id="rId1">
                  <w:r>
                    <w:rPr>
                      <w:rFonts w:ascii="Arial" w:hAnsi="Arial"/>
                      <w:color w:val="A9A9A9"/>
                      <w:sz w:val="16"/>
                    </w:rPr>
                    <w:t>Documento assinado digitalmente com sucesso. Verificação em: http://docflow.caubr.gov.br/docflow/digitalSignChecker.jsf.</w:t>
                  </w:r>
                </w:hyperlink>
                <w:r>
                  <w:rPr>
                    <w:rFonts w:ascii="Arial" w:hAnsi="Arial"/>
                    <w:color w:val="A9A9A9"/>
                    <w:sz w:val="16"/>
                  </w:rPr>
                  <w:t> Utilize o código: WIWM-DTZH-7JVX-3GU6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320007pt;margin-top:823.797791pt;width:51.4pt;height:10.95pt;mso-position-horizontal-relative:page;mso-position-vertical-relative:page;z-index:-25178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A9A9A9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A9A9A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A9A9A9"/>
                    <w:sz w:val="16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29216">
          <wp:simplePos x="0" y="0"/>
          <wp:positionH relativeFrom="page">
            <wp:posOffset>67944</wp:posOffset>
          </wp:positionH>
          <wp:positionV relativeFrom="page">
            <wp:posOffset>356234</wp:posOffset>
          </wp:positionV>
          <wp:extent cx="7488047" cy="5845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47" cy="58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"/>
      <w:lvlJc w:val="left"/>
      <w:pPr>
        <w:ind w:left="1437" w:hanging="236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47" w:hanging="23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55" w:hanging="23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63" w:hanging="23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071" w:hanging="23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979" w:hanging="23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887" w:hanging="23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795" w:hanging="23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703" w:hanging="23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0"/>
      <w:ind w:left="1926" w:right="1565"/>
      <w:jc w:val="center"/>
      <w:outlineLvl w:val="1"/>
    </w:pPr>
    <w:rPr>
      <w:rFonts w:ascii="Arial" w:hAnsi="Arial" w:eastAsia="Arial" w:cs="Arial"/>
      <w:sz w:val="32"/>
      <w:szCs w:val="32"/>
      <w:lang w:val="pt-br" w:eastAsia="pt-br" w:bidi="pt-br"/>
    </w:rPr>
  </w:style>
  <w:style w:styleId="Heading2" w:type="paragraph">
    <w:name w:val="Heading 2"/>
    <w:basedOn w:val="Normal"/>
    <w:uiPriority w:val="1"/>
    <w:qFormat/>
    <w:pPr>
      <w:spacing w:before="1"/>
      <w:ind w:left="1202"/>
      <w:outlineLvl w:val="2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202" w:hanging="236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://www.caubr.gov.br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hyperlink" Target="http://docflow.caubr.gov.br/docflow/digitalSignChecker.jsf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flow.caubr.gov.br/docflow/digitalSignChecker.jsf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2020-07-13T14:39:01Z</dcterms:created>
  <dcterms:modified xsi:type="dcterms:W3CDTF">2020-07-13T14:39:01Z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