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7AC05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b/>
          <w:color w:val="auto"/>
          <w:sz w:val="24"/>
          <w:szCs w:val="24"/>
        </w:rPr>
        <w:t>PORTARIA NORMATIVA N° 53, DE 6 DE MARÇO DE 2017¹</w:t>
      </w:r>
    </w:p>
    <w:p w14:paraId="426F2949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</w:rPr>
      </w:pPr>
    </w:p>
    <w:p w14:paraId="3D8FBDD2" w14:textId="77777777" w:rsidR="006020E2" w:rsidRPr="006020E2" w:rsidRDefault="006020E2" w:rsidP="006020E2">
      <w:pPr>
        <w:tabs>
          <w:tab w:val="left" w:pos="5040"/>
        </w:tabs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>Regula, no âmbito do Conselho de Arquitetura e Urbanismo do Brasil (CAU/BR), a movimentação interna de pessoal efetivo vinculado ao Plano de Cargos, Carreira e Remuneração (PCCR) aprovado pelas Portarias Normativas n° 47 e n° 50, de 2016, e dá outras providências.</w:t>
      </w:r>
    </w:p>
    <w:p w14:paraId="4E71F522" w14:textId="77777777" w:rsidR="006020E2" w:rsidRPr="006020E2" w:rsidRDefault="006020E2" w:rsidP="006020E2">
      <w:pPr>
        <w:tabs>
          <w:tab w:val="left" w:pos="5040"/>
        </w:tabs>
        <w:suppressAutoHyphens/>
        <w:autoSpaceDN w:val="0"/>
        <w:spacing w:after="0" w:line="240" w:lineRule="auto"/>
        <w:ind w:left="4859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4D5FD03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auto"/>
          <w:kern w:val="3"/>
          <w:sz w:val="24"/>
          <w:szCs w:val="24"/>
        </w:rPr>
      </w:pPr>
      <w:r w:rsidRPr="006020E2">
        <w:rPr>
          <w:rFonts w:ascii="Calibri" w:eastAsia="Times New Roman" w:hAnsi="Calibri" w:cs="Times New Roman"/>
          <w:bCs/>
          <w:color w:val="auto"/>
          <w:kern w:val="3"/>
          <w:sz w:val="24"/>
          <w:szCs w:val="24"/>
        </w:rPr>
        <w:t xml:space="preserve">O Presidente do Conselho de Arquitetura e Urbanismo do Brasil (CAU/BR), no uso das atribuições que lhe conferem o art. 29, inciso III da Lei n° 12.378, de 31 de dezembro de 2010, e o art. 70 do Regimento Geral aprovado pela Resolução CAU/BR n° 33, de 6 de setembro de 2012; </w:t>
      </w:r>
    </w:p>
    <w:p w14:paraId="2057FF88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6AF2DB05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b/>
          <w:color w:val="auto"/>
          <w:sz w:val="24"/>
          <w:szCs w:val="24"/>
        </w:rPr>
        <w:t>RESOLVE:</w:t>
      </w:r>
    </w:p>
    <w:p w14:paraId="01C94E20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</w:rPr>
      </w:pPr>
    </w:p>
    <w:p w14:paraId="22C6C61E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b/>
          <w:color w:val="auto"/>
          <w:sz w:val="24"/>
          <w:szCs w:val="24"/>
        </w:rPr>
        <w:t>DAS DISPOSIÇÕES PRELIMINARES</w:t>
      </w:r>
    </w:p>
    <w:p w14:paraId="3EAB31FC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</w:rPr>
      </w:pPr>
    </w:p>
    <w:p w14:paraId="48A96D28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Art. 1° Esta Portaria Normativa regula a </w:t>
      </w: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>movimentação interna de pessoal</w:t>
      </w:r>
      <w:r w:rsidRPr="006020E2">
        <w:rPr>
          <w:rFonts w:ascii="Calibri" w:eastAsia="Times New Roman" w:hAnsi="Calibri"/>
          <w:color w:val="auto"/>
          <w:sz w:val="24"/>
          <w:szCs w:val="24"/>
        </w:rPr>
        <w:t>, para a ocupação de vagas definitivas ou temporárias que se abrirem no Quadro de Pessoal Efetivo do Conselho de Arquitetura e Urbanismo do Brasil (CAU/BR), pelos ocupantes de vagas de empregos efetivos no momento da abertura das vagas.</w:t>
      </w:r>
    </w:p>
    <w:p w14:paraId="26CD84DA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356E798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Art. 2° As vagas que se abrirem no Quadro de Pessoal Efetivo do CAU/BR, por criação ou as decorrentes de desligamento definitivo, no caso das vagas definitivas, e as decorrentes de licenças e afastamentos temporários, por períodos iguais ou superiores a 180 (cento e oitenta) dias, no caso de vagas temporárias, serão declaradas disponíveis para o fim de </w:t>
      </w: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>movimentação interna de pessoal</w:t>
      </w:r>
      <w:r w:rsidRPr="006020E2">
        <w:rPr>
          <w:rFonts w:ascii="Calibri" w:eastAsia="Times New Roman" w:hAnsi="Calibri"/>
          <w:color w:val="auto"/>
          <w:sz w:val="24"/>
          <w:szCs w:val="24"/>
        </w:rPr>
        <w:t>, nas condições e limites previstos nesta Portaria Normativa.</w:t>
      </w:r>
    </w:p>
    <w:p w14:paraId="6A3A3F09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57911F2C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Parágrafo único. As </w:t>
      </w: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>movimentações internas de pessoal</w:t>
      </w: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 terão caráter temporário ou definitivo, conforme segue:</w:t>
      </w:r>
    </w:p>
    <w:p w14:paraId="7565D231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br/>
        <w:t>I - temporário, quando a movimentação interna de pessoal se der para atender às seguintes situações:</w:t>
      </w:r>
    </w:p>
    <w:p w14:paraId="5E3DA1A0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7D6E72D4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>a) licença maternidade ou afastamento equivalente;</w:t>
      </w:r>
    </w:p>
    <w:p w14:paraId="11382AF3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32D4708A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>b) afastamento para capacitação profissional na área de interesse da unidade de exercício do empregado;</w:t>
      </w: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 xml:space="preserve"> </w:t>
      </w:r>
    </w:p>
    <w:p w14:paraId="1AEE23D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3CE0DFEB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>II - definitivo, quando a movimentação interna de pessoal se der para atender às seguintes situações:</w:t>
      </w:r>
    </w:p>
    <w:p w14:paraId="19FB0FCB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4F9994EB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>a) ocupação de vagas abertas por criação ou as decorrentes de desligamento definitivo dos seus ocupantes;</w:t>
      </w:r>
    </w:p>
    <w:p w14:paraId="51F2E1B9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>b) outros afastamentos de pessoal por prazo igual ou superior a 180 (cento e oitenta) dias.</w:t>
      </w:r>
    </w:p>
    <w:p w14:paraId="6DCA54B0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61FE604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lastRenderedPageBreak/>
        <w:t xml:space="preserve">Art. 3° O preenchimento das vagas definitivas e temporárias de que trata o art. 2° desta Portaria Normativa, com a </w:t>
      </w: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 xml:space="preserve">movimentação interna </w:t>
      </w:r>
      <w:r w:rsidRPr="006020E2">
        <w:rPr>
          <w:rFonts w:ascii="Calibri" w:eastAsia="Times New Roman" w:hAnsi="Calibri"/>
          <w:color w:val="auto"/>
          <w:sz w:val="24"/>
          <w:szCs w:val="24"/>
        </w:rPr>
        <w:t>de pessoal já empregado, dependerá, na ordem em que se encontram, do atendimento aos seguintes requisitos:</w:t>
      </w:r>
    </w:p>
    <w:p w14:paraId="10C7E785" w14:textId="77777777" w:rsidR="006020E2" w:rsidRPr="006020E2" w:rsidRDefault="006020E2" w:rsidP="006020E2">
      <w:pPr>
        <w:suppressAutoHyphens/>
        <w:autoSpaceDN w:val="0"/>
        <w:spacing w:after="0" w:line="240" w:lineRule="auto"/>
        <w:ind w:left="1440" w:hanging="360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60099868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a) manifestação do dirigente da unidade onde se abrir a vaga, por meio de memorando dirigido à Gerência Geral, no sentido de admitir ou não o preenchimento da vaga mediante </w:t>
      </w: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>movimentação interna</w:t>
      </w:r>
      <w:r w:rsidRPr="006020E2">
        <w:rPr>
          <w:rFonts w:ascii="Calibri" w:eastAsia="Times New Roman" w:hAnsi="Calibri"/>
          <w:color w:val="auto"/>
          <w:sz w:val="24"/>
          <w:szCs w:val="24"/>
        </w:rPr>
        <w:t>;</w:t>
      </w:r>
    </w:p>
    <w:p w14:paraId="6B28A55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15D1451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>b) deliberação do presidente do CAU/BR, no sentido de autorizar que o preenchimento da vaga aberta se dê por meio de processo seletivo interno, a ser encaminhada ao Núcleo de Gestão de Pessoas (NGP) para o início do referido processo;</w:t>
      </w:r>
    </w:p>
    <w:p w14:paraId="3AE122F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6A08539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c) manifestação dos dirigentes das unidades onde se encontrarem os interessados na </w:t>
      </w: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>movimentação interna</w:t>
      </w:r>
      <w:r w:rsidRPr="006020E2">
        <w:rPr>
          <w:rFonts w:ascii="Calibri" w:eastAsia="Times New Roman" w:hAnsi="Calibri"/>
          <w:color w:val="auto"/>
          <w:sz w:val="24"/>
          <w:szCs w:val="24"/>
        </w:rPr>
        <w:t>, a ser feita na ficha de inscrição a ser enviada ao NGP, no sentido de assentirem com a possível mudança de lotação;</w:t>
      </w:r>
    </w:p>
    <w:p w14:paraId="5C7CE36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3E2E1003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>d) aprovação do candidato em processo seletivo interno.</w:t>
      </w:r>
    </w:p>
    <w:p w14:paraId="08291225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2AA9BAC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>Parágrafo único. Não se cumprindo quaisquer dos requisitos das alíneas “a” ou “b”, a ocupação das vagas se dará em conformidade com as demais normas em vigor no CAU/BR.</w:t>
      </w:r>
    </w:p>
    <w:p w14:paraId="4C6E697C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42D19F0D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b/>
          <w:color w:val="auto"/>
          <w:sz w:val="24"/>
          <w:szCs w:val="24"/>
        </w:rPr>
        <w:t>DO PROCEDIMENTO PARA A ABERTURA DE VAGAS</w:t>
      </w:r>
    </w:p>
    <w:p w14:paraId="7ECF89DD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7AE8E2C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Art. 4° </w:t>
      </w: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O procedimento para a abertura de vagas, definitivas ou temporárias, destinadas ao provimento mediante a </w:t>
      </w: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>movimentação interna de pessoal</w:t>
      </w:r>
      <w:r w:rsidRPr="006020E2">
        <w:rPr>
          <w:rFonts w:ascii="Calibri" w:eastAsia="Times New Roman" w:hAnsi="Calibri"/>
          <w:color w:val="auto"/>
          <w:sz w:val="24"/>
          <w:szCs w:val="24"/>
        </w:rPr>
        <w:t>, terá início com a manifestação prevista no art. 3°, letra “a” desta Portaria Normativa, da qual constarão:</w:t>
      </w:r>
    </w:p>
    <w:p w14:paraId="53522565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117179D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I - as razões de conveniência e oportunidade do processo seletivo interno, notadamente pela disponibilidade de pessoas com expertise para atuação na área em que se dá a abertura da vaga;</w:t>
      </w:r>
    </w:p>
    <w:p w14:paraId="495B36DE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4B54CAB9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II - as razões de conveniência e oportunidade que afastam a opção do processo seletivo interno, notadamente por não haver identificação de pessoas no quadro interno com o perfil adequado para atuação na área em que se dá a abertura da vaga.</w:t>
      </w:r>
    </w:p>
    <w:p w14:paraId="0EF20083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750A6B3E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Parágrafo único. A manifestação de que trata este artigo será dirigida à Gerência Geral, que a submeterá à deliberação do presidente do CAU/BR para os fins previstos no art. 3°, letra “b” desta Portaria Normativa. </w:t>
      </w:r>
    </w:p>
    <w:p w14:paraId="2BC1189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29D8540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Art. 5° Na hipótese do inciso II do art. 4°, o preenchimento da vaga aberta dar-se-á pelo chamamento de pessoal já aprovado em concurso público ou pela realização de novo concurso público.</w:t>
      </w:r>
    </w:p>
    <w:p w14:paraId="6B1BA8B1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1F237195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b/>
          <w:color w:val="auto"/>
          <w:sz w:val="24"/>
          <w:szCs w:val="24"/>
        </w:rPr>
        <w:t>DO PROCESSO SELETIVO INTERNO</w:t>
      </w:r>
    </w:p>
    <w:p w14:paraId="2DC92E88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Art. 6° O processo seletivo interno será instaurado a partir da </w:t>
      </w:r>
      <w:r w:rsidRPr="006020E2">
        <w:rPr>
          <w:rFonts w:ascii="Calibri" w:eastAsia="Times New Roman" w:hAnsi="Calibri"/>
          <w:color w:val="auto"/>
          <w:sz w:val="24"/>
          <w:szCs w:val="24"/>
        </w:rPr>
        <w:t>decisão do presidente do CAU/BR, prevista no art. 3°, letra “b”, que autorizar essa forma de provimento das vagas abertas.</w:t>
      </w:r>
    </w:p>
    <w:p w14:paraId="1A0AE33C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2EBC47BE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lastRenderedPageBreak/>
        <w:t xml:space="preserve">Art. 7° Havendo a instauração do </w:t>
      </w: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processo seletivo interno, a divulgação e a realização da seleção interna serão feitas pelo Núcleo de Gestão de Pessoas (NGP) do CAU/BR, ao qual incumbirá também a formação do Painel de Avaliadores, integrado por representantes do NGP, da Gerência Geral e da área de destino da vaga.</w:t>
      </w:r>
    </w:p>
    <w:p w14:paraId="081920CA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470B93EA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Art. 8° São requisitos para participação dos empregados públicos em processos seletivos internos destinados à </w:t>
      </w: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>movimentação interna de pessoal</w:t>
      </w: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:</w:t>
      </w:r>
    </w:p>
    <w:p w14:paraId="22364A2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trike/>
          <w:color w:val="auto"/>
          <w:sz w:val="24"/>
          <w:szCs w:val="24"/>
        </w:rPr>
      </w:pPr>
    </w:p>
    <w:p w14:paraId="17C6B0D4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I - ser empregado público efetivo do CAU/BR há, pelo menos, 1 (um) ano;</w:t>
      </w:r>
    </w:p>
    <w:p w14:paraId="3C7A6A84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3F5517F4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II - contar com, no mínimo, um 1 (um) ano no último emprego efetivo;</w:t>
      </w:r>
    </w:p>
    <w:p w14:paraId="3E84C8DA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071A2B8A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III - atender aos requisitos mínimos de investidura e de ocupação em relação à nova unidade de exercício pretendida, respeitadas as disposições previstas no PCCR e nas normas reguladoras do concurso público em que se deu a seleção para a vaga disponibilizada;</w:t>
      </w:r>
    </w:p>
    <w:p w14:paraId="12050688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65D84820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IV - não ter sofrido sanção disciplinar nos últimos 12 (doze) meses que precedem a inscrição para o processo de seleção interna;</w:t>
      </w:r>
    </w:p>
    <w:p w14:paraId="3553E0B9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6DE0DEAA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V - contar com a anuência, na ficha de inscrição do processo seletivo, do </w:t>
      </w: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dirigente da unidade onde estiver lotado, conforme previsto no </w:t>
      </w: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art. 3°, letra “c” desta Portaria Normativa;</w:t>
      </w:r>
    </w:p>
    <w:p w14:paraId="66CB0835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1606BB30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VI - participar de um processo seletivo interno por vez.</w:t>
      </w:r>
    </w:p>
    <w:p w14:paraId="1B47E36D" w14:textId="77777777" w:rsidR="006020E2" w:rsidRPr="006020E2" w:rsidRDefault="006020E2" w:rsidP="006020E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2FEC8EE9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b/>
          <w:color w:val="auto"/>
          <w:sz w:val="24"/>
          <w:szCs w:val="24"/>
        </w:rPr>
        <w:t>DOS PRAZOS E DAS INSCRIÇÕES</w:t>
      </w:r>
    </w:p>
    <w:p w14:paraId="213350F8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48B60925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Art. 9° Aberta e divulgada a seleção interna na forma do art. 7°, os interessados terão até 7 (sete) dias úteis para se candidatarem a partir do primeiro dia útil subsequente à divulgação. </w:t>
      </w:r>
    </w:p>
    <w:p w14:paraId="0A899C1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5C371645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Art. 10. Os interessados em participar do processo seletivo interno deverão preencher a ficha de inscrição, juntar cópia do currículo profissional atualizado e entregá-los no NGP. A ficha de inscrição estará disponível para </w:t>
      </w:r>
      <w:r w:rsidRPr="006020E2">
        <w:rPr>
          <w:rFonts w:ascii="Calibri" w:eastAsia="Times New Roman" w:hAnsi="Calibri" w:cs="Times New Roman"/>
          <w:i/>
          <w:color w:val="auto"/>
          <w:sz w:val="24"/>
          <w:szCs w:val="24"/>
        </w:rPr>
        <w:t>download</w:t>
      </w: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 na intranet (modelo anexo).</w:t>
      </w:r>
    </w:p>
    <w:p w14:paraId="485E3A1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61E698A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Parágrafo único. Caberá ao interessado, mediante preenchimento da ficha de inscrição disponibilizada na intranet, providenciar a manifestação de que trata o art. 3°, letra “c” desta Portaria Normativa.</w:t>
      </w:r>
    </w:p>
    <w:p w14:paraId="667C4ABD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494C1458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Art. 11. O NGP e a área interessada, em etapa preliminar, examinarão a documentação e realizarão a avaliação dos candidatos inscritos com base nas informações constantes na ficha de inscrição, na descrição da vaga pela área demandante e no currículo profissional. </w:t>
      </w:r>
    </w:p>
    <w:p w14:paraId="06B54C17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7434B2D8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§ 1° Sendo aprovado na etapa preliminar prevista neste artigo, o candidato poderá ser convidado para fazer parte do processo seletivo interno.</w:t>
      </w:r>
    </w:p>
    <w:p w14:paraId="24BDF3EB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2643442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§ 2° Caberá ao NGP, por qualquer meio idôneo, comunicar ao candidato que não foi preliminarmente aprovado para participação no processo seletivo interno.</w:t>
      </w:r>
    </w:p>
    <w:p w14:paraId="7D9983F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0567D294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DOS RESULTADOS</w:t>
      </w:r>
    </w:p>
    <w:p w14:paraId="7B062E63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</w:p>
    <w:p w14:paraId="372E75C4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Art. 12. Concluída cada etapa do processo seletivo, o Núcleo de Gestão de Pessoas procederá à apuração do resultado e informará aos candidatos por meio de mensagens encaminhadas aos respectivos endereços eletrônicos funcionais.</w:t>
      </w:r>
    </w:p>
    <w:p w14:paraId="0C68A5F7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25B3AC54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Art. 13. A homologação do processo de preenchimento da vaga competirá ao presidente do CAU/BR.</w:t>
      </w:r>
    </w:p>
    <w:p w14:paraId="78E6E3C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24"/>
          <w:szCs w:val="24"/>
          <w:u w:val="single"/>
        </w:rPr>
      </w:pPr>
    </w:p>
    <w:p w14:paraId="4CBE7F79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DOS RECURSOS</w:t>
      </w:r>
    </w:p>
    <w:p w14:paraId="432D27CA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365C3A43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Art. 14. Caberá recurso do processo seletivo interno, em instância única, a ser interposto por mensagem eletrônica enviada ao endereço </w:t>
      </w:r>
      <w:hyperlink r:id="rId11" w:history="1">
        <w:r w:rsidRPr="006020E2">
          <w:rPr>
            <w:rFonts w:ascii="Calibri" w:eastAsia="Times New Roman" w:hAnsi="Calibri" w:cs="Times New Roman"/>
            <w:color w:val="auto"/>
            <w:sz w:val="24"/>
            <w:szCs w:val="24"/>
          </w:rPr>
          <w:t>rh@caubr.gov.br</w:t>
        </w:r>
      </w:hyperlink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, no prazo máximo de 2 (dois) dias úteis, contados da data de ciência do respectivo resultado, excluído o dia do recebimento do comunicado. </w:t>
      </w:r>
    </w:p>
    <w:p w14:paraId="0B33F9EE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6407CDEA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Art. 15. Os recorrentes serão informados dos resultados dos recursos no prazo de até 2 (dois) dias úteis da data da decisão dos pedidos, por meio de mensagens encaminhadas aos respectivos endereços eletrônicos funcionais. </w:t>
      </w:r>
    </w:p>
    <w:p w14:paraId="1A737B87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5B56A4A3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Art. 16. Os recursos serão avaliados e julgados pelo Painel de Avaliadores e deverão ser validados pelo presidente do CAU/BR.</w:t>
      </w:r>
    </w:p>
    <w:p w14:paraId="25F6DCB4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0A7DB6EB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Parágrafo único. O presidente do CAU/BR será a instância final de aprovação e recursal do processo seletivo interno.</w:t>
      </w:r>
    </w:p>
    <w:p w14:paraId="13DEFA77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6C3B5755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DA DIVULGAÇÃO DOS RESULTADOS</w:t>
      </w:r>
    </w:p>
    <w:p w14:paraId="3B92493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7610C8FB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Art. 17. O resultado final do </w:t>
      </w: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>processo seletivo interno</w:t>
      </w:r>
      <w:r w:rsidRPr="006020E2">
        <w:rPr>
          <w:rFonts w:ascii="Calibri" w:eastAsia="Times New Roman" w:hAnsi="Calibri"/>
          <w:color w:val="auto"/>
          <w:sz w:val="24"/>
          <w:szCs w:val="24"/>
          <w:lang w:eastAsia="pt-BR"/>
        </w:rPr>
        <w:t xml:space="preserve"> </w:t>
      </w: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será divulgado na intranet do CAU/BR com a indicação do nome do empregado selecionado para a vaga, sendo de inteira responsabilidade dos candidatos o acompanhamento da divulgação dos resultados nos canais indicados nesta Portaria Normativa. </w:t>
      </w:r>
    </w:p>
    <w:p w14:paraId="7CFB2FE1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4B68BDC1" w14:textId="77777777" w:rsidR="006020E2" w:rsidRPr="006020E2" w:rsidRDefault="006020E2" w:rsidP="006020E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DAS DISPOSIÇÕES FINAIS</w:t>
      </w:r>
    </w:p>
    <w:p w14:paraId="0C446810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3758E436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</w:pPr>
      <w:r w:rsidRPr="006020E2">
        <w:rPr>
          <w:rFonts w:ascii="Calibri" w:eastAsia="Times New Roman" w:hAnsi="Calibri"/>
          <w:bCs/>
          <w:color w:val="auto"/>
          <w:sz w:val="24"/>
          <w:szCs w:val="24"/>
          <w:lang w:eastAsia="pt-BR"/>
        </w:rPr>
        <w:t>Art. 18. O presidente do CAU/BR, ouvidos o gerente geral e o gestor da unidade de exercício atual do empregado, estabelecerá os procedimentos e prazos para que o processo de transição não acarrete solução de continuidade às atividades da área de origem e observe a compatibilização no atendimento às atividades a serem desenvolvidas na nova unidade.</w:t>
      </w:r>
    </w:p>
    <w:p w14:paraId="6837C08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3DE133B6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>Art. 19. Os casos não previstos nesta Portaria Normativa serão analisados pela Gerência Geral, pelo Núcleo de Gestão de Pessoas (NGP) e pela Assessoria Jurídica.</w:t>
      </w:r>
    </w:p>
    <w:p w14:paraId="0389A9F5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5349D180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</w:rPr>
        <w:t xml:space="preserve">Art. 20. </w:t>
      </w: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Esta Portaria entra em vigor na data de sua publicação no sítio eletrônico do CAU/BR na Rede Mundial de Computadores (Internet), no endereço </w:t>
      </w:r>
      <w:hyperlink r:id="rId12" w:history="1">
        <w:r w:rsidRPr="006020E2">
          <w:rPr>
            <w:rFonts w:ascii="Calibri" w:eastAsia="Times New Roman" w:hAnsi="Calibri"/>
            <w:color w:val="auto"/>
            <w:sz w:val="24"/>
            <w:szCs w:val="24"/>
          </w:rPr>
          <w:t>www.caubr.gov.br</w:t>
        </w:r>
      </w:hyperlink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, com efeitos a partir </w:t>
      </w:r>
      <w:r w:rsidRPr="006020E2">
        <w:rPr>
          <w:rFonts w:ascii="Calibri" w:eastAsia="Times New Roman" w:hAnsi="Calibri"/>
          <w:color w:val="auto"/>
          <w:sz w:val="24"/>
          <w:szCs w:val="24"/>
        </w:rPr>
        <w:lastRenderedPageBreak/>
        <w:t>desta data, os quais incidirão exclusivamente para os afastamentos que ocorrerem a partir da data da publicação.</w:t>
      </w:r>
    </w:p>
    <w:p w14:paraId="51F70FDD" w14:textId="77777777" w:rsidR="006020E2" w:rsidRPr="006020E2" w:rsidRDefault="006020E2" w:rsidP="006020E2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</w:p>
    <w:p w14:paraId="0E286E80" w14:textId="77777777" w:rsidR="006020E2" w:rsidRPr="006020E2" w:rsidRDefault="006020E2" w:rsidP="006020E2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  <w:t>Brasília, 6 de março de 2017.</w:t>
      </w:r>
    </w:p>
    <w:p w14:paraId="4023D67A" w14:textId="77777777" w:rsidR="006020E2" w:rsidRPr="006020E2" w:rsidRDefault="006020E2" w:rsidP="006020E2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  <w:lang w:eastAsia="pt-BR"/>
        </w:rPr>
      </w:pPr>
    </w:p>
    <w:p w14:paraId="39E7E614" w14:textId="77777777" w:rsidR="006020E2" w:rsidRPr="006020E2" w:rsidRDefault="006020E2" w:rsidP="006020E2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  <w:lang w:eastAsia="pt-BR"/>
        </w:rPr>
      </w:pPr>
    </w:p>
    <w:p w14:paraId="10726C5A" w14:textId="77777777" w:rsidR="006020E2" w:rsidRPr="006020E2" w:rsidRDefault="006020E2" w:rsidP="006020E2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  <w:lang w:eastAsia="pt-BR"/>
        </w:rPr>
      </w:pPr>
    </w:p>
    <w:p w14:paraId="10B37F6E" w14:textId="77777777" w:rsidR="006020E2" w:rsidRPr="006020E2" w:rsidRDefault="006020E2" w:rsidP="006020E2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auto"/>
          <w:sz w:val="24"/>
          <w:szCs w:val="24"/>
          <w:lang w:eastAsia="pt-BR"/>
        </w:rPr>
      </w:pPr>
      <w:r w:rsidRPr="006020E2">
        <w:rPr>
          <w:rFonts w:ascii="Calibri" w:eastAsia="Times New Roman" w:hAnsi="Calibri" w:cs="Times New Roman"/>
          <w:b/>
          <w:color w:val="auto"/>
          <w:sz w:val="24"/>
          <w:szCs w:val="24"/>
          <w:lang w:eastAsia="pt-BR"/>
        </w:rPr>
        <w:t>HAROLDO PINHEIRO VILLAR DE QUEIROZ</w:t>
      </w:r>
    </w:p>
    <w:p w14:paraId="512C646B" w14:textId="77777777" w:rsidR="006020E2" w:rsidRPr="006020E2" w:rsidRDefault="006020E2" w:rsidP="006020E2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</w:pPr>
      <w:r w:rsidRPr="006020E2">
        <w:rPr>
          <w:rFonts w:ascii="Calibri" w:eastAsia="Times New Roman" w:hAnsi="Calibri" w:cs="Times New Roman"/>
          <w:color w:val="auto"/>
          <w:sz w:val="24"/>
          <w:szCs w:val="24"/>
          <w:lang w:eastAsia="pt-BR"/>
        </w:rPr>
        <w:t>Presidente do CAU/BR</w:t>
      </w:r>
    </w:p>
    <w:p w14:paraId="2F154553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FF0000"/>
          <w:sz w:val="24"/>
          <w:szCs w:val="24"/>
        </w:rPr>
      </w:pPr>
    </w:p>
    <w:p w14:paraId="5E113C9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FF0000"/>
          <w:sz w:val="24"/>
          <w:szCs w:val="24"/>
        </w:rPr>
      </w:pPr>
    </w:p>
    <w:p w14:paraId="564D8873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777894B1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67ED403C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3C63A68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36BB5DE1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4D0D601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52D67D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9F68AFD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523ECF7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4EAB0ED5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364D71A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E9CAC2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7B8443DA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C2C088B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60508A3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CD287DE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3B3121D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7CA9A6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2935B23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6A1BF3C7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4D63FDA0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005B5ED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4620ED8F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78466415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3F7A715D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575BE0D0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7ACC7835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12C71A2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10"/>
          <w:szCs w:val="24"/>
        </w:rPr>
      </w:pPr>
    </w:p>
    <w:p w14:paraId="71100860" w14:textId="77777777" w:rsidR="006020E2" w:rsidRPr="006020E2" w:rsidRDefault="006020E2" w:rsidP="006020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044150D8" w14:textId="77777777" w:rsidR="00110BB2" w:rsidRDefault="00110BB2" w:rsidP="00110B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58C71A3A" w14:textId="77777777" w:rsidR="00110BB2" w:rsidRDefault="00110BB2" w:rsidP="00110B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3D774325" w14:textId="77777777" w:rsidR="00110BB2" w:rsidRDefault="00110BB2" w:rsidP="00110B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2357B072" w14:textId="77777777" w:rsidR="00110BB2" w:rsidRDefault="00110BB2" w:rsidP="00110BB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31FD97D3" w14:textId="6945FFE7" w:rsidR="001F1C41" w:rsidRPr="00110BB2" w:rsidRDefault="006020E2" w:rsidP="00110BB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6020E2">
        <w:rPr>
          <w:rFonts w:ascii="Calibri" w:eastAsia="Times New Roman" w:hAnsi="Calibri"/>
          <w:color w:val="auto"/>
          <w:sz w:val="24"/>
          <w:szCs w:val="24"/>
        </w:rPr>
        <w:t xml:space="preserve">¹ </w:t>
      </w:r>
      <w:r w:rsidRPr="006020E2">
        <w:rPr>
          <w:rFonts w:ascii="Calibri" w:eastAsia="Times New Roman" w:hAnsi="Calibri"/>
          <w:color w:val="auto"/>
          <w:szCs w:val="24"/>
        </w:rPr>
        <w:t xml:space="preserve">Republicada em 4 de abril de 2017, por ter saído com incorreções no original publicado em 6 de março de </w:t>
      </w:r>
      <w:bookmarkStart w:id="0" w:name="_GoBack"/>
      <w:bookmarkEnd w:id="0"/>
      <w:r w:rsidRPr="006020E2">
        <w:rPr>
          <w:rFonts w:ascii="Calibri" w:eastAsia="Times New Roman" w:hAnsi="Calibri"/>
          <w:color w:val="auto"/>
          <w:szCs w:val="24"/>
        </w:rPr>
        <w:t xml:space="preserve">2017. </w:t>
      </w:r>
    </w:p>
    <w:sectPr w:rsidR="001F1C41" w:rsidRPr="00110BB2" w:rsidSect="004866D0">
      <w:headerReference w:type="default" r:id="rId13"/>
      <w:footerReference w:type="default" r:id="rId14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B176E" w14:textId="77777777" w:rsidR="00F32644" w:rsidRDefault="00F32644" w:rsidP="00EE0A57">
      <w:pPr>
        <w:spacing w:after="0" w:line="240" w:lineRule="auto"/>
      </w:pPr>
      <w:r>
        <w:separator/>
      </w:r>
    </w:p>
  </w:endnote>
  <w:endnote w:type="continuationSeparator" w:id="0">
    <w:p w14:paraId="503C3288" w14:textId="77777777" w:rsidR="00F32644" w:rsidRDefault="00F3264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0AE1" w14:textId="1F394DF2" w:rsidR="00E0640A" w:rsidRPr="00DA59B2" w:rsidRDefault="00F32644" w:rsidP="00DA59B2">
    <w:pPr>
      <w:pStyle w:val="Rodap"/>
      <w:jc w:val="right"/>
      <w:rPr>
        <w:b/>
        <w:bCs/>
        <w:color w:val="1B6469"/>
      </w:rPr>
    </w:pPr>
    <w:sdt>
      <w:sdtPr>
        <w:rPr>
          <w:b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/>
            <w:bCs/>
            <w:color w:val="1B6469"/>
          </w:rPr>
          <w:fldChar w:fldCharType="begin"/>
        </w:r>
        <w:r w:rsidR="00314C0D" w:rsidRPr="007A55E4">
          <w:rPr>
            <w:bCs/>
            <w:color w:val="1B6469"/>
          </w:rPr>
          <w:instrText>PAGE   \* MERGEFORMAT</w:instrText>
        </w:r>
        <w:r w:rsidR="00314C0D" w:rsidRPr="007A55E4">
          <w:rPr>
            <w:b/>
            <w:bCs/>
            <w:color w:val="1B6469"/>
          </w:rPr>
          <w:fldChar w:fldCharType="separate"/>
        </w:r>
        <w:r w:rsidR="00110BB2" w:rsidRPr="00110BB2">
          <w:rPr>
            <w:b/>
            <w:bCs/>
            <w:noProof/>
            <w:color w:val="1B6469"/>
          </w:rPr>
          <w:t>5</w:t>
        </w:r>
        <w:r w:rsidR="00314C0D" w:rsidRPr="007A55E4">
          <w:rPr>
            <w:b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0F4D5" w14:textId="77777777" w:rsidR="00F32644" w:rsidRDefault="00F32644" w:rsidP="00EE0A57">
      <w:pPr>
        <w:spacing w:after="0" w:line="240" w:lineRule="auto"/>
      </w:pPr>
      <w:r>
        <w:separator/>
      </w:r>
    </w:p>
  </w:footnote>
  <w:footnote w:type="continuationSeparator" w:id="0">
    <w:p w14:paraId="364490DF" w14:textId="77777777" w:rsidR="00F32644" w:rsidRDefault="00F3264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258940EC" w:rsidR="00C91CA5" w:rsidRPr="006020E2" w:rsidRDefault="00EA4731" w:rsidP="00E2296E">
    <w:pPr>
      <w:spacing w:after="0" w:line="276" w:lineRule="auto"/>
      <w:rPr>
        <w:color w:val="FFFFFF"/>
        <w:sz w:val="12"/>
        <w:szCs w:val="12"/>
      </w:rPr>
    </w:pPr>
    <w:r w:rsidRPr="006020E2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6020E2">
      <w:rPr>
        <w:color w:val="FFFFFF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3F4A"/>
    <w:rsid w:val="0000572D"/>
    <w:rsid w:val="00037092"/>
    <w:rsid w:val="00054C0F"/>
    <w:rsid w:val="00057244"/>
    <w:rsid w:val="00082A85"/>
    <w:rsid w:val="000B5081"/>
    <w:rsid w:val="000B5EEF"/>
    <w:rsid w:val="000F0C06"/>
    <w:rsid w:val="00110BB2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020E2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8E53BC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02C26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82B67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32644"/>
    <w:rsid w:val="00F42952"/>
    <w:rsid w:val="00F44922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ubr.gov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h@caubr.gov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5E59B-B112-4C56-BDE6-046A5351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Laura Caroline</cp:lastModifiedBy>
  <cp:revision>3</cp:revision>
  <cp:lastPrinted>2022-02-02T13:16:00Z</cp:lastPrinted>
  <dcterms:created xsi:type="dcterms:W3CDTF">2022-02-02T18:39:00Z</dcterms:created>
  <dcterms:modified xsi:type="dcterms:W3CDTF">2022-02-02T18:40:00Z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