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2AE2" w14:textId="77777777" w:rsidR="0041722D" w:rsidRPr="009477F5" w:rsidRDefault="0041722D" w:rsidP="0041722D">
      <w:pPr>
        <w:rPr>
          <w:rFonts w:ascii="Calibri" w:hAnsi="Calibri" w:cs="Arial"/>
          <w:strike/>
        </w:rPr>
      </w:pPr>
    </w:p>
    <w:p w14:paraId="5B00CE3A" w14:textId="77777777" w:rsidR="00EA6A06" w:rsidRDefault="00EA6A06" w:rsidP="00EA6A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PORTARIA NORMATIVA N° 48, DE 11 DE AGOSTO DE 2016</w:t>
      </w:r>
    </w:p>
    <w:p w14:paraId="48F47E0E" w14:textId="77777777" w:rsidR="00EA6A06" w:rsidRPr="00EA6A06" w:rsidRDefault="00EA6A06" w:rsidP="00EA6A06">
      <w:pPr>
        <w:jc w:val="center"/>
        <w:rPr>
          <w:rFonts w:asciiTheme="minorHAnsi" w:hAnsiTheme="minorHAnsi" w:cstheme="minorHAnsi"/>
        </w:rPr>
      </w:pPr>
    </w:p>
    <w:p w14:paraId="6694CA02" w14:textId="77777777" w:rsidR="00EA6A06" w:rsidRPr="00EA6A06" w:rsidRDefault="00EA6A06" w:rsidP="00EA6A06">
      <w:pPr>
        <w:tabs>
          <w:tab w:val="left" w:pos="5040"/>
        </w:tabs>
        <w:ind w:left="4253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Altera as Portarias Normativas n° 31, de 12 de janeiro de 2015, e n° 33, de 17 de abril de 2015, e dá outras providências.</w:t>
      </w:r>
    </w:p>
    <w:p w14:paraId="75169048" w14:textId="77777777" w:rsidR="00EA6A06" w:rsidRPr="00EA6A06" w:rsidRDefault="00EA6A06" w:rsidP="00EA6A06">
      <w:pPr>
        <w:tabs>
          <w:tab w:val="left" w:pos="5040"/>
        </w:tabs>
        <w:ind w:left="4859"/>
        <w:jc w:val="both"/>
        <w:rPr>
          <w:rFonts w:asciiTheme="minorHAnsi" w:hAnsiTheme="minorHAnsi" w:cstheme="minorHAnsi"/>
        </w:rPr>
      </w:pPr>
    </w:p>
    <w:p w14:paraId="29A0FEF2" w14:textId="0C302504" w:rsidR="00EA6A06" w:rsidRPr="00EA6A06" w:rsidRDefault="00EA6A06" w:rsidP="00EA6A06">
      <w:pPr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b/>
        </w:rPr>
        <w:t>(Revogada pela Portaria Normativa nº 93, de 30 de dezembro de 2021)</w:t>
      </w:r>
    </w:p>
    <w:p w14:paraId="7DAA0706" w14:textId="4D42C8A4" w:rsidR="00EA6A06" w:rsidRPr="00EA6A06" w:rsidRDefault="00EA6A06" w:rsidP="00EA6A06">
      <w:pPr>
        <w:pStyle w:val="Ttulo"/>
        <w:spacing w:before="0" w:after="0" w:line="240" w:lineRule="auto"/>
        <w:jc w:val="both"/>
        <w:outlineLvl w:val="9"/>
        <w:rPr>
          <w:rFonts w:asciiTheme="minorHAnsi" w:hAnsiTheme="minorHAnsi" w:cstheme="minorHAnsi"/>
          <w:b w:val="0"/>
          <w:strike/>
          <w:sz w:val="24"/>
          <w:szCs w:val="24"/>
        </w:rPr>
      </w:pPr>
      <w:r w:rsidRPr="00EA6A06">
        <w:rPr>
          <w:rFonts w:asciiTheme="minorHAnsi" w:hAnsiTheme="minorHAnsi" w:cstheme="minorHAnsi"/>
          <w:b w:val="0"/>
          <w:strike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</w:t>
      </w:r>
      <w:r w:rsidRPr="00EA6A06">
        <w:rPr>
          <w:rFonts w:asciiTheme="minorHAnsi" w:hAnsiTheme="minorHAnsi" w:cstheme="minorHAnsi"/>
          <w:b w:val="0"/>
          <w:strike/>
          <w:sz w:val="24"/>
          <w:szCs w:val="24"/>
        </w:rPr>
        <w:t xml:space="preserve">tembro de 2012; </w:t>
      </w:r>
      <w:r w:rsidRPr="00EA6A06">
        <w:rPr>
          <w:rFonts w:asciiTheme="minorHAnsi" w:hAnsiTheme="minorHAnsi" w:cstheme="minorHAnsi"/>
          <w:b w:val="0"/>
          <w:strike/>
          <w:sz w:val="24"/>
          <w:szCs w:val="24"/>
        </w:rPr>
        <w:t xml:space="preserve">e </w:t>
      </w:r>
    </w:p>
    <w:p w14:paraId="7EDC6E88" w14:textId="77777777" w:rsidR="00EA6A06" w:rsidRPr="00EA6A06" w:rsidRDefault="00EA6A06" w:rsidP="00EA6A06">
      <w:pPr>
        <w:rPr>
          <w:rFonts w:asciiTheme="minorHAnsi" w:hAnsiTheme="minorHAnsi" w:cstheme="minorHAnsi"/>
          <w:strike/>
        </w:rPr>
      </w:pPr>
    </w:p>
    <w:p w14:paraId="69895343" w14:textId="77777777" w:rsidR="00EA6A06" w:rsidRPr="00EA6A06" w:rsidRDefault="00EA6A06" w:rsidP="00EA6A06">
      <w:pPr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Considerando que, nos termos do art. 41 da Lei n° 12.378,</w:t>
      </w:r>
      <w:bookmarkStart w:id="0" w:name="_GoBack"/>
      <w:bookmarkEnd w:id="0"/>
      <w:r w:rsidRPr="00EA6A06">
        <w:rPr>
          <w:rFonts w:asciiTheme="minorHAnsi" w:hAnsiTheme="minorHAnsi" w:cstheme="minorHAnsi"/>
          <w:strike/>
        </w:rPr>
        <w:t xml:space="preserve"> de 31 de dezembro de 2010, os empregados do CAU/BR são regidos pela Consolidação das Leis do Trabalho (CLT);</w:t>
      </w:r>
    </w:p>
    <w:p w14:paraId="544C14EB" w14:textId="77777777" w:rsidR="00EA6A06" w:rsidRPr="00EA6A06" w:rsidRDefault="00EA6A06" w:rsidP="00EA6A06">
      <w:pPr>
        <w:jc w:val="both"/>
        <w:rPr>
          <w:rFonts w:asciiTheme="minorHAnsi" w:hAnsiTheme="minorHAnsi" w:cstheme="minorHAnsi"/>
          <w:strike/>
        </w:rPr>
      </w:pPr>
    </w:p>
    <w:p w14:paraId="05CB6493" w14:textId="35C9723B" w:rsidR="00EA6A06" w:rsidRPr="00EA6A06" w:rsidRDefault="00EA6A06" w:rsidP="00EA6A06">
      <w:pPr>
        <w:pStyle w:val="Default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  <w:color w:val="auto"/>
        </w:rPr>
        <w:t>Considerando as disposições contidas na Deliberação Plenária n° 22, de 6 de setembro de 2013, alterada pelas Deliberações Plenárias n</w:t>
      </w:r>
      <w:r w:rsidRPr="00EA6A06">
        <w:rPr>
          <w:rFonts w:asciiTheme="minorHAnsi" w:hAnsiTheme="minorHAnsi" w:cstheme="minorHAnsi"/>
          <w:strike/>
          <w:color w:val="auto"/>
        </w:rPr>
        <w:t>° 24, de 8 de novembro de 2013,</w:t>
      </w:r>
      <w:r w:rsidRPr="00EA6A06">
        <w:rPr>
          <w:rFonts w:asciiTheme="minorHAnsi" w:hAnsiTheme="minorHAnsi" w:cstheme="minorHAnsi"/>
          <w:strike/>
          <w:color w:val="auto"/>
        </w:rPr>
        <w:t xml:space="preserve"> n° 38, de 9 de outubro de 2014, e pela Deliberação Plenária DPABR n° 0014-01/2015, de 28 de agosto de 2015;</w:t>
      </w:r>
    </w:p>
    <w:p w14:paraId="66DE0FC6" w14:textId="77777777" w:rsidR="00EA6A06" w:rsidRPr="00EA6A06" w:rsidRDefault="00EA6A06" w:rsidP="00EA6A06">
      <w:pPr>
        <w:jc w:val="both"/>
        <w:rPr>
          <w:rFonts w:asciiTheme="minorHAnsi" w:hAnsiTheme="minorHAnsi" w:cstheme="minorHAnsi"/>
          <w:strike/>
        </w:rPr>
      </w:pPr>
    </w:p>
    <w:p w14:paraId="70101DDB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b/>
          <w:strike/>
          <w:szCs w:val="24"/>
        </w:rPr>
      </w:pPr>
      <w:r w:rsidRPr="00EA6A06">
        <w:rPr>
          <w:rFonts w:asciiTheme="minorHAnsi" w:hAnsiTheme="minorHAnsi" w:cstheme="minorHAnsi"/>
          <w:b/>
          <w:strike/>
          <w:szCs w:val="24"/>
        </w:rPr>
        <w:t>RESOLVE:</w:t>
      </w:r>
    </w:p>
    <w:p w14:paraId="35564F39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  <w:szCs w:val="24"/>
        </w:rPr>
      </w:pPr>
    </w:p>
    <w:p w14:paraId="4B2A1081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  <w:szCs w:val="24"/>
        </w:rPr>
        <w:t>Art. 1° A Portaria Normativa n° 31, de 12 de janeiro de 2015, que “Regulamenta, no âmbito do Conselho de Arquitetura e Urbanismo do Brasil (CAU/BR), as regras para ocupação de emprego de livre provimento e demissão, por empregado ocupante de emprego de provimento efetivo, e em substituição temporária”, e a Portaria Normativa n° 33, de 17 de abril de 2015, que “Regulamenta, no âmbito do Conselho de Arquitetura e Urbanismo do Brasil (CAU/BR), as regras para substituição interna de funções”, passam a vigorar com as alterações previstas nesta Portaria Normativa.</w:t>
      </w:r>
    </w:p>
    <w:p w14:paraId="27C7F3B1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  <w:szCs w:val="24"/>
        </w:rPr>
      </w:pPr>
    </w:p>
    <w:p w14:paraId="3CDC8413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  <w:szCs w:val="24"/>
        </w:rPr>
        <w:t>Art. 2° A Portaria Normativa n° 31, de 12 de janeiro de 2015, alterada pela Portaria Normativa n° 38, de 1° de setembro de 2015, passa a vigorar com as seguintes alterações:</w:t>
      </w:r>
    </w:p>
    <w:p w14:paraId="72C39E46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  <w:szCs w:val="24"/>
        </w:rPr>
      </w:pPr>
    </w:p>
    <w:p w14:paraId="559BC74F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“Art. 1° A ocupação de empregos de livre provimento e demissão, do Quadro de Pessoal do CAU/BR, por empregado ocupante de emprego de provimento efetivo, dar-se-á por ato de designação do presidente do CAU/BR.</w:t>
      </w:r>
    </w:p>
    <w:p w14:paraId="543A007C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</w:p>
    <w:p w14:paraId="50316645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Parágrafo único. O empregado ocupante de emprego de provimento efetivo receberá, no período em que estiver no exercício do emprego de livre provimento e demissão, a remuneração correspondente ao emprego de livre provimento e demissão objeto da substituição.”</w:t>
      </w:r>
    </w:p>
    <w:p w14:paraId="122D3B03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</w:p>
    <w:p w14:paraId="6C3DA2AD" w14:textId="77777777" w:rsidR="00EA6A06" w:rsidRPr="00EA6A06" w:rsidRDefault="00EA6A06" w:rsidP="00EA6A06">
      <w:pPr>
        <w:ind w:left="1418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 xml:space="preserve">“Art. 2° A substituição temporária do titular de emprego de livre provimento e demissão, por empregado ocupante de emprego de provimento efetivo ou por empregado ocupante de outro emprego de livre provimento e demissão, </w:t>
      </w:r>
      <w:r w:rsidRPr="00EA6A06">
        <w:rPr>
          <w:rFonts w:asciiTheme="minorHAnsi" w:hAnsiTheme="minorHAnsi" w:cstheme="minorHAnsi"/>
          <w:strike/>
        </w:rPr>
        <w:lastRenderedPageBreak/>
        <w:t>ocorrerá nos casos de afastamento por período igual ou superior a 10 (dez) dias consecutivos, bem como por ocasião das férias do titular a ser substituído, em qualquer caso mediante designação por ato do presidente do CAU/BR.</w:t>
      </w:r>
    </w:p>
    <w:p w14:paraId="1396B6B8" w14:textId="77777777" w:rsidR="00EA6A06" w:rsidRPr="00EA6A06" w:rsidRDefault="00EA6A06" w:rsidP="00EA6A06">
      <w:pPr>
        <w:ind w:left="1418"/>
        <w:jc w:val="both"/>
        <w:rPr>
          <w:rFonts w:asciiTheme="minorHAnsi" w:hAnsiTheme="minorHAnsi" w:cstheme="minorHAnsi"/>
          <w:strike/>
        </w:rPr>
      </w:pPr>
    </w:p>
    <w:p w14:paraId="17EC6BAA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§ 1° Durante o exercício temporário de emprego de livre provimento e demissão, o substituto receberá a remuneração correspondente ao emprego de livre provimento e demissão objeto da substituição.</w:t>
      </w:r>
    </w:p>
    <w:p w14:paraId="63EB22C9" w14:textId="77777777" w:rsidR="00EA6A06" w:rsidRPr="00EA6A06" w:rsidRDefault="00EA6A06" w:rsidP="00EA6A06">
      <w:pPr>
        <w:ind w:left="1418"/>
        <w:jc w:val="both"/>
        <w:rPr>
          <w:rFonts w:asciiTheme="minorHAnsi" w:hAnsiTheme="minorHAnsi" w:cstheme="minorHAnsi"/>
          <w:strike/>
        </w:rPr>
      </w:pPr>
    </w:p>
    <w:p w14:paraId="4EA2648B" w14:textId="77777777" w:rsidR="00EA6A06" w:rsidRPr="00EA6A06" w:rsidRDefault="00EA6A06" w:rsidP="00EA6A06">
      <w:pPr>
        <w:ind w:left="1418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§ 2° As substituições de que trata este artigo serão, conforme o interesse do serviço, exercidas cumulativamente ou não com o desempenho do emprego originário, respeitados os termos do ato de designação.”</w:t>
      </w:r>
    </w:p>
    <w:p w14:paraId="46F7F513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</w:p>
    <w:p w14:paraId="3181A5CE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  <w:szCs w:val="24"/>
        </w:rPr>
        <w:t>Art. 3° A Portaria Normativa n° 33, de 17 de abril de 2015, passa a vigorar com as seguintes alterações:</w:t>
      </w:r>
    </w:p>
    <w:p w14:paraId="55C2A9C0" w14:textId="77777777" w:rsidR="00EA6A06" w:rsidRPr="00EA6A06" w:rsidRDefault="00EA6A06" w:rsidP="00EA6A06">
      <w:pPr>
        <w:jc w:val="both"/>
        <w:rPr>
          <w:rFonts w:asciiTheme="minorHAnsi" w:hAnsiTheme="minorHAnsi" w:cstheme="minorHAnsi"/>
          <w:strike/>
        </w:rPr>
      </w:pPr>
    </w:p>
    <w:p w14:paraId="27F70364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“Art. 3° Nas substituições de que trata esta Portaria Normativa, o CAU/BR pagará aos substitutos acréscimos salariais por substituição calculados segundo os seguintes critérios:</w:t>
      </w:r>
    </w:p>
    <w:p w14:paraId="4A49E899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</w:p>
    <w:p w14:paraId="106D042F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I - nas substituições de mesmo nível (art. 2°, incisos I e III), uma gratificação equivalente a 30% (trinta por cento) do valor do salário base atribuído ao emprego de provimento efetivo a ser exercido;</w:t>
      </w:r>
    </w:p>
    <w:p w14:paraId="4146474E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</w:p>
    <w:p w14:paraId="402A5912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II - nas substituições entre diferentes níveis de emprego de provimento efetivo, a remuneração correspondente ao emprego de provimento efetivo objeto da substituição.</w:t>
      </w:r>
    </w:p>
    <w:p w14:paraId="33A7EA4C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</w:p>
    <w:p w14:paraId="4BD42885" w14:textId="77777777" w:rsidR="00EA6A06" w:rsidRPr="00EA6A06" w:rsidRDefault="00EA6A06" w:rsidP="00EA6A06">
      <w:pPr>
        <w:ind w:left="1440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</w:rPr>
        <w:t>Parágrafo único. Para o cálculo dos acréscimos salariais a que se refere este artigo, serão considerados os valores de remuneração previstos na tabela de que trata o Anexo I da Deliberação Plenária n° 22, de 6 de setembro de 2013, com as atualizações posteriores.”</w:t>
      </w:r>
    </w:p>
    <w:p w14:paraId="25235806" w14:textId="77777777" w:rsidR="00EA6A06" w:rsidRPr="00EA6A06" w:rsidRDefault="00EA6A06" w:rsidP="00EA6A06">
      <w:pPr>
        <w:jc w:val="both"/>
        <w:rPr>
          <w:rFonts w:asciiTheme="minorHAnsi" w:hAnsiTheme="minorHAnsi" w:cstheme="minorHAnsi"/>
          <w:strike/>
        </w:rPr>
      </w:pPr>
    </w:p>
    <w:p w14:paraId="57F4B29F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  <w:szCs w:val="24"/>
        </w:rPr>
        <w:t>Art. 4° Aos empregados designados para o exercício de emprego de livre provimento e demissão, em caráter efetivo ou temporário, nos termos regulados pela Portaria Normativa n° 31, de 2015, com as alterações desta Portaria Normativa, aplica-se o disposto no art. 62 da Consolidação das Leis do Trabalho.</w:t>
      </w:r>
    </w:p>
    <w:p w14:paraId="617572CC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  <w:szCs w:val="24"/>
        </w:rPr>
      </w:pPr>
    </w:p>
    <w:p w14:paraId="71C1F1AB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  <w:szCs w:val="24"/>
        </w:rPr>
        <w:t xml:space="preserve">Art. 5° Esta Portaria entra em vigor na data de sua publicação no sítio eletrônico do CAU/BR na Rede Mundial de Computadores (Internet), no endereço </w:t>
      </w:r>
      <w:hyperlink r:id="rId8" w:history="1">
        <w:r w:rsidRPr="00EA6A06">
          <w:rPr>
            <w:rStyle w:val="Hyperlink"/>
            <w:rFonts w:asciiTheme="minorHAnsi" w:hAnsiTheme="minorHAnsi" w:cstheme="minorHAnsi"/>
            <w:strike/>
            <w:szCs w:val="24"/>
          </w:rPr>
          <w:t>www.caubr.gov.br</w:t>
        </w:r>
      </w:hyperlink>
      <w:r w:rsidRPr="00EA6A06">
        <w:rPr>
          <w:rFonts w:asciiTheme="minorHAnsi" w:hAnsiTheme="minorHAnsi" w:cstheme="minorHAnsi"/>
          <w:strike/>
          <w:szCs w:val="24"/>
        </w:rPr>
        <w:t>, com efeitos a partir de 8 de agosto de 2016.</w:t>
      </w:r>
    </w:p>
    <w:p w14:paraId="38612D19" w14:textId="77777777" w:rsidR="00EA6A06" w:rsidRPr="00EA6A06" w:rsidRDefault="00EA6A06" w:rsidP="00EA6A06">
      <w:pPr>
        <w:pStyle w:val="Textopadro"/>
        <w:jc w:val="both"/>
        <w:rPr>
          <w:rFonts w:asciiTheme="minorHAnsi" w:hAnsiTheme="minorHAnsi" w:cstheme="minorHAnsi"/>
          <w:strike/>
          <w:szCs w:val="24"/>
        </w:rPr>
      </w:pPr>
    </w:p>
    <w:p w14:paraId="030BFB37" w14:textId="77777777" w:rsidR="00EA6A06" w:rsidRPr="00EA6A06" w:rsidRDefault="00EA6A06" w:rsidP="00EA6A06">
      <w:pPr>
        <w:pStyle w:val="Textopadro"/>
        <w:jc w:val="center"/>
        <w:rPr>
          <w:rFonts w:asciiTheme="minorHAnsi" w:hAnsiTheme="minorHAnsi" w:cstheme="minorHAnsi"/>
          <w:strike/>
          <w:szCs w:val="24"/>
        </w:rPr>
      </w:pPr>
      <w:r w:rsidRPr="00EA6A06">
        <w:rPr>
          <w:rFonts w:asciiTheme="minorHAnsi" w:hAnsiTheme="minorHAnsi" w:cstheme="minorHAnsi"/>
          <w:strike/>
          <w:szCs w:val="24"/>
        </w:rPr>
        <w:t>Brasília, 11 de agosto de 2016.</w:t>
      </w:r>
    </w:p>
    <w:p w14:paraId="7DB12C5E" w14:textId="77777777" w:rsidR="00EA6A06" w:rsidRPr="00EA6A06" w:rsidRDefault="00EA6A06" w:rsidP="00EA6A06">
      <w:pPr>
        <w:pStyle w:val="Textopadro"/>
        <w:jc w:val="center"/>
        <w:rPr>
          <w:rFonts w:asciiTheme="minorHAnsi" w:hAnsiTheme="minorHAnsi" w:cstheme="minorHAnsi"/>
          <w:strike/>
          <w:szCs w:val="24"/>
        </w:rPr>
      </w:pPr>
    </w:p>
    <w:p w14:paraId="1100059E" w14:textId="77777777" w:rsidR="00EA6A06" w:rsidRPr="00EA6A06" w:rsidRDefault="00EA6A06" w:rsidP="00EA6A06">
      <w:pPr>
        <w:pStyle w:val="Textopadro"/>
        <w:jc w:val="center"/>
        <w:rPr>
          <w:rFonts w:asciiTheme="minorHAnsi" w:hAnsiTheme="minorHAnsi" w:cstheme="minorHAnsi"/>
          <w:strike/>
          <w:szCs w:val="24"/>
        </w:rPr>
      </w:pPr>
    </w:p>
    <w:p w14:paraId="48E4455B" w14:textId="77777777" w:rsidR="00EA6A06" w:rsidRPr="00EA6A06" w:rsidRDefault="00EA6A06" w:rsidP="00EA6A06">
      <w:pPr>
        <w:pStyle w:val="Textopadro"/>
        <w:jc w:val="center"/>
        <w:rPr>
          <w:rFonts w:asciiTheme="minorHAnsi" w:hAnsiTheme="minorHAnsi" w:cstheme="minorHAnsi"/>
          <w:strike/>
          <w:szCs w:val="24"/>
        </w:rPr>
      </w:pPr>
    </w:p>
    <w:p w14:paraId="78458E6B" w14:textId="77777777" w:rsidR="00EA6A06" w:rsidRPr="00EA6A06" w:rsidRDefault="00EA6A06" w:rsidP="00EA6A06">
      <w:pPr>
        <w:pStyle w:val="Textopadro"/>
        <w:jc w:val="center"/>
        <w:rPr>
          <w:rFonts w:asciiTheme="minorHAnsi" w:hAnsiTheme="minorHAnsi" w:cstheme="minorHAnsi"/>
          <w:b/>
          <w:strike/>
          <w:szCs w:val="24"/>
        </w:rPr>
      </w:pPr>
      <w:r w:rsidRPr="00EA6A06">
        <w:rPr>
          <w:rFonts w:asciiTheme="minorHAnsi" w:hAnsiTheme="minorHAnsi" w:cstheme="minorHAnsi"/>
          <w:b/>
          <w:strike/>
          <w:szCs w:val="24"/>
        </w:rPr>
        <w:t>HAROLDO PINHEIRO VILLAR DE QUEIROZ</w:t>
      </w:r>
    </w:p>
    <w:p w14:paraId="1F75A153" w14:textId="77777777" w:rsidR="00EA6A06" w:rsidRPr="00EA6A06" w:rsidRDefault="00EA6A06" w:rsidP="00EA6A06">
      <w:pPr>
        <w:pStyle w:val="Textopadro"/>
        <w:jc w:val="center"/>
        <w:rPr>
          <w:rFonts w:asciiTheme="minorHAnsi" w:hAnsiTheme="minorHAnsi" w:cstheme="minorHAnsi"/>
          <w:strike/>
        </w:rPr>
      </w:pPr>
      <w:r w:rsidRPr="00EA6A06">
        <w:rPr>
          <w:rFonts w:asciiTheme="minorHAnsi" w:hAnsiTheme="minorHAnsi" w:cstheme="minorHAnsi"/>
          <w:strike/>
          <w:szCs w:val="24"/>
        </w:rPr>
        <w:lastRenderedPageBreak/>
        <w:t>Presidente do CAU/BR</w:t>
      </w:r>
    </w:p>
    <w:p w14:paraId="47A696C2" w14:textId="397947D7" w:rsidR="0024612C" w:rsidRPr="00EA6A06" w:rsidRDefault="0024612C" w:rsidP="00EA6A06">
      <w:pPr>
        <w:jc w:val="both"/>
        <w:rPr>
          <w:rStyle w:val="Forte"/>
          <w:rFonts w:asciiTheme="minorHAnsi" w:hAnsiTheme="minorHAnsi" w:cstheme="minorHAnsi"/>
          <w:b w:val="0"/>
        </w:rPr>
      </w:pPr>
    </w:p>
    <w:sectPr w:rsidR="0024612C" w:rsidRPr="00EA6A06" w:rsidSect="00061A2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61B6" w14:textId="77777777" w:rsidR="006E6695" w:rsidRDefault="006E6695">
      <w:r>
        <w:separator/>
      </w:r>
    </w:p>
  </w:endnote>
  <w:endnote w:type="continuationSeparator" w:id="0">
    <w:p w14:paraId="406415E6" w14:textId="77777777" w:rsidR="006E6695" w:rsidRDefault="006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EA6A06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2D427" w14:textId="77777777" w:rsidR="006E6695" w:rsidRDefault="006E6695">
      <w:r>
        <w:separator/>
      </w:r>
    </w:p>
  </w:footnote>
  <w:footnote w:type="continuationSeparator" w:id="0">
    <w:p w14:paraId="1DED0BA9" w14:textId="77777777" w:rsidR="006E6695" w:rsidRDefault="006E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0BB2"/>
    <w:rsid w:val="00022535"/>
    <w:rsid w:val="0002277A"/>
    <w:rsid w:val="0002485F"/>
    <w:rsid w:val="0003153D"/>
    <w:rsid w:val="00034DBC"/>
    <w:rsid w:val="0004261E"/>
    <w:rsid w:val="00061A2C"/>
    <w:rsid w:val="000739EA"/>
    <w:rsid w:val="000771E3"/>
    <w:rsid w:val="000A5312"/>
    <w:rsid w:val="000B552B"/>
    <w:rsid w:val="000E003F"/>
    <w:rsid w:val="00141AB6"/>
    <w:rsid w:val="00146CFE"/>
    <w:rsid w:val="0015125F"/>
    <w:rsid w:val="00165703"/>
    <w:rsid w:val="00173CAF"/>
    <w:rsid w:val="00174DFF"/>
    <w:rsid w:val="0018598F"/>
    <w:rsid w:val="00192A7D"/>
    <w:rsid w:val="001A79E9"/>
    <w:rsid w:val="001D7BF0"/>
    <w:rsid w:val="001E2B77"/>
    <w:rsid w:val="001F48F4"/>
    <w:rsid w:val="00204B6A"/>
    <w:rsid w:val="00206077"/>
    <w:rsid w:val="00217E7E"/>
    <w:rsid w:val="00221707"/>
    <w:rsid w:val="0023435F"/>
    <w:rsid w:val="00240447"/>
    <w:rsid w:val="0024612C"/>
    <w:rsid w:val="00253E3A"/>
    <w:rsid w:val="002678C7"/>
    <w:rsid w:val="00270736"/>
    <w:rsid w:val="00277DB6"/>
    <w:rsid w:val="00281639"/>
    <w:rsid w:val="00281A67"/>
    <w:rsid w:val="002A18B6"/>
    <w:rsid w:val="002A2B19"/>
    <w:rsid w:val="002B65CF"/>
    <w:rsid w:val="002B7891"/>
    <w:rsid w:val="002C44E6"/>
    <w:rsid w:val="002F2C92"/>
    <w:rsid w:val="002F5D24"/>
    <w:rsid w:val="00304F09"/>
    <w:rsid w:val="00305619"/>
    <w:rsid w:val="00313D21"/>
    <w:rsid w:val="00317C1A"/>
    <w:rsid w:val="003325BA"/>
    <w:rsid w:val="0033657D"/>
    <w:rsid w:val="00342F46"/>
    <w:rsid w:val="00344562"/>
    <w:rsid w:val="003472E3"/>
    <w:rsid w:val="00370538"/>
    <w:rsid w:val="00373CC4"/>
    <w:rsid w:val="003868C8"/>
    <w:rsid w:val="003A63EB"/>
    <w:rsid w:val="003C00CE"/>
    <w:rsid w:val="003F0C5B"/>
    <w:rsid w:val="003F61BE"/>
    <w:rsid w:val="00406516"/>
    <w:rsid w:val="0041722D"/>
    <w:rsid w:val="00417EE3"/>
    <w:rsid w:val="004572A8"/>
    <w:rsid w:val="00460172"/>
    <w:rsid w:val="004741EF"/>
    <w:rsid w:val="004816C7"/>
    <w:rsid w:val="00497C3B"/>
    <w:rsid w:val="004E2CEB"/>
    <w:rsid w:val="004F13F5"/>
    <w:rsid w:val="00501B74"/>
    <w:rsid w:val="00501EFA"/>
    <w:rsid w:val="00524E26"/>
    <w:rsid w:val="005418C3"/>
    <w:rsid w:val="005528F6"/>
    <w:rsid w:val="00554FD4"/>
    <w:rsid w:val="005802E8"/>
    <w:rsid w:val="00582177"/>
    <w:rsid w:val="00587696"/>
    <w:rsid w:val="00593D38"/>
    <w:rsid w:val="005B290A"/>
    <w:rsid w:val="005B304B"/>
    <w:rsid w:val="005C3967"/>
    <w:rsid w:val="005E3CAE"/>
    <w:rsid w:val="005F054C"/>
    <w:rsid w:val="005F3C1A"/>
    <w:rsid w:val="00601AC2"/>
    <w:rsid w:val="00603FF4"/>
    <w:rsid w:val="00614476"/>
    <w:rsid w:val="00631487"/>
    <w:rsid w:val="00637952"/>
    <w:rsid w:val="00646E40"/>
    <w:rsid w:val="006560BE"/>
    <w:rsid w:val="006563D8"/>
    <w:rsid w:val="00671F8D"/>
    <w:rsid w:val="006870F8"/>
    <w:rsid w:val="006A0505"/>
    <w:rsid w:val="006D0ACC"/>
    <w:rsid w:val="006D5E60"/>
    <w:rsid w:val="006E6236"/>
    <w:rsid w:val="006E6695"/>
    <w:rsid w:val="006F1335"/>
    <w:rsid w:val="00705A76"/>
    <w:rsid w:val="007274DD"/>
    <w:rsid w:val="007454C2"/>
    <w:rsid w:val="00745B20"/>
    <w:rsid w:val="007508BB"/>
    <w:rsid w:val="00765765"/>
    <w:rsid w:val="00766BC7"/>
    <w:rsid w:val="007A3199"/>
    <w:rsid w:val="007A48E8"/>
    <w:rsid w:val="007D3003"/>
    <w:rsid w:val="007D3C00"/>
    <w:rsid w:val="007F4904"/>
    <w:rsid w:val="00814FE2"/>
    <w:rsid w:val="00832DC2"/>
    <w:rsid w:val="00834E01"/>
    <w:rsid w:val="00847A54"/>
    <w:rsid w:val="00850B3B"/>
    <w:rsid w:val="00857389"/>
    <w:rsid w:val="008618C1"/>
    <w:rsid w:val="00881B8C"/>
    <w:rsid w:val="008828D8"/>
    <w:rsid w:val="008A2D5E"/>
    <w:rsid w:val="008A768E"/>
    <w:rsid w:val="008B352B"/>
    <w:rsid w:val="008B5C0C"/>
    <w:rsid w:val="008F04C0"/>
    <w:rsid w:val="008F3CB3"/>
    <w:rsid w:val="009026A8"/>
    <w:rsid w:val="009206F6"/>
    <w:rsid w:val="00926961"/>
    <w:rsid w:val="00927E34"/>
    <w:rsid w:val="009305E6"/>
    <w:rsid w:val="00940A15"/>
    <w:rsid w:val="009557EC"/>
    <w:rsid w:val="009706B1"/>
    <w:rsid w:val="009775D2"/>
    <w:rsid w:val="009921E4"/>
    <w:rsid w:val="009955E6"/>
    <w:rsid w:val="009958AD"/>
    <w:rsid w:val="009A07A4"/>
    <w:rsid w:val="009C2055"/>
    <w:rsid w:val="009D07DD"/>
    <w:rsid w:val="009F0A66"/>
    <w:rsid w:val="009F0C0F"/>
    <w:rsid w:val="00A26ECB"/>
    <w:rsid w:val="00A35922"/>
    <w:rsid w:val="00A516B7"/>
    <w:rsid w:val="00A60F6B"/>
    <w:rsid w:val="00A66FFE"/>
    <w:rsid w:val="00A71DAB"/>
    <w:rsid w:val="00A778CD"/>
    <w:rsid w:val="00A83EC4"/>
    <w:rsid w:val="00AB4DF8"/>
    <w:rsid w:val="00AC77FC"/>
    <w:rsid w:val="00AE4D79"/>
    <w:rsid w:val="00B04516"/>
    <w:rsid w:val="00B17FEB"/>
    <w:rsid w:val="00B21865"/>
    <w:rsid w:val="00B35FE6"/>
    <w:rsid w:val="00B365E8"/>
    <w:rsid w:val="00B44CE0"/>
    <w:rsid w:val="00B46012"/>
    <w:rsid w:val="00B508E0"/>
    <w:rsid w:val="00B56434"/>
    <w:rsid w:val="00B5716F"/>
    <w:rsid w:val="00B71C2B"/>
    <w:rsid w:val="00B733C0"/>
    <w:rsid w:val="00B80BB2"/>
    <w:rsid w:val="00B86321"/>
    <w:rsid w:val="00BA277B"/>
    <w:rsid w:val="00BC0885"/>
    <w:rsid w:val="00BD4320"/>
    <w:rsid w:val="00BE0E77"/>
    <w:rsid w:val="00BE3757"/>
    <w:rsid w:val="00BE7D10"/>
    <w:rsid w:val="00BF3F88"/>
    <w:rsid w:val="00C2437F"/>
    <w:rsid w:val="00C25394"/>
    <w:rsid w:val="00C354F6"/>
    <w:rsid w:val="00C42B14"/>
    <w:rsid w:val="00C55B31"/>
    <w:rsid w:val="00C6054A"/>
    <w:rsid w:val="00CA1682"/>
    <w:rsid w:val="00CA3F9C"/>
    <w:rsid w:val="00CB40B3"/>
    <w:rsid w:val="00CB431E"/>
    <w:rsid w:val="00CB6912"/>
    <w:rsid w:val="00CC39A1"/>
    <w:rsid w:val="00CD3A20"/>
    <w:rsid w:val="00CD5CF4"/>
    <w:rsid w:val="00CF3EFD"/>
    <w:rsid w:val="00D0693B"/>
    <w:rsid w:val="00D12EEF"/>
    <w:rsid w:val="00D17258"/>
    <w:rsid w:val="00D22A3B"/>
    <w:rsid w:val="00D43322"/>
    <w:rsid w:val="00D66461"/>
    <w:rsid w:val="00D669C7"/>
    <w:rsid w:val="00D87952"/>
    <w:rsid w:val="00D90346"/>
    <w:rsid w:val="00D92167"/>
    <w:rsid w:val="00DC11FE"/>
    <w:rsid w:val="00DD023F"/>
    <w:rsid w:val="00DD454C"/>
    <w:rsid w:val="00DF33A9"/>
    <w:rsid w:val="00E3461E"/>
    <w:rsid w:val="00E426B0"/>
    <w:rsid w:val="00E52347"/>
    <w:rsid w:val="00E55CFA"/>
    <w:rsid w:val="00E60ED8"/>
    <w:rsid w:val="00E731B7"/>
    <w:rsid w:val="00EA6A06"/>
    <w:rsid w:val="00EA7CE0"/>
    <w:rsid w:val="00EB1AA0"/>
    <w:rsid w:val="00EB1AD4"/>
    <w:rsid w:val="00ED35D1"/>
    <w:rsid w:val="00EE1EA4"/>
    <w:rsid w:val="00EF6B32"/>
    <w:rsid w:val="00F04F5F"/>
    <w:rsid w:val="00F22B15"/>
    <w:rsid w:val="00F22BCB"/>
    <w:rsid w:val="00F23F99"/>
    <w:rsid w:val="00F25B28"/>
    <w:rsid w:val="00F34C78"/>
    <w:rsid w:val="00F367BC"/>
    <w:rsid w:val="00F450D0"/>
    <w:rsid w:val="00F45716"/>
    <w:rsid w:val="00F55C9A"/>
    <w:rsid w:val="00F701C3"/>
    <w:rsid w:val="00F7023E"/>
    <w:rsid w:val="00F7069F"/>
    <w:rsid w:val="00FA1B64"/>
    <w:rsid w:val="00FA1EE8"/>
    <w:rsid w:val="00FB06AF"/>
    <w:rsid w:val="00FC1D25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5802E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02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rsid w:val="00EA6A0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rsid w:val="00EA6A06"/>
    <w:pPr>
      <w:suppressAutoHyphens/>
      <w:autoSpaceDN w:val="0"/>
      <w:spacing w:before="240" w:after="60" w:line="276" w:lineRule="auto"/>
      <w:jc w:val="center"/>
      <w:textAlignment w:val="baseline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link w:val="Ttulo"/>
    <w:rsid w:val="00EA6A06"/>
    <w:rPr>
      <w:rFonts w:ascii="Calibri Light" w:eastAsia="Times New Roman" w:hAnsi="Calibri Light"/>
      <w:b/>
      <w:bCs/>
      <w:kern w:val="3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37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12E5-DB3C-4FD5-B154-9F20182D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4599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Fraga</cp:lastModifiedBy>
  <cp:revision>2</cp:revision>
  <cp:lastPrinted>2020-11-16T14:12:00Z</cp:lastPrinted>
  <dcterms:created xsi:type="dcterms:W3CDTF">2022-01-20T13:54:00Z</dcterms:created>
  <dcterms:modified xsi:type="dcterms:W3CDTF">2022-01-20T13:54:00Z</dcterms:modified>
</cp:coreProperties>
</file>