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E459" w14:textId="77777777" w:rsidR="007B4E5D" w:rsidRPr="007B4E5D" w:rsidRDefault="007B4E5D" w:rsidP="007B4E5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7B4E5D">
        <w:rPr>
          <w:rFonts w:ascii="Calibri" w:eastAsia="Times New Roman" w:hAnsi="Calibri"/>
          <w:color w:val="auto"/>
          <w:sz w:val="24"/>
          <w:szCs w:val="24"/>
        </w:rPr>
        <w:t>PORTARIA NORMATIVA N° 40, DE 23 DE OUTUBRO DE 2015</w:t>
      </w:r>
    </w:p>
    <w:p w14:paraId="2CE7F45D" w14:textId="77777777" w:rsidR="007B4E5D" w:rsidRPr="007B4E5D" w:rsidRDefault="007B4E5D" w:rsidP="007B4E5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599658F1" w14:textId="77777777" w:rsidR="007B4E5D" w:rsidRPr="007B4E5D" w:rsidRDefault="007B4E5D" w:rsidP="007B4E5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77DF087D" w14:textId="77777777" w:rsidR="007B4E5D" w:rsidRPr="007B4E5D" w:rsidRDefault="007B4E5D" w:rsidP="007B4E5D">
      <w:pPr>
        <w:suppressAutoHyphens/>
        <w:autoSpaceDN w:val="0"/>
        <w:spacing w:after="0" w:line="240" w:lineRule="auto"/>
        <w:ind w:left="4536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7B4E5D">
        <w:rPr>
          <w:rFonts w:ascii="Calibri" w:eastAsia="Times New Roman" w:hAnsi="Calibri"/>
          <w:b w:val="0"/>
          <w:color w:val="auto"/>
          <w:sz w:val="24"/>
          <w:szCs w:val="24"/>
        </w:rPr>
        <w:t xml:space="preserve">Altera a Portaria Normativa n° 33, de 17 de abril de 2015, e dá outras providências. </w:t>
      </w:r>
    </w:p>
    <w:p w14:paraId="425595AD" w14:textId="77777777" w:rsidR="007B4E5D" w:rsidRPr="007B4E5D" w:rsidRDefault="007B4E5D" w:rsidP="007B4E5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85BE7D6" w14:textId="77777777" w:rsidR="007B4E5D" w:rsidRPr="007B4E5D" w:rsidRDefault="007B4E5D" w:rsidP="007B4E5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8D9DC5A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7B4E5D">
        <w:rPr>
          <w:rFonts w:ascii="Calibri" w:eastAsia="Times New Roman" w:hAnsi="Calibri"/>
          <w:b w:val="0"/>
          <w:color w:val="auto"/>
          <w:sz w:val="24"/>
          <w:szCs w:val="24"/>
        </w:rPr>
        <w:t>O Presidente do Conselho de Arquitetura e Urbanismo do Brasil (CAU/BR), no exercício das competências que lhe conferem o art. 29, inciso III da Lei n° 12.378, de 31 de dezembro de 2010, e o art. 70 do Regimento Geral aprovado pela Resolução CAU/BR n° 33, de 6 de setembro de 2012, e considerando as disposições da Deliberação Plenária n° 22, de 6 de setembro de 2013, alterada pelas Deliberações Plenárias n° 24, de 8 de novembro de 2013, e n° 38, de 9 de outubro de 2014;</w:t>
      </w:r>
    </w:p>
    <w:p w14:paraId="48E739D8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9A2E271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8D5F420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7B4E5D">
        <w:rPr>
          <w:rFonts w:ascii="Calibri" w:eastAsia="Times New Roman" w:hAnsi="Calibri"/>
          <w:color w:val="auto"/>
          <w:sz w:val="24"/>
          <w:szCs w:val="24"/>
        </w:rPr>
        <w:t>RESOLVE:</w:t>
      </w:r>
    </w:p>
    <w:p w14:paraId="330338C2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1DA528BF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6418D8B0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7B4E5D">
        <w:rPr>
          <w:rFonts w:ascii="Calibri" w:eastAsia="Times New Roman" w:hAnsi="Calibri"/>
          <w:b w:val="0"/>
          <w:color w:val="auto"/>
          <w:sz w:val="24"/>
          <w:szCs w:val="24"/>
        </w:rPr>
        <w:t>Art. 1° A Portaria Normativa n° 33, de 17 de abril de 2015, passa a vigorar com as seguintes alterações:</w:t>
      </w:r>
    </w:p>
    <w:p w14:paraId="283DC5B6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4D68E90" w14:textId="77777777" w:rsidR="007B4E5D" w:rsidRPr="007B4E5D" w:rsidRDefault="007B4E5D" w:rsidP="007B4E5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7B4E5D">
        <w:rPr>
          <w:rFonts w:ascii="Calibri" w:eastAsia="Times New Roman" w:hAnsi="Calibri"/>
          <w:b w:val="0"/>
          <w:color w:val="auto"/>
          <w:sz w:val="24"/>
          <w:szCs w:val="24"/>
        </w:rPr>
        <w:t>“Art. 1° .................................................................................................................</w:t>
      </w:r>
    </w:p>
    <w:p w14:paraId="1628140A" w14:textId="77777777" w:rsidR="007B4E5D" w:rsidRPr="007B4E5D" w:rsidRDefault="007B4E5D" w:rsidP="007B4E5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A95826D" w14:textId="77777777" w:rsidR="007B4E5D" w:rsidRPr="007B4E5D" w:rsidRDefault="007B4E5D" w:rsidP="007B4E5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7B4E5D">
        <w:rPr>
          <w:rFonts w:ascii="Calibri" w:eastAsia="Times New Roman" w:hAnsi="Calibri"/>
          <w:b w:val="0"/>
          <w:color w:val="auto"/>
          <w:sz w:val="24"/>
          <w:szCs w:val="24"/>
        </w:rPr>
        <w:t>Parágrafo único. As substituições de que trata este artigo, a serem feitas por atos de designação do Gerente Geral depois de autorizadas pelo presidente do CAU/BR, serão sempre exercidas cumulativamente com o desempenho do emprego de provimento efetivo originário.”</w:t>
      </w:r>
    </w:p>
    <w:p w14:paraId="74B94B50" w14:textId="77777777" w:rsidR="007B4E5D" w:rsidRPr="007B4E5D" w:rsidRDefault="007B4E5D" w:rsidP="007B4E5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38B335A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7B4E5D">
        <w:rPr>
          <w:rFonts w:ascii="Calibri" w:eastAsia="Times New Roman" w:hAnsi="Calibri"/>
          <w:b w:val="0"/>
          <w:color w:val="auto"/>
          <w:sz w:val="24"/>
          <w:szCs w:val="24"/>
        </w:rPr>
        <w:t>Art. 2° Esta Portaria Normativa entra em vigor nesta data.</w:t>
      </w:r>
    </w:p>
    <w:p w14:paraId="0E3DBDC5" w14:textId="77777777" w:rsidR="007B4E5D" w:rsidRPr="007B4E5D" w:rsidRDefault="007B4E5D" w:rsidP="007B4E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1A5D946" w14:textId="77777777" w:rsidR="007B4E5D" w:rsidRPr="007B4E5D" w:rsidRDefault="007B4E5D" w:rsidP="007B4E5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7B4E5D">
        <w:rPr>
          <w:rFonts w:ascii="Calibri" w:eastAsia="Times New Roman" w:hAnsi="Calibri"/>
          <w:b w:val="0"/>
          <w:color w:val="auto"/>
          <w:sz w:val="24"/>
          <w:szCs w:val="24"/>
        </w:rPr>
        <w:t>Brasília, 23 de outubro de 2015.</w:t>
      </w:r>
    </w:p>
    <w:p w14:paraId="028D40CE" w14:textId="77777777" w:rsidR="007B4E5D" w:rsidRPr="007B4E5D" w:rsidRDefault="007B4E5D" w:rsidP="007B4E5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FFBC160" w14:textId="77777777" w:rsidR="007B4E5D" w:rsidRPr="007B4E5D" w:rsidRDefault="007B4E5D" w:rsidP="007B4E5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83675F6" w14:textId="77777777" w:rsidR="007B4E5D" w:rsidRPr="007B4E5D" w:rsidRDefault="007B4E5D" w:rsidP="007B4E5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C585979" w14:textId="77777777" w:rsidR="007B4E5D" w:rsidRPr="007B4E5D" w:rsidRDefault="007B4E5D" w:rsidP="007B4E5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7B4E5D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446D6194" w14:textId="77777777" w:rsidR="007B4E5D" w:rsidRPr="007B4E5D" w:rsidRDefault="007B4E5D" w:rsidP="007B4E5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7B4E5D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p w14:paraId="334556D0" w14:textId="77777777" w:rsidR="007B4E5D" w:rsidRPr="007B4E5D" w:rsidRDefault="007B4E5D" w:rsidP="007B4E5D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14:paraId="31FD97D3" w14:textId="279639EC" w:rsidR="001F1C41" w:rsidRPr="007B4E5D" w:rsidRDefault="001F1C41" w:rsidP="007B4E5D"/>
    <w:sectPr w:rsidR="001F1C41" w:rsidRPr="007B4E5D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F19A" w14:textId="77777777" w:rsidR="007F286F" w:rsidRDefault="007F286F" w:rsidP="00EE0A57">
      <w:pPr>
        <w:spacing w:after="0" w:line="240" w:lineRule="auto"/>
      </w:pPr>
      <w:r>
        <w:separator/>
      </w:r>
    </w:p>
  </w:endnote>
  <w:endnote w:type="continuationSeparator" w:id="0">
    <w:p w14:paraId="7F1F989E" w14:textId="77777777" w:rsidR="007F286F" w:rsidRDefault="007F286F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7F286F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614" w14:textId="77777777" w:rsidR="007F286F" w:rsidRDefault="007F286F" w:rsidP="00EE0A57">
      <w:pPr>
        <w:spacing w:after="0" w:line="240" w:lineRule="auto"/>
      </w:pPr>
      <w:r>
        <w:separator/>
      </w:r>
    </w:p>
  </w:footnote>
  <w:footnote w:type="continuationSeparator" w:id="0">
    <w:p w14:paraId="7B0C5BF8" w14:textId="77777777" w:rsidR="007F286F" w:rsidRDefault="007F286F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572D"/>
    <w:rsid w:val="00037092"/>
    <w:rsid w:val="00054C0F"/>
    <w:rsid w:val="00082A85"/>
    <w:rsid w:val="000B5081"/>
    <w:rsid w:val="000B5EEF"/>
    <w:rsid w:val="000F0C06"/>
    <w:rsid w:val="00113E92"/>
    <w:rsid w:val="0013483D"/>
    <w:rsid w:val="001747C1"/>
    <w:rsid w:val="0019158C"/>
    <w:rsid w:val="0019339B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A7150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7B4E5D"/>
    <w:rsid w:val="007F286F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8576A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67774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1B9C3-C3AE-450E-82F0-356448AA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2022-02-02T13:37:00Z</cp:lastPrinted>
  <dcterms:created xsi:type="dcterms:W3CDTF">2022-02-02T13:49:00Z</dcterms:created>
  <dcterms:modified xsi:type="dcterms:W3CDTF">2022-02-02T13:49:00Z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