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0CB2" w14:textId="77777777" w:rsidR="00082A85" w:rsidRPr="00082A85" w:rsidRDefault="00082A85" w:rsidP="00082A85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color w:val="auto"/>
          <w:sz w:val="24"/>
          <w:szCs w:val="24"/>
        </w:rPr>
        <w:t>PORTARIA NORMATIVA N° 34, DE 7 DE MAIO DE 2015</w:t>
      </w:r>
    </w:p>
    <w:p w14:paraId="3AA1DA99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14:paraId="6E4BFE2D" w14:textId="77777777" w:rsidR="00082A85" w:rsidRPr="00082A85" w:rsidRDefault="00082A85" w:rsidP="00082A85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Altera a Portaria Normativa n° 28, de 16 de dezembro de 2014, que regulamenta o benefício de auxílio alimentação aos empregados do Conselho de Arquitetura e Urbanismo do Brasil (CAU/BR) para o exercício de 2015, e dá outras providências.</w:t>
      </w:r>
    </w:p>
    <w:p w14:paraId="7462FDBB" w14:textId="77777777" w:rsidR="00082A85" w:rsidRPr="00082A85" w:rsidRDefault="00082A85" w:rsidP="00082A85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14:paraId="14ACD2AB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O Presidente do Conselho de Arquitetura e Urbanismo do Brasil (CAU/BR), no exercício das competências que lhe conferem o art. 29, inciso III da Lei n° 12.378, de 31 de dezembro de 2010, e o art. 70 do Regimento Geral aprovado pela Resolução CAU/BR n° 33, de 6 de setembro de 2012, e tendo em vista a aprovação, na Reunião Plenária Ordinária n° 37, realizada no dia 4 de dezembro de 2014, conforme consta da Resolução CAU/BR n° 96, do Plano de Ação  e Orçamento do CAU/BR para o exercício de 2015, o qual contempla recursos orçamentários para o pagamento e os reajustes dos salários e do auxílio alimentação aos empregados do CAU/BR;</w:t>
      </w:r>
    </w:p>
    <w:p w14:paraId="451A949B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14:paraId="27C3D7C6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color w:val="auto"/>
          <w:sz w:val="24"/>
          <w:szCs w:val="24"/>
        </w:rPr>
        <w:t>RESOLVE:</w:t>
      </w:r>
    </w:p>
    <w:p w14:paraId="1F399C20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00273F43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Art. 1º A Portaria Normativa n° 28, de 16 de dezembro de 2014, passa a vigorar com as seguintes alterações:</w:t>
      </w:r>
    </w:p>
    <w:p w14:paraId="7CB29353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14:paraId="69CADAE0" w14:textId="77777777" w:rsidR="00082A85" w:rsidRPr="00082A85" w:rsidRDefault="00082A85" w:rsidP="00082A85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“Art. 2º ......................................................................................................</w:t>
      </w:r>
    </w:p>
    <w:p w14:paraId="263BB80A" w14:textId="77777777" w:rsidR="00082A85" w:rsidRPr="00082A85" w:rsidRDefault="00082A85" w:rsidP="00082A85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..................................................................................................................</w:t>
      </w:r>
    </w:p>
    <w:p w14:paraId="5C102A5A" w14:textId="77777777" w:rsidR="00082A85" w:rsidRPr="00082A85" w:rsidRDefault="00082A85" w:rsidP="00082A85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V - </w:t>
      </w:r>
      <w:proofErr w:type="gramStart"/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havendo</w:t>
      </w:r>
      <w:proofErr w:type="gramEnd"/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faltas ao trabalho, justificadas ou não, ou qualquer suspensão ou interrupção da efetiva prestação dos serviços, excetuadas as hipóteses do inciso VI, o benefício será devido de forma proporcional e exclusivamente aos dias efetivamente trabalhados;</w:t>
      </w:r>
    </w:p>
    <w:p w14:paraId="7335ACE9" w14:textId="77777777" w:rsidR="00082A85" w:rsidRPr="00082A85" w:rsidRDefault="00082A85" w:rsidP="00082A85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14:paraId="6D376E43" w14:textId="77777777" w:rsidR="00082A85" w:rsidRPr="00082A85" w:rsidRDefault="00082A85" w:rsidP="00082A85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VI - </w:t>
      </w:r>
      <w:proofErr w:type="gramStart"/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o</w:t>
      </w:r>
      <w:proofErr w:type="gramEnd"/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 xml:space="preserve"> benefício será devido durante os períodos de gozo de férias remuneradas e nas licenças de nojo e gala.”</w:t>
      </w:r>
    </w:p>
    <w:p w14:paraId="028DF7DB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14:paraId="1B6A353F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Art. 2º Os efeitos desta Portaria Normativa retroagem a 1° de janeiro de 2015, ficando desde logo autorizados os pagamentos ou descontos decorrentes da nova redação dada ao art. 2° da Portaria Normativa nº 28, de 16 de dezembro de 2014.</w:t>
      </w:r>
    </w:p>
    <w:p w14:paraId="54897D91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14:paraId="39A2FFB0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Art. 3º Esta Portaria Normativa entra em vigor nesta data.</w:t>
      </w:r>
    </w:p>
    <w:p w14:paraId="3D37DEE0" w14:textId="77777777" w:rsidR="00082A85" w:rsidRPr="00082A85" w:rsidRDefault="00082A85" w:rsidP="00082A8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14:paraId="236E0C59" w14:textId="77777777" w:rsidR="00082A85" w:rsidRPr="00082A85" w:rsidRDefault="00082A85" w:rsidP="00082A85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Brasília, 7 de maio de 2015.</w:t>
      </w:r>
    </w:p>
    <w:p w14:paraId="4FDC650F" w14:textId="77777777" w:rsidR="00082A85" w:rsidRPr="00082A85" w:rsidRDefault="00082A85" w:rsidP="00082A85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14:paraId="551DC92A" w14:textId="77777777" w:rsidR="00082A85" w:rsidRPr="00082A85" w:rsidRDefault="00082A85" w:rsidP="00082A85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14:paraId="72BB2C7E" w14:textId="77777777" w:rsidR="00082A85" w:rsidRPr="00082A85" w:rsidRDefault="00082A85" w:rsidP="00082A85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</w:p>
    <w:p w14:paraId="11A6CE9E" w14:textId="77777777" w:rsidR="00082A85" w:rsidRPr="00082A85" w:rsidRDefault="00082A85" w:rsidP="00082A85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color w:val="auto"/>
          <w:sz w:val="24"/>
          <w:szCs w:val="24"/>
        </w:rPr>
        <w:t>HAROLDO PINHEIRO VILLAR DE QUEIROZ</w:t>
      </w:r>
    </w:p>
    <w:p w14:paraId="47514C27" w14:textId="77777777" w:rsidR="00082A85" w:rsidRPr="00082A85" w:rsidRDefault="00082A85" w:rsidP="00082A85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</w:pPr>
      <w:r w:rsidRPr="00082A85">
        <w:rPr>
          <w:rFonts w:asciiTheme="minorHAnsi" w:eastAsia="Times New Roman" w:hAnsiTheme="minorHAnsi" w:cstheme="minorHAnsi"/>
          <w:b w:val="0"/>
          <w:color w:val="auto"/>
          <w:sz w:val="24"/>
          <w:szCs w:val="24"/>
        </w:rPr>
        <w:t>Presidente do CAU/BR</w:t>
      </w:r>
    </w:p>
    <w:p w14:paraId="31FD97D3" w14:textId="279639EC" w:rsidR="001F1C41" w:rsidRPr="00082A85" w:rsidRDefault="001F1C41" w:rsidP="00082A85">
      <w:pPr>
        <w:rPr>
          <w:rFonts w:asciiTheme="minorHAnsi" w:hAnsiTheme="minorHAnsi" w:cstheme="minorHAnsi"/>
        </w:rPr>
      </w:pPr>
    </w:p>
    <w:sectPr w:rsidR="001F1C41" w:rsidRPr="00082A85" w:rsidSect="004866D0">
      <w:headerReference w:type="default" r:id="rId11"/>
      <w:footerReference w:type="default" r:id="rId12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5840" w14:textId="77777777" w:rsidR="006900F2" w:rsidRDefault="006900F2" w:rsidP="00EE0A57">
      <w:pPr>
        <w:spacing w:after="0" w:line="240" w:lineRule="auto"/>
      </w:pPr>
      <w:r>
        <w:separator/>
      </w:r>
    </w:p>
  </w:endnote>
  <w:endnote w:type="continuationSeparator" w:id="0">
    <w:p w14:paraId="2812B182" w14:textId="77777777" w:rsidR="006900F2" w:rsidRDefault="006900F2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6900F2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7A39" w14:textId="77777777" w:rsidR="006900F2" w:rsidRDefault="006900F2" w:rsidP="00EE0A57">
      <w:pPr>
        <w:spacing w:after="0" w:line="240" w:lineRule="auto"/>
      </w:pPr>
      <w:r>
        <w:separator/>
      </w:r>
    </w:p>
  </w:footnote>
  <w:footnote w:type="continuationSeparator" w:id="0">
    <w:p w14:paraId="7AC66F88" w14:textId="77777777" w:rsidR="006900F2" w:rsidRDefault="006900F2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572D"/>
    <w:rsid w:val="00037092"/>
    <w:rsid w:val="00054C0F"/>
    <w:rsid w:val="00082A85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900F2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E765C4-8452-4899-81EC-CD3DA2AE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2022-02-02T13:08:00Z</cp:lastPrinted>
  <dcterms:created xsi:type="dcterms:W3CDTF">2022-02-02T13:16:00Z</dcterms:created>
  <dcterms:modified xsi:type="dcterms:W3CDTF">2022-02-02T13:16:00Z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