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5A" w:rsidRPr="0081445A" w:rsidRDefault="0081445A" w:rsidP="0081445A">
      <w:pPr>
        <w:widowControl w:val="0"/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  <w:lang w:eastAsia="pt-BR"/>
        </w:rPr>
      </w:pPr>
      <w:r w:rsidRPr="0081445A">
        <w:rPr>
          <w:rFonts w:ascii="Calibri" w:eastAsia="Times New Roman" w:hAnsi="Calibri"/>
          <w:b/>
          <w:color w:val="auto"/>
          <w:sz w:val="24"/>
          <w:szCs w:val="24"/>
          <w:lang w:eastAsia="pt-BR"/>
        </w:rPr>
        <w:t>PORTARIA NORMATIVA N° 27, DE 1° DE SETEMBRO DE 2014</w:t>
      </w:r>
    </w:p>
    <w:p w:rsidR="0081445A" w:rsidRPr="0081445A" w:rsidRDefault="0081445A" w:rsidP="0081445A">
      <w:pPr>
        <w:widowControl w:val="0"/>
        <w:spacing w:after="0" w:line="240" w:lineRule="auto"/>
        <w:ind w:left="3969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ind w:left="3969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ind w:left="4253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81445A">
        <w:rPr>
          <w:rFonts w:ascii="Calibri" w:eastAsia="Times New Roman" w:hAnsi="Calibri"/>
          <w:color w:val="auto"/>
          <w:sz w:val="24"/>
          <w:szCs w:val="24"/>
          <w:lang w:eastAsia="pt-BR"/>
        </w:rPr>
        <w:t>Altera a Portaria Normativa n° 6, de 2012, que regulamenta o uso de Serviço Móvel Pessoal - Telefonia Móvel Celular no âmbito do Conselho de Arquitetura e Urbanismo do Brasil (CAU/BR) e dá outras providências.</w:t>
      </w: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81445A" w:rsidRPr="0081445A" w:rsidRDefault="0081445A" w:rsidP="0081445A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81445A">
        <w:rPr>
          <w:rFonts w:ascii="Calibri" w:eastAsia="Times New Roman" w:hAnsi="Calibri"/>
          <w:color w:val="auto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2012;</w:t>
      </w: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  <w:lang w:eastAsia="pt-BR"/>
        </w:rPr>
      </w:pPr>
      <w:r w:rsidRPr="0081445A">
        <w:rPr>
          <w:rFonts w:ascii="Calibri" w:eastAsia="Times New Roman" w:hAnsi="Calibri"/>
          <w:b/>
          <w:color w:val="auto"/>
          <w:sz w:val="24"/>
          <w:szCs w:val="24"/>
          <w:lang w:eastAsia="pt-BR"/>
        </w:rPr>
        <w:t xml:space="preserve">RESOLVE: </w:t>
      </w: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81445A"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  <w:t>Art. 1° A</w:t>
      </w:r>
      <w:r w:rsidRPr="0081445A">
        <w:rPr>
          <w:rFonts w:ascii="Calibri" w:eastAsia="Times New Roman" w:hAnsi="Calibri"/>
          <w:color w:val="auto"/>
          <w:sz w:val="24"/>
          <w:szCs w:val="24"/>
        </w:rPr>
        <w:t xml:space="preserve"> Portaria Normativa n° 6, de 22 de maio de 2012, passa a vigorar com as seguintes alterações:</w:t>
      </w: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81445A" w:rsidRPr="0081445A" w:rsidRDefault="0081445A" w:rsidP="0081445A">
      <w:pPr>
        <w:widowControl w:val="0"/>
        <w:spacing w:after="0" w:line="240" w:lineRule="auto"/>
        <w:ind w:left="1418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81445A">
        <w:rPr>
          <w:rFonts w:ascii="Calibri" w:eastAsia="Times New Roman" w:hAnsi="Calibri"/>
          <w:color w:val="auto"/>
          <w:sz w:val="24"/>
          <w:szCs w:val="24"/>
        </w:rPr>
        <w:t xml:space="preserve">“Art. 2° O </w:t>
      </w:r>
      <w:r w:rsidRPr="0081445A">
        <w:rPr>
          <w:rFonts w:ascii="Calibri" w:eastAsia="Times New Roman" w:hAnsi="Calibri"/>
          <w:color w:val="auto"/>
          <w:sz w:val="24"/>
          <w:szCs w:val="24"/>
          <w:lang w:eastAsia="pt-BR"/>
        </w:rPr>
        <w:t>Serviço Móvel Pessoal - Telefonia Móvel Celular será posto à disposição dos seguintes agentes do CAU/BR: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 - Presidente;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II - Conselheiros;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III - Secretário Executivo do CEAU;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 xml:space="preserve">IV - Gerente Geral; 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 - Assessor Especial da Presidência;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VI - Ouvidor Geral;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VII - Chefe de Gabinete;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VIII - Gerentes;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IX - Assessores Chefes;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 - Coordenadores;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lastRenderedPageBreak/>
        <w:t>XI - Assessor de Imprensa;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XII - Analistas de Ouvidoria, de Relações Institucionais e de Relações Legislativas;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XIII - Analistas Técnicos de Órgãos Colegiados, mediante o uso de quatro equipamentos à disposição da Assessoria de Órgãos Colegiados (ASSPOC), conforme as necessidades dos serviços;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XIV - outros agentes do CAU/BR, desde que autorizados pelo Presidente.</w:t>
      </w:r>
    </w:p>
    <w:p w:rsidR="0081445A" w:rsidRPr="0081445A" w:rsidRDefault="0081445A" w:rsidP="0081445A">
      <w:pPr>
        <w:widowControl w:val="0"/>
        <w:spacing w:after="0" w:line="240" w:lineRule="auto"/>
        <w:ind w:left="1418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ind w:left="1418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81445A"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  <w:t xml:space="preserve">Parágrafo único. As substituições de equipamentos de telefonia celular, no caso de haver o recebimento, pelo CAU/BR, de novos equipamentos fornecidos pelas operadoras de telefonia celular, </w:t>
      </w: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serão feitas de forma gradativa, na medida em que sejam recebidos novos equipamentos, respeitada a seguinte ordem: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 - Presidente;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II - Conselheiros Coordenadores das Comissões Ordinárias;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III - Conselheiros Coordenadores das Comissões Especiais;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IV - Conselheiros Coordenadores Adjuntos das Comissões Ordinárias;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 - Conselheiros Coordenadores Adjuntos das Comissões Especiais;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VI - Secretário Executivo do CEAU;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VII - Conselheiros;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VIII - Gerente Geral;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IX - Assessor Especial da Presidência;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 - Ouvidor Geral;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XI - Chefe de Gabinete da Presidência;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XII - Gerentes;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XIII - Assessores Chefes;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XIV - Coordenadores;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XV - Assessor de Imprensa;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XVI - demais agentes do CAU/BR.”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“Art. 4° Os usuários deverão obedecer aos seguintes limites de gastos mensais: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 - Presidente: R$ 800,00 (oitocentos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II - Coordenadores das Comissões Ordinárias: R$ 400,00 (quatrocentos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III - Coordenadores das Comissões Especiais: R$ 400,00 (quatrocentos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IV - Coordenador de Comissão Ordinária acumulando a função de Coordenador da Comissão de Relações Internacionais: R$ 800,00 (oitocentos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 - Conselheiros Federais: R$ 200,00 (duzentos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VI - Secretário Executivo do CEAU: R$ 200,00 (duzentos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VII - Gerente Geral: R$ 400,00 (quatrocentos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VIII - Assessor Especial da Presidência: R$ 400,00 (quatrocentos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IX - Assessor Chefe da Assessoria de Relações Institucionais e Comunicação: R$ 600,00 (seiscentos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 - Ouvidor Geral: R$ 400,00 (quatrocentos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XI - Chefe de Gabinete: R$ 200,00 (duzentos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XII - Gerentes: R$ 200,00 (duzentos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XIII - Assessores Chefes: R$ 200,00 (duzentos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XIV - Assessor de Imprensa: R$ 600,00 (seiscentos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XV - Coordenadores: R$ 200,00 (duzentos reais);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XVI - Analistas de Ouvidoria, de Relações Institucionais e de Relações Parlamentares: R$ 150,00 (cento e cinquenta reais) cada um;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 xml:space="preserve">XVII - Analistas Técnicos de Órgãos Colegiados: sob o controle da Assessoria de Órgãos Colegiados, com uso restrito ao serviço, devendo ser justificado o uso acima de R$ 150,00 (cento e cinquenta reais) por aparelho; </w:t>
      </w: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</w:p>
    <w:p w:rsidR="0081445A" w:rsidRPr="0081445A" w:rsidRDefault="0081445A" w:rsidP="0081445A">
      <w:pPr>
        <w:autoSpaceDE w:val="0"/>
        <w:spacing w:after="0" w:line="240" w:lineRule="auto"/>
        <w:ind w:left="1418"/>
        <w:jc w:val="both"/>
        <w:rPr>
          <w:rFonts w:ascii="Calibri" w:eastAsia="Times New Roman" w:hAnsi="Calibri"/>
          <w:iCs/>
          <w:color w:val="auto"/>
          <w:sz w:val="24"/>
          <w:szCs w:val="24"/>
        </w:rPr>
      </w:pPr>
      <w:r w:rsidRPr="0081445A">
        <w:rPr>
          <w:rFonts w:ascii="Calibri" w:eastAsia="Times New Roman" w:hAnsi="Calibri"/>
          <w:iCs/>
          <w:color w:val="auto"/>
          <w:sz w:val="24"/>
          <w:szCs w:val="24"/>
        </w:rPr>
        <w:t>XVIII - outros agentes do CAU/BR, desde que autorizados pelo Presidente: R$ 150,00 (cento e cinquenta reais).”</w:t>
      </w: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  <w:r w:rsidRPr="0081445A"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  <w:t>Art. 2° Esta Portaria Normativa entra em vigor nesta data.</w:t>
      </w: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  <w:r w:rsidRPr="0081445A"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  <w:t>Brasília, 1° de setembro de 2014.</w:t>
      </w: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81445A" w:rsidRPr="0081445A" w:rsidRDefault="0081445A" w:rsidP="0081445A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  <w:r w:rsidRPr="0081445A">
        <w:rPr>
          <w:rFonts w:ascii="Calibri" w:eastAsia="Times New Roman" w:hAnsi="Calibri"/>
          <w:b/>
          <w:color w:val="auto"/>
          <w:sz w:val="24"/>
          <w:szCs w:val="24"/>
        </w:rPr>
        <w:t>HAROLDO PINHEIRO VILLAR DE QUEIROZ</w:t>
      </w:r>
    </w:p>
    <w:p w:rsidR="0081445A" w:rsidRPr="0081445A" w:rsidRDefault="0081445A" w:rsidP="0081445A">
      <w:pPr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  <w:r w:rsidRPr="0081445A">
        <w:rPr>
          <w:rFonts w:ascii="Calibri" w:eastAsia="Times New Roman" w:hAnsi="Calibri"/>
          <w:color w:val="auto"/>
          <w:sz w:val="24"/>
          <w:szCs w:val="24"/>
        </w:rPr>
        <w:t>Presidente do CAU/BR</w:t>
      </w:r>
    </w:p>
    <w:p w:rsidR="0081445A" w:rsidRPr="0081445A" w:rsidRDefault="0081445A" w:rsidP="0081445A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81445A" w:rsidRPr="0081445A" w:rsidRDefault="0081445A" w:rsidP="0081445A">
      <w:pPr>
        <w:spacing w:after="0"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E5175B" w:rsidRPr="00587A40" w:rsidRDefault="00E5175B" w:rsidP="00587A40">
      <w:bookmarkStart w:id="0" w:name="_GoBack"/>
      <w:bookmarkEnd w:id="0"/>
    </w:p>
    <w:sectPr w:rsidR="00E5175B" w:rsidRPr="00587A40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27" w:rsidRDefault="00821827">
      <w:pPr>
        <w:spacing w:after="0" w:line="240" w:lineRule="auto"/>
      </w:pPr>
      <w:r>
        <w:separator/>
      </w:r>
    </w:p>
  </w:endnote>
  <w:endnote w:type="continuationSeparator" w:id="0">
    <w:p w:rsidR="00821827" w:rsidRDefault="0082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821827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27" w:rsidRDefault="00821827">
      <w:pPr>
        <w:spacing w:after="0" w:line="240" w:lineRule="auto"/>
      </w:pPr>
      <w:r>
        <w:separator/>
      </w:r>
    </w:p>
  </w:footnote>
  <w:footnote w:type="continuationSeparator" w:id="0">
    <w:p w:rsidR="00821827" w:rsidRDefault="0082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0C27E4"/>
    <w:rsid w:val="001D3F52"/>
    <w:rsid w:val="00246FF8"/>
    <w:rsid w:val="00254DA3"/>
    <w:rsid w:val="002F7019"/>
    <w:rsid w:val="003344E4"/>
    <w:rsid w:val="003457FB"/>
    <w:rsid w:val="003B347C"/>
    <w:rsid w:val="0049581B"/>
    <w:rsid w:val="00511A9E"/>
    <w:rsid w:val="00587A40"/>
    <w:rsid w:val="005B374D"/>
    <w:rsid w:val="005E0760"/>
    <w:rsid w:val="006467C6"/>
    <w:rsid w:val="00650432"/>
    <w:rsid w:val="006968FD"/>
    <w:rsid w:val="00733C2C"/>
    <w:rsid w:val="007352A5"/>
    <w:rsid w:val="007D0F56"/>
    <w:rsid w:val="007E0EE5"/>
    <w:rsid w:val="007F07A8"/>
    <w:rsid w:val="0081445A"/>
    <w:rsid w:val="00821827"/>
    <w:rsid w:val="00835BFE"/>
    <w:rsid w:val="008F6546"/>
    <w:rsid w:val="008F6CB1"/>
    <w:rsid w:val="009C5E04"/>
    <w:rsid w:val="00A020F5"/>
    <w:rsid w:val="00A339C1"/>
    <w:rsid w:val="00A430EE"/>
    <w:rsid w:val="00A8722C"/>
    <w:rsid w:val="00B95398"/>
    <w:rsid w:val="00C006A7"/>
    <w:rsid w:val="00D14321"/>
    <w:rsid w:val="00D51C11"/>
    <w:rsid w:val="00D63BD2"/>
    <w:rsid w:val="00DB0FAB"/>
    <w:rsid w:val="00DD447D"/>
    <w:rsid w:val="00DE657C"/>
    <w:rsid w:val="00DF269D"/>
    <w:rsid w:val="00DF7C4E"/>
    <w:rsid w:val="00E5175B"/>
    <w:rsid w:val="00E81F86"/>
    <w:rsid w:val="00EC585B"/>
    <w:rsid w:val="00EE47F0"/>
    <w:rsid w:val="00EE68E9"/>
    <w:rsid w:val="00F00D0D"/>
    <w:rsid w:val="00F341BF"/>
    <w:rsid w:val="00F842C0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Default">
    <w:name w:val="Default"/>
    <w:rsid w:val="008F6546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2022-02-01T15:16:00Z</cp:lastPrinted>
  <dcterms:created xsi:type="dcterms:W3CDTF">2022-02-01T15:19:00Z</dcterms:created>
  <dcterms:modified xsi:type="dcterms:W3CDTF">2022-02-01T15:19:00Z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