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56" w:rsidRPr="007D0F56" w:rsidRDefault="007D0F56" w:rsidP="007D0F56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0F56">
        <w:rPr>
          <w:rFonts w:asciiTheme="minorHAnsi" w:hAnsiTheme="minorHAnsi" w:cstheme="minorHAnsi"/>
          <w:b/>
          <w:sz w:val="24"/>
          <w:szCs w:val="24"/>
        </w:rPr>
        <w:t>PORTARIA NORMATIVA N° 14, DE 17 DE JUNHO DE 2013</w:t>
      </w:r>
    </w:p>
    <w:p w:rsidR="007D0F56" w:rsidRPr="007D0F56" w:rsidRDefault="007D0F56" w:rsidP="007D0F56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  <w:r w:rsidRPr="007D0F56">
        <w:rPr>
          <w:rFonts w:asciiTheme="minorHAnsi" w:hAnsiTheme="minorHAnsi" w:cstheme="minorHAnsi"/>
          <w:sz w:val="24"/>
          <w:szCs w:val="24"/>
        </w:rPr>
        <w:t xml:space="preserve">Regulamenta o pagamento parcelado de </w:t>
      </w:r>
      <w:r w:rsidRPr="007D0F56">
        <w:rPr>
          <w:rFonts w:asciiTheme="minorHAnsi" w:hAnsiTheme="minorHAnsi" w:cstheme="minorHAnsi"/>
          <w:sz w:val="24"/>
          <w:szCs w:val="24"/>
          <w:lang w:eastAsia="pt-BR"/>
        </w:rPr>
        <w:t xml:space="preserve">valores de anuidades em atraso, relativas aos exercícios de 2012 e 2013, devidos por pessoas físicas e jurídicas, </w:t>
      </w:r>
      <w:r w:rsidRPr="007D0F56">
        <w:rPr>
          <w:rFonts w:asciiTheme="minorHAnsi" w:hAnsiTheme="minorHAnsi" w:cstheme="minorHAnsi"/>
          <w:sz w:val="24"/>
          <w:szCs w:val="24"/>
        </w:rPr>
        <w:t>e dá outras providências.</w:t>
      </w:r>
    </w:p>
    <w:p w:rsidR="007D0F56" w:rsidRPr="007D0F56" w:rsidRDefault="007D0F56" w:rsidP="007D0F56">
      <w:pPr>
        <w:ind w:left="4395"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7D0F56" w:rsidRPr="007D0F56" w:rsidRDefault="007D0F56" w:rsidP="007D0F56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D0F56">
        <w:rPr>
          <w:rFonts w:asciiTheme="minorHAnsi" w:hAnsiTheme="minorHAnsi" w:cstheme="minorHAnsi"/>
          <w:sz w:val="24"/>
          <w:szCs w:val="24"/>
        </w:rPr>
        <w:t>O Presidente do Conselho de Arquitetura e Urbanismo do Brasil (CAU/BR), no exercício das atribuições que lhe conferem o art. 29, inciso III da Lei n° 12.378, de 31 de dezembro de 2010, e o art. 70, incisos I e XXXVII do Regimento Geral aprovado pela Resolução CAU/BR n° 33, de 6 de setembro de 2012, de acordo com a deliberação adotada na Reunião Plenária Ordinária n° 18, realizada no dia 9 de maio de 2013;</w:t>
      </w:r>
    </w:p>
    <w:p w:rsidR="007D0F56" w:rsidRPr="007D0F56" w:rsidRDefault="007D0F56" w:rsidP="007D0F56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7D0F56" w:rsidRPr="007D0F56" w:rsidRDefault="007D0F56" w:rsidP="007D0F56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0F56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7D0F56" w:rsidRPr="007D0F56" w:rsidRDefault="007D0F56" w:rsidP="007D0F56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</w:rPr>
      </w:pPr>
      <w:r w:rsidRPr="007D0F56">
        <w:rPr>
          <w:rFonts w:asciiTheme="minorHAnsi" w:hAnsiTheme="minorHAnsi" w:cstheme="minorHAnsi"/>
          <w:sz w:val="24"/>
          <w:szCs w:val="24"/>
        </w:rPr>
        <w:t xml:space="preserve">Art. 1° Os valores devidos por pessoas físicas e jurídicas, relativos às anuidades dos exercícios de 2012 e 2013, não pagos nos prazos e condições previstos na </w:t>
      </w:r>
      <w:r w:rsidRPr="007D0F56">
        <w:rPr>
          <w:rFonts w:asciiTheme="minorHAnsi" w:hAnsiTheme="minorHAnsi" w:cstheme="minorHAnsi"/>
          <w:sz w:val="24"/>
          <w:szCs w:val="24"/>
          <w:lang w:eastAsia="pt-BR"/>
        </w:rPr>
        <w:t xml:space="preserve">Resolução CAU/BR n° 4, de 15 de dezembro de 2011, poderão ser parcelados e pagos nos termos previstos nesta Portaria Normativa. </w:t>
      </w: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 xml:space="preserve">Art. 2° Os valores das anuidades em atraso serão calculados e consolidados no último dia do mês de junho de 2013, tomando-se como referência o valor histórico de cada parcela de anuidade devida e a eles acrescentando-se os seguintes encargos: </w:t>
      </w: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D0F56">
        <w:rPr>
          <w:rFonts w:asciiTheme="minorHAnsi" w:hAnsiTheme="minorHAnsi" w:cstheme="minorHAnsi"/>
          <w:color w:val="auto"/>
        </w:rPr>
        <w:t>I - correção com base na variação da Taxa Referencial do Sistema Especial de Liquidação e de Custódia (SELIC), calculada desde o primeiro dia de atraso até o dia da consolidação;</w:t>
      </w:r>
    </w:p>
    <w:p w:rsidR="007D0F56" w:rsidRPr="007D0F56" w:rsidRDefault="007D0F56" w:rsidP="007D0F56">
      <w:pPr>
        <w:pStyle w:val="Default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D0F56">
        <w:rPr>
          <w:rFonts w:asciiTheme="minorHAnsi" w:hAnsiTheme="minorHAnsi" w:cstheme="minorHAnsi"/>
          <w:color w:val="auto"/>
        </w:rPr>
        <w:t>II - multa de mora nos seguintes percentuais previstos no art. 4°, inciso II da Resolução CAU/BR n° 4, de 2011, calculados sobre o valor do débito com os acréscimos da correção prevista no inciso I antecedente:</w:t>
      </w:r>
    </w:p>
    <w:p w:rsidR="007D0F56" w:rsidRPr="007D0F56" w:rsidRDefault="007D0F56" w:rsidP="007D0F56">
      <w:pPr>
        <w:pStyle w:val="Default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D0F56">
        <w:rPr>
          <w:rFonts w:asciiTheme="minorHAnsi" w:hAnsiTheme="minorHAnsi" w:cstheme="minorHAnsi"/>
          <w:color w:val="auto"/>
        </w:rPr>
        <w:t xml:space="preserve">a) 2% (dois por cento): até o último dia útil do primeiro mês subsequente ao do vencimento; </w:t>
      </w: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D0F56">
        <w:rPr>
          <w:rFonts w:asciiTheme="minorHAnsi" w:hAnsiTheme="minorHAnsi" w:cstheme="minorHAnsi"/>
          <w:color w:val="auto"/>
        </w:rPr>
        <w:t xml:space="preserve">b) 5% (cinco por cento): até o último dia útil do segundo mês subsequente ao do vencimento; </w:t>
      </w: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D0F56">
        <w:rPr>
          <w:rFonts w:asciiTheme="minorHAnsi" w:hAnsiTheme="minorHAnsi" w:cstheme="minorHAnsi"/>
          <w:color w:val="auto"/>
        </w:rPr>
        <w:t xml:space="preserve">c) 8% (oito por cento): até o último dia útil do terceiro mês subsequente ao do vencimento; </w:t>
      </w: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D0F56">
        <w:rPr>
          <w:rFonts w:asciiTheme="minorHAnsi" w:hAnsiTheme="minorHAnsi" w:cstheme="minorHAnsi"/>
          <w:color w:val="auto"/>
        </w:rPr>
        <w:t xml:space="preserve">d) 10% (dez por cento): até o último dia útil do quarto mês subsequente ao do vencimento; </w:t>
      </w: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D0F56">
        <w:rPr>
          <w:rFonts w:asciiTheme="minorHAnsi" w:hAnsiTheme="minorHAnsi" w:cstheme="minorHAnsi"/>
          <w:color w:val="auto"/>
        </w:rPr>
        <w:t>e) 20% (vinte por cento): depois do quarto mês subsequente ao do vencimento.</w:t>
      </w: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</w:rPr>
      </w:pPr>
      <w:r w:rsidRPr="007D0F56">
        <w:rPr>
          <w:rFonts w:asciiTheme="minorHAnsi" w:hAnsiTheme="minorHAnsi" w:cstheme="minorHAnsi"/>
          <w:color w:val="auto"/>
        </w:rPr>
        <w:t xml:space="preserve">Parágrafo único. Para os fins de aplicação dos encargos previstos no </w:t>
      </w:r>
      <w:r w:rsidRPr="007D0F56">
        <w:rPr>
          <w:rFonts w:asciiTheme="minorHAnsi" w:hAnsiTheme="minorHAnsi" w:cstheme="minorHAnsi"/>
          <w:i/>
          <w:color w:val="auto"/>
        </w:rPr>
        <w:t>caput</w:t>
      </w:r>
      <w:r w:rsidRPr="007D0F56">
        <w:rPr>
          <w:rFonts w:asciiTheme="minorHAnsi" w:hAnsiTheme="minorHAnsi" w:cstheme="minorHAnsi"/>
          <w:color w:val="auto"/>
        </w:rPr>
        <w:t xml:space="preserve"> deste artigo, considerar-se-ão vencidas:</w:t>
      </w:r>
    </w:p>
    <w:p w:rsidR="007D0F56" w:rsidRPr="007D0F56" w:rsidRDefault="007D0F56" w:rsidP="007D0F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pStyle w:val="Default"/>
        <w:spacing w:after="20"/>
        <w:jc w:val="both"/>
        <w:rPr>
          <w:rFonts w:asciiTheme="minorHAnsi" w:hAnsiTheme="minorHAnsi" w:cstheme="minorHAnsi"/>
          <w:color w:val="auto"/>
        </w:rPr>
      </w:pPr>
      <w:r w:rsidRPr="007D0F56">
        <w:rPr>
          <w:rFonts w:asciiTheme="minorHAnsi" w:hAnsiTheme="minorHAnsi" w:cstheme="minorHAnsi"/>
          <w:color w:val="auto"/>
        </w:rPr>
        <w:t>I - a anuidade do exercício de 2012, em 31 de março de 2012; e</w:t>
      </w:r>
    </w:p>
    <w:p w:rsidR="007D0F56" w:rsidRPr="007D0F56" w:rsidRDefault="007D0F56" w:rsidP="007D0F56">
      <w:pPr>
        <w:pStyle w:val="Default"/>
        <w:spacing w:after="20"/>
        <w:jc w:val="both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pStyle w:val="Default"/>
        <w:spacing w:after="20"/>
        <w:jc w:val="both"/>
        <w:rPr>
          <w:rFonts w:asciiTheme="minorHAnsi" w:hAnsiTheme="minorHAnsi" w:cstheme="minorHAnsi"/>
          <w:color w:val="auto"/>
        </w:rPr>
      </w:pPr>
      <w:r w:rsidRPr="007D0F56">
        <w:rPr>
          <w:rFonts w:asciiTheme="minorHAnsi" w:hAnsiTheme="minorHAnsi" w:cstheme="minorHAnsi"/>
          <w:color w:val="auto"/>
        </w:rPr>
        <w:t>II - a anuidade do exercício de 2013, em 31 de março de 2013.</w:t>
      </w:r>
    </w:p>
    <w:p w:rsidR="007D0F56" w:rsidRPr="007D0F56" w:rsidRDefault="007D0F56" w:rsidP="007D0F56">
      <w:pPr>
        <w:pStyle w:val="Default"/>
        <w:spacing w:after="20"/>
        <w:jc w:val="both"/>
        <w:rPr>
          <w:rFonts w:asciiTheme="minorHAnsi" w:hAnsiTheme="minorHAnsi" w:cstheme="minorHAnsi"/>
          <w:color w:val="auto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Art. 3° Apurado o valor total do débito, o SICCAU permitirá o parcelamento da dívida em 3 (três) parcelas, nas condições a seguir: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I - a primeira, com vencimento no último dia do mês seguinte ao mês da consolidação;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II - as demais com vencimento no último dia dos meses subsequentes ao vencimento da primeira parcela.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 xml:space="preserve">Parágrafo único. Recaindo o dia do vencimento da parcela em dia sem expediente bancário, o vencimento será automaticamente prorrogado para o primeiro dia útil subsequente. 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Art. 4° Sobre os valores das parcelas de que trata o art. 3° antecedente incidirão juros da seguinte forma: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I - a partir da segunda parcela, equivalentes à variação da SELIC referente ao período decorrido entre o primeiro dia subsequente à data da consolidação do débito até o último dia do mês anterior ao vencimento da parcela;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II - em todas as parcelas, de 1% (um por cento), no mês de pagamento da parcela.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Parágrafo único. Para o cálculo dos juros de que trata o inciso I deste artigo será adotada a taxa SELIC anual vigente na data da consolidação, independentemente da data do pagamento, aplicando-se para cada mês decorrido o percentual correspondente ao duodécimo da taxa anual.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7D0F56">
        <w:rPr>
          <w:rFonts w:asciiTheme="minorHAnsi" w:hAnsiTheme="minorHAnsi" w:cstheme="minorHAnsi"/>
          <w:sz w:val="24"/>
          <w:szCs w:val="24"/>
        </w:rPr>
        <w:t>Art. 5° Não havendo o pagamento de qualquer das parcelas no vencimento, a mesma poderá ainda ser paga até o último dia do mês seguinte, com os acréscimos previstos no art. 4°.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7D0F56">
        <w:rPr>
          <w:rFonts w:asciiTheme="minorHAnsi" w:hAnsiTheme="minorHAnsi" w:cstheme="minorHAnsi"/>
          <w:sz w:val="24"/>
          <w:szCs w:val="24"/>
        </w:rPr>
        <w:t xml:space="preserve">Parágrafo único. Ultrapassado o prazo previsto no </w:t>
      </w:r>
      <w:r w:rsidRPr="007D0F56">
        <w:rPr>
          <w:rFonts w:asciiTheme="minorHAnsi" w:hAnsiTheme="minorHAnsi" w:cstheme="minorHAnsi"/>
          <w:i/>
          <w:sz w:val="24"/>
          <w:szCs w:val="24"/>
        </w:rPr>
        <w:t>caput</w:t>
      </w:r>
      <w:r w:rsidRPr="007D0F56">
        <w:rPr>
          <w:rFonts w:asciiTheme="minorHAnsi" w:hAnsiTheme="minorHAnsi" w:cstheme="minorHAnsi"/>
          <w:sz w:val="24"/>
          <w:szCs w:val="24"/>
        </w:rPr>
        <w:t xml:space="preserve"> deste artigo, o pagamento só será permitido após nova consolidação dos valores em débito, caso em que serão calculadas as diferenças de multas excluídas por ocasião da consolidação do débito referida no art. 2°.</w:t>
      </w: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spacing w:after="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Art. 6° Nenhuma parcela de que trata esta Portaria Normativa poderá ter vencimento posterior a 30 de novembro de 2013.</w:t>
      </w: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Art. 7° A partir do pagamento da primeira parcela do parcelamento de que trata esta Portaria Normativa serão restabelecidos os acessos ao SICCAU dos arquitetos e urbanistas e das pessoas jurídicas cujas funcionalidades tenham sido suspensas por falta de pagamento de anuidade.</w:t>
      </w: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Parágrafo único. Não havendo o pagamento de qualquer das parcelas subsequentes, o SICCAU notificará os arquitetos e urbanistas e as pessoas jurídicas que incorrerem nessa situação, com prazo de 30 (trinta) dias, para efetuarem o pagamento dos valores em atraso ou apresentarem defesa, sob pena de suspensão do acesso aos serviços do SICCAU.</w:t>
      </w: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Art. 8° Tendo em vista as disposições relativas ao parcelamento de débitos de anuidades de que trata esta Portaria Normativa, ficam estabelecidos os seguintes prazos de validade das certidões de registro e quitação das pessoas físicas e jurídicas registradas no CAU:</w:t>
      </w: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I - até 31 de março do exercício subsequente, nos casos em que as anuidades dos exercícios já exigíveis tenham sido pagas integralmente;</w:t>
      </w: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II - até o último dia do mês subsequente à data de vencimento da parcela exigível, nos casos de adesão ao regime de parcelamento de que trata esta Portaria Normativa.</w:t>
      </w: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D0F56">
        <w:rPr>
          <w:rFonts w:asciiTheme="minorHAnsi" w:hAnsiTheme="minorHAnsi" w:cstheme="minorHAnsi"/>
          <w:sz w:val="24"/>
          <w:szCs w:val="24"/>
          <w:lang w:eastAsia="pt-BR"/>
        </w:rPr>
        <w:t>Art. 9° Esta Portaria Normativa entra em vigor nesta data.</w:t>
      </w:r>
    </w:p>
    <w:p w:rsidR="007D0F56" w:rsidRPr="007D0F56" w:rsidRDefault="007D0F56" w:rsidP="007D0F56">
      <w:pPr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7D0F56" w:rsidRPr="007D0F56" w:rsidRDefault="007D0F56" w:rsidP="007D0F56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D0F56">
        <w:rPr>
          <w:rFonts w:asciiTheme="minorHAnsi" w:hAnsiTheme="minorHAnsi" w:cstheme="minorHAnsi"/>
          <w:sz w:val="24"/>
          <w:szCs w:val="24"/>
        </w:rPr>
        <w:t>Brasília, 17 de junho de 2013.</w:t>
      </w:r>
    </w:p>
    <w:p w:rsidR="007D0F56" w:rsidRPr="007D0F56" w:rsidRDefault="007D0F56" w:rsidP="007D0F56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7D0F56" w:rsidRPr="007D0F56" w:rsidRDefault="007D0F56" w:rsidP="007D0F56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7D0F56" w:rsidRPr="007D0F56" w:rsidRDefault="007D0F56" w:rsidP="007D0F56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7D0F56" w:rsidRPr="007D0F56" w:rsidRDefault="007D0F56" w:rsidP="007D0F56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0F56">
        <w:rPr>
          <w:rFonts w:asciiTheme="minorHAnsi" w:hAnsiTheme="minorHAnsi" w:cstheme="minorHAnsi"/>
          <w:b/>
          <w:sz w:val="24"/>
          <w:szCs w:val="24"/>
        </w:rPr>
        <w:t>HAROLDO PINHEIRO VILLAR DE QUEIROZ</w:t>
      </w:r>
    </w:p>
    <w:p w:rsidR="00E5175B" w:rsidRPr="007D0F56" w:rsidRDefault="007D0F56" w:rsidP="007D0F56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D0F56">
        <w:rPr>
          <w:rFonts w:asciiTheme="minorHAnsi" w:hAnsiTheme="minorHAnsi" w:cstheme="minorHAnsi"/>
          <w:sz w:val="24"/>
          <w:szCs w:val="24"/>
        </w:rPr>
        <w:t>Presidente do CAU/BR</w:t>
      </w:r>
      <w:bookmarkStart w:id="0" w:name="_GoBack"/>
      <w:bookmarkEnd w:id="0"/>
    </w:p>
    <w:sectPr w:rsidR="00E5175B" w:rsidRPr="007D0F56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47" w:rsidRDefault="00D45447">
      <w:pPr>
        <w:spacing w:after="0" w:line="240" w:lineRule="auto"/>
      </w:pPr>
      <w:r>
        <w:separator/>
      </w:r>
    </w:p>
  </w:endnote>
  <w:endnote w:type="continuationSeparator" w:id="0">
    <w:p w:rsidR="00D45447" w:rsidRDefault="00D4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D45447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47" w:rsidRDefault="00D45447">
      <w:pPr>
        <w:spacing w:after="0" w:line="240" w:lineRule="auto"/>
      </w:pPr>
      <w:r>
        <w:separator/>
      </w:r>
    </w:p>
  </w:footnote>
  <w:footnote w:type="continuationSeparator" w:id="0">
    <w:p w:rsidR="00D45447" w:rsidRDefault="00D4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1D3F52"/>
    <w:rsid w:val="002F7019"/>
    <w:rsid w:val="003344E4"/>
    <w:rsid w:val="003457FB"/>
    <w:rsid w:val="003B347C"/>
    <w:rsid w:val="00511A9E"/>
    <w:rsid w:val="005B374D"/>
    <w:rsid w:val="006467C6"/>
    <w:rsid w:val="00650432"/>
    <w:rsid w:val="00733C2C"/>
    <w:rsid w:val="007D0F56"/>
    <w:rsid w:val="008F6546"/>
    <w:rsid w:val="009C5E04"/>
    <w:rsid w:val="00A020F5"/>
    <w:rsid w:val="00A430EE"/>
    <w:rsid w:val="00B95398"/>
    <w:rsid w:val="00C006A7"/>
    <w:rsid w:val="00D14321"/>
    <w:rsid w:val="00D45447"/>
    <w:rsid w:val="00D51C11"/>
    <w:rsid w:val="00DD447D"/>
    <w:rsid w:val="00DF7C4E"/>
    <w:rsid w:val="00E5175B"/>
    <w:rsid w:val="00E81F86"/>
    <w:rsid w:val="00EC585B"/>
    <w:rsid w:val="00EE68E9"/>
    <w:rsid w:val="00F00D0D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2022-02-01T13:55:00Z</cp:lastPrinted>
  <dcterms:created xsi:type="dcterms:W3CDTF">2022-02-01T13:58:00Z</dcterms:created>
  <dcterms:modified xsi:type="dcterms:W3CDTF">2022-02-01T13:58:00Z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