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46" w:rsidRPr="008F6546" w:rsidRDefault="008F6546" w:rsidP="008F6546">
      <w:pPr>
        <w:ind w:right="-1"/>
        <w:jc w:val="center"/>
        <w:rPr>
          <w:rFonts w:ascii="Calibri" w:hAnsi="Calibri" w:cs="Calibri"/>
          <w:b/>
          <w:sz w:val="24"/>
        </w:rPr>
      </w:pPr>
      <w:r w:rsidRPr="008F6546">
        <w:rPr>
          <w:rFonts w:ascii="Calibri" w:hAnsi="Calibri" w:cs="Calibri"/>
          <w:b/>
          <w:sz w:val="24"/>
        </w:rPr>
        <w:t>PORTARIA NORMATIVA N° 13, DE 31 DE JANEIRO DE 2013</w:t>
      </w:r>
    </w:p>
    <w:p w:rsidR="008F6546" w:rsidRPr="008F6546" w:rsidRDefault="008F6546" w:rsidP="008F6546">
      <w:pPr>
        <w:ind w:left="4395" w:right="-1"/>
        <w:jc w:val="both"/>
        <w:rPr>
          <w:rFonts w:ascii="Calibri" w:hAnsi="Calibri" w:cs="Calibri"/>
          <w:sz w:val="24"/>
        </w:rPr>
      </w:pPr>
      <w:r w:rsidRPr="008F6546">
        <w:rPr>
          <w:rFonts w:ascii="Calibri" w:hAnsi="Calibri" w:cs="Calibri"/>
          <w:sz w:val="24"/>
        </w:rPr>
        <w:t>Institui o auxílio moradia no âmbito do Quadro Provisório de Pessoal do Conselho de Arquitetura e Urbanismo do Brasil (CAU/BR) e dá outras providências.</w:t>
      </w:r>
    </w:p>
    <w:p w:rsidR="008F6546" w:rsidRPr="008F6546" w:rsidRDefault="008F6546" w:rsidP="008F6546">
      <w:pPr>
        <w:ind w:right="-1"/>
        <w:jc w:val="both"/>
        <w:rPr>
          <w:sz w:val="24"/>
        </w:rPr>
      </w:pPr>
      <w:r w:rsidRPr="008F6546">
        <w:rPr>
          <w:rFonts w:ascii="Calibri" w:hAnsi="Calibri" w:cs="Calibri"/>
          <w:sz w:val="24"/>
        </w:rPr>
        <w:t xml:space="preserve">O Presidente do Conselho de Arquitetura e Urbanismo do Brasil (CAU/BR), no exercício das atribuições que lhe conferem o art. 29, inciso III da Lei n° 12.378, de 31 de dezembro de 2010, e o art. 70, inciso XXXVII </w:t>
      </w:r>
      <w:r w:rsidRPr="008F6546">
        <w:rPr>
          <w:rFonts w:ascii="Calibri" w:hAnsi="Calibri"/>
          <w:sz w:val="24"/>
        </w:rPr>
        <w:t>do Regimento Geral aprovado pela Resolução CAU/BR n° 33, de 6 de setembro de 2012;</w:t>
      </w:r>
    </w:p>
    <w:p w:rsidR="008F6546" w:rsidRPr="008F6546" w:rsidRDefault="008F6546" w:rsidP="008F6546">
      <w:pPr>
        <w:ind w:right="-1"/>
        <w:jc w:val="both"/>
        <w:rPr>
          <w:rFonts w:ascii="Calibri" w:hAnsi="Calibri" w:cs="Calibri"/>
          <w:sz w:val="24"/>
        </w:rPr>
      </w:pPr>
    </w:p>
    <w:p w:rsidR="008F6546" w:rsidRPr="008F6546" w:rsidRDefault="008F6546" w:rsidP="008F6546">
      <w:pPr>
        <w:ind w:right="-1"/>
        <w:jc w:val="both"/>
        <w:rPr>
          <w:rFonts w:ascii="Calibri" w:hAnsi="Calibri" w:cs="Calibri"/>
          <w:b/>
          <w:sz w:val="24"/>
        </w:rPr>
      </w:pPr>
      <w:r w:rsidRPr="008F6546">
        <w:rPr>
          <w:rFonts w:ascii="Calibri" w:hAnsi="Calibri" w:cs="Calibri"/>
          <w:b/>
          <w:sz w:val="24"/>
        </w:rPr>
        <w:t>RESOLVE:</w:t>
      </w:r>
    </w:p>
    <w:p w:rsidR="008F6546" w:rsidRPr="008F6546" w:rsidRDefault="008F6546" w:rsidP="008F6546">
      <w:pPr>
        <w:jc w:val="both"/>
        <w:rPr>
          <w:sz w:val="24"/>
        </w:rPr>
      </w:pPr>
      <w:r w:rsidRPr="008F6546">
        <w:rPr>
          <w:rFonts w:ascii="Calibri" w:hAnsi="Calibri"/>
          <w:b/>
          <w:sz w:val="24"/>
          <w:lang w:eastAsia="pt-BR"/>
        </w:rPr>
        <w:t>Art. 1º</w:t>
      </w:r>
      <w:r w:rsidRPr="008F6546">
        <w:rPr>
          <w:rFonts w:ascii="Calibri" w:hAnsi="Calibri"/>
          <w:sz w:val="24"/>
          <w:lang w:eastAsia="pt-BR"/>
        </w:rPr>
        <w:t xml:space="preserve"> Fica instituído, no âmbito do Quadro Provisório de Pessoal do Conselho de Arquitetura e Urbanismo do Brasil (CAU/BR), aprovado pela Deliberação Plenária nº 1, de 15 de dezembro de 2011, com a redação dada pela Deliberação Plenária nº 13, de 9 de novembro de 2012, o benefício do auxílio moradia. 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sz w:val="24"/>
        </w:rPr>
      </w:pPr>
      <w:r w:rsidRPr="008F6546">
        <w:rPr>
          <w:rFonts w:ascii="Calibri" w:hAnsi="Calibri"/>
          <w:b/>
          <w:sz w:val="24"/>
          <w:lang w:eastAsia="pt-BR"/>
        </w:rPr>
        <w:t>Art. 2°</w:t>
      </w:r>
      <w:r w:rsidRPr="008F6546">
        <w:rPr>
          <w:rFonts w:ascii="Calibri" w:hAnsi="Calibri"/>
          <w:sz w:val="24"/>
          <w:lang w:eastAsia="pt-BR"/>
        </w:rPr>
        <w:t xml:space="preserve"> O benefício do auxílio moradia será deferido quando ocorrerem, simultaneamente, as seguintes situações: 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t xml:space="preserve">I - haja designação da pessoa para desempenhar qualquer dos empregos de livre provimento de que tratam os incisos I a V do item 3 da Deliberação Plenária nº 1, de 2011, com a redação dada pela Deliberação Plenária nº 13, de 2012; 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t>II - a pessoa designada tenha domicílio fixo em local diverso do Distrito Federal e para desempenhar as atividades do emprego a que seja designada necessite fixar, temporariamente, domicílio no Distrito Federal.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sz w:val="24"/>
        </w:rPr>
      </w:pPr>
      <w:r w:rsidRPr="008F6546">
        <w:rPr>
          <w:rFonts w:ascii="Calibri" w:hAnsi="Calibri"/>
          <w:b/>
          <w:sz w:val="24"/>
          <w:lang w:eastAsia="pt-BR"/>
        </w:rPr>
        <w:t>Art. 3°</w:t>
      </w:r>
      <w:r w:rsidRPr="008F6546">
        <w:rPr>
          <w:rFonts w:ascii="Calibri" w:hAnsi="Calibri"/>
          <w:sz w:val="24"/>
          <w:lang w:eastAsia="pt-BR"/>
        </w:rPr>
        <w:t xml:space="preserve"> Na concessão do benefício do auxílio moradia serão observadas as seguintes regras: 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t>I - o benefício cobrirá as seguintes despesas: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lastRenderedPageBreak/>
        <w:t>a) locação de imóvel residencial, incluindo as despesas de aluguel, condomínio, serviços públicos de água, esgoto e energia elétrica, e tributos incidentes sobre a locação que sejam contratualmente cometidos ao locatário;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t>b) serviços de hospedagem, incluindo os acréscimos e tributos vinculados aos serviços de hospedagem;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t>II - será pago mediante reembolso das despesas efetivamente realizadas, à vista da apresentação de documentação fiscal idônea;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  <w:r w:rsidRPr="008F6546">
        <w:rPr>
          <w:rFonts w:ascii="Calibri" w:hAnsi="Calibri"/>
          <w:sz w:val="24"/>
          <w:lang w:eastAsia="pt-BR"/>
        </w:rPr>
        <w:t>III - fica limitado a 20% (vinte por cento) da remuneração atribuída à pessoa designada para o exercício do emprego de livre provimento.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jc w:val="both"/>
        <w:rPr>
          <w:sz w:val="24"/>
        </w:rPr>
      </w:pPr>
      <w:r w:rsidRPr="008F6546">
        <w:rPr>
          <w:rFonts w:ascii="Calibri" w:hAnsi="Calibri"/>
          <w:b/>
          <w:sz w:val="24"/>
          <w:lang w:eastAsia="pt-BR"/>
        </w:rPr>
        <w:t>Art. 4º</w:t>
      </w:r>
      <w:r w:rsidRPr="008F6546">
        <w:rPr>
          <w:rFonts w:ascii="Calibri" w:hAnsi="Calibri"/>
          <w:sz w:val="24"/>
          <w:lang w:eastAsia="pt-BR"/>
        </w:rPr>
        <w:t xml:space="preserve"> Esta Portaria entra em vigor nesta data, sendo seus efeitos contados a partir de 1º de janeiro de 2013.</w:t>
      </w:r>
    </w:p>
    <w:p w:rsidR="008F6546" w:rsidRPr="008F6546" w:rsidRDefault="008F6546" w:rsidP="008F6546">
      <w:pPr>
        <w:jc w:val="both"/>
        <w:rPr>
          <w:rFonts w:ascii="Calibri" w:hAnsi="Calibri"/>
          <w:sz w:val="24"/>
          <w:lang w:eastAsia="pt-BR"/>
        </w:rPr>
      </w:pPr>
    </w:p>
    <w:p w:rsidR="008F6546" w:rsidRPr="008F6546" w:rsidRDefault="008F6546" w:rsidP="008F6546">
      <w:pPr>
        <w:ind w:right="-1"/>
        <w:jc w:val="center"/>
        <w:rPr>
          <w:rFonts w:ascii="Calibri" w:hAnsi="Calibri" w:cs="Calibri"/>
          <w:sz w:val="24"/>
        </w:rPr>
      </w:pPr>
      <w:r w:rsidRPr="008F6546">
        <w:rPr>
          <w:rFonts w:ascii="Calibri" w:hAnsi="Calibri" w:cs="Calibri"/>
          <w:sz w:val="24"/>
        </w:rPr>
        <w:t>Brasília, 31 de janeiro de 2013.</w:t>
      </w:r>
    </w:p>
    <w:p w:rsidR="008F6546" w:rsidRPr="008F6546" w:rsidRDefault="008F6546" w:rsidP="008F6546">
      <w:pPr>
        <w:ind w:right="-1"/>
        <w:rPr>
          <w:rFonts w:ascii="Calibri" w:hAnsi="Calibri" w:cs="Calibri"/>
          <w:sz w:val="24"/>
        </w:rPr>
      </w:pPr>
      <w:bookmarkStart w:id="0" w:name="_GoBack"/>
      <w:bookmarkEnd w:id="0"/>
    </w:p>
    <w:p w:rsidR="008F6546" w:rsidRPr="008F6546" w:rsidRDefault="008F6546" w:rsidP="008F6546">
      <w:pPr>
        <w:ind w:right="-1"/>
        <w:jc w:val="center"/>
        <w:rPr>
          <w:rFonts w:ascii="Calibri" w:hAnsi="Calibri" w:cs="Calibri"/>
          <w:sz w:val="24"/>
        </w:rPr>
      </w:pPr>
    </w:p>
    <w:p w:rsidR="008F6546" w:rsidRPr="008F6546" w:rsidRDefault="008F6546" w:rsidP="008F6546">
      <w:pPr>
        <w:ind w:right="-1"/>
        <w:jc w:val="center"/>
        <w:rPr>
          <w:rFonts w:ascii="Calibri" w:hAnsi="Calibri" w:cs="Calibri"/>
          <w:b/>
          <w:sz w:val="24"/>
        </w:rPr>
      </w:pPr>
      <w:r w:rsidRPr="008F6546">
        <w:rPr>
          <w:rFonts w:ascii="Calibri" w:hAnsi="Calibri" w:cs="Calibri"/>
          <w:b/>
          <w:sz w:val="24"/>
        </w:rPr>
        <w:t>HAROLDO PINHEIRO VILLAR DE QUEIROZ</w:t>
      </w:r>
    </w:p>
    <w:p w:rsidR="008F6546" w:rsidRPr="008F6546" w:rsidRDefault="008F6546" w:rsidP="008F6546">
      <w:pPr>
        <w:ind w:right="-1"/>
        <w:jc w:val="center"/>
        <w:rPr>
          <w:rFonts w:ascii="Calibri" w:hAnsi="Calibri" w:cs="Calibri"/>
          <w:sz w:val="24"/>
        </w:rPr>
      </w:pPr>
      <w:r w:rsidRPr="008F6546">
        <w:rPr>
          <w:rFonts w:ascii="Calibri" w:hAnsi="Calibri" w:cs="Calibri"/>
          <w:sz w:val="24"/>
        </w:rPr>
        <w:t>Presidente do CAU/BR</w:t>
      </w:r>
    </w:p>
    <w:p w:rsidR="008F6546" w:rsidRPr="008F6546" w:rsidRDefault="008F6546" w:rsidP="008F6546">
      <w:pPr>
        <w:widowControl w:val="0"/>
        <w:autoSpaceDE w:val="0"/>
        <w:jc w:val="center"/>
        <w:rPr>
          <w:rFonts w:ascii="Calibri" w:hAnsi="Calibri"/>
          <w:sz w:val="24"/>
        </w:rPr>
      </w:pPr>
    </w:p>
    <w:p w:rsidR="008F6546" w:rsidRDefault="008F6546" w:rsidP="008F6546">
      <w:pPr>
        <w:widowControl w:val="0"/>
        <w:autoSpaceDE w:val="0"/>
        <w:jc w:val="center"/>
        <w:rPr>
          <w:rFonts w:ascii="Calibri" w:hAnsi="Calibri"/>
        </w:rPr>
      </w:pPr>
    </w:p>
    <w:p w:rsidR="008F6546" w:rsidRDefault="008F6546" w:rsidP="008F6546">
      <w:pPr>
        <w:widowControl w:val="0"/>
        <w:autoSpaceDE w:val="0"/>
        <w:jc w:val="center"/>
        <w:rPr>
          <w:rFonts w:ascii="Calibri" w:hAnsi="Calibri"/>
        </w:rPr>
      </w:pPr>
    </w:p>
    <w:p w:rsidR="008F6546" w:rsidRDefault="008F6546" w:rsidP="008F6546">
      <w:pPr>
        <w:pStyle w:val="Default"/>
        <w:rPr>
          <w:rFonts w:ascii="Calibri" w:hAnsi="Calibri"/>
          <w:color w:val="auto"/>
        </w:rPr>
      </w:pPr>
    </w:p>
    <w:p w:rsidR="00E5175B" w:rsidRPr="008F6546" w:rsidRDefault="00E5175B" w:rsidP="008F6546"/>
    <w:sectPr w:rsidR="00E5175B" w:rsidRPr="008F6546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3CA" w:rsidRDefault="00C573CA">
      <w:pPr>
        <w:spacing w:after="0" w:line="240" w:lineRule="auto"/>
      </w:pPr>
      <w:r>
        <w:separator/>
      </w:r>
    </w:p>
  </w:endnote>
  <w:endnote w:type="continuationSeparator" w:id="0">
    <w:p w:rsidR="00C573CA" w:rsidRDefault="00C5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C573CA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3CA" w:rsidRDefault="00C573CA">
      <w:pPr>
        <w:spacing w:after="0" w:line="240" w:lineRule="auto"/>
      </w:pPr>
      <w:r>
        <w:separator/>
      </w:r>
    </w:p>
  </w:footnote>
  <w:footnote w:type="continuationSeparator" w:id="0">
    <w:p w:rsidR="00C573CA" w:rsidRDefault="00C5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20AE9"/>
    <w:rsid w:val="000452DB"/>
    <w:rsid w:val="001D3F52"/>
    <w:rsid w:val="002F7019"/>
    <w:rsid w:val="003344E4"/>
    <w:rsid w:val="003457FB"/>
    <w:rsid w:val="003B347C"/>
    <w:rsid w:val="00511A9E"/>
    <w:rsid w:val="005B374D"/>
    <w:rsid w:val="006467C6"/>
    <w:rsid w:val="00650432"/>
    <w:rsid w:val="00733C2C"/>
    <w:rsid w:val="008F6546"/>
    <w:rsid w:val="009C5E04"/>
    <w:rsid w:val="00A020F5"/>
    <w:rsid w:val="00A430EE"/>
    <w:rsid w:val="00B95398"/>
    <w:rsid w:val="00C006A7"/>
    <w:rsid w:val="00C573CA"/>
    <w:rsid w:val="00D51C11"/>
    <w:rsid w:val="00DD447D"/>
    <w:rsid w:val="00DF7C4E"/>
    <w:rsid w:val="00E5175B"/>
    <w:rsid w:val="00E81F86"/>
    <w:rsid w:val="00EC585B"/>
    <w:rsid w:val="00EE68E9"/>
    <w:rsid w:val="00F341BF"/>
    <w:rsid w:val="00FC5F0E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paragraph" w:customStyle="1" w:styleId="Default">
    <w:name w:val="Default"/>
    <w:rsid w:val="008F6546"/>
    <w:pPr>
      <w:suppressAutoHyphens/>
      <w:autoSpaceDE w:val="0"/>
      <w:spacing w:after="0" w:line="240" w:lineRule="auto"/>
    </w:pPr>
    <w:rPr>
      <w:rFonts w:eastAsia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2022-02-01T13:50:00Z</cp:lastPrinted>
  <dcterms:created xsi:type="dcterms:W3CDTF">2022-02-01T13:53:00Z</dcterms:created>
  <dcterms:modified xsi:type="dcterms:W3CDTF">2022-02-01T13:53:00Z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