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47C" w:rsidRDefault="003B347C" w:rsidP="003B347C">
      <w:pPr>
        <w:ind w:right="-1"/>
        <w:jc w:val="center"/>
        <w:rPr>
          <w:rFonts w:ascii="Calibri" w:eastAsia="Times New Roman" w:hAnsi="Calibri" w:cs="Calibri"/>
          <w:b/>
          <w:sz w:val="24"/>
        </w:rPr>
      </w:pPr>
      <w:r w:rsidRPr="003B347C">
        <w:rPr>
          <w:rFonts w:ascii="Calibri" w:eastAsia="Times New Roman" w:hAnsi="Calibri" w:cs="Calibri"/>
          <w:b/>
          <w:sz w:val="24"/>
        </w:rPr>
        <w:t>PORTARIA NORMATIVA N° 5, DE 4 DE MAIO DE 2012</w:t>
      </w:r>
    </w:p>
    <w:p w:rsidR="003B347C" w:rsidRPr="003B347C" w:rsidRDefault="003B347C" w:rsidP="003B347C">
      <w:pPr>
        <w:ind w:right="-1"/>
        <w:jc w:val="center"/>
        <w:rPr>
          <w:rFonts w:ascii="Calibri" w:eastAsia="Times New Roman" w:hAnsi="Calibri" w:cs="Calibri"/>
          <w:b/>
          <w:sz w:val="24"/>
        </w:rPr>
      </w:pPr>
    </w:p>
    <w:p w:rsidR="003B347C" w:rsidRDefault="003B347C" w:rsidP="003B347C">
      <w:pPr>
        <w:ind w:left="4395" w:right="-1"/>
        <w:jc w:val="both"/>
        <w:rPr>
          <w:rFonts w:ascii="Calibri" w:eastAsia="Times New Roman" w:hAnsi="Calibri" w:cs="Calibri"/>
          <w:sz w:val="24"/>
        </w:rPr>
      </w:pPr>
      <w:r w:rsidRPr="003B347C">
        <w:rPr>
          <w:rFonts w:ascii="Calibri" w:eastAsia="Times New Roman" w:hAnsi="Calibri" w:cs="Calibri"/>
          <w:sz w:val="24"/>
        </w:rPr>
        <w:t>Especifica critérios de incidência da taxa de Registro de Responsabilidade Técnica (RRT) para os fins do art. 7° da Resolução nº 17, de 2 de março de 2012 e dá outras providências.</w:t>
      </w:r>
    </w:p>
    <w:p w:rsidR="003B347C" w:rsidRPr="003B347C" w:rsidRDefault="003B347C" w:rsidP="003B347C">
      <w:pPr>
        <w:ind w:left="4395" w:right="-1"/>
        <w:jc w:val="both"/>
        <w:rPr>
          <w:rFonts w:ascii="Calibri" w:eastAsia="Times New Roman" w:hAnsi="Calibri" w:cs="Calibri"/>
          <w:sz w:val="24"/>
        </w:rPr>
      </w:pPr>
      <w:bookmarkStart w:id="0" w:name="_GoBack"/>
      <w:bookmarkEnd w:id="0"/>
    </w:p>
    <w:p w:rsidR="003B347C" w:rsidRPr="003B347C" w:rsidRDefault="003B347C" w:rsidP="003B347C">
      <w:pPr>
        <w:jc w:val="both"/>
        <w:rPr>
          <w:rFonts w:ascii="Calibri" w:eastAsia="Times New Roman" w:hAnsi="Calibri" w:cs="Calibri"/>
          <w:sz w:val="24"/>
        </w:rPr>
      </w:pPr>
      <w:r w:rsidRPr="003B347C">
        <w:rPr>
          <w:rFonts w:ascii="Calibri" w:eastAsia="Times New Roman" w:hAnsi="Calibri" w:cs="Calibri"/>
          <w:sz w:val="24"/>
        </w:rPr>
        <w:t xml:space="preserve">O Presidente do Conselho de Arquitetura e Urbanismo do Brasil (CAU/BR), no uso das atribuições que lhe conferem o art. 29, inciso I da Lei nº 12.378, de 31 de dezembro de 2010, e o art. 32, incisos I e XII do Regimento Geral Provisório aprovado na Sessão Plenária Ordinária nº 1, de 18 de novembro de 2011, tendo em vista as Resoluções nº 17, de 2 de março de 2012, e nº 21, de 5 de abril de 2012; </w:t>
      </w:r>
    </w:p>
    <w:p w:rsidR="003B347C" w:rsidRPr="003B347C" w:rsidRDefault="003B347C" w:rsidP="003B347C">
      <w:pPr>
        <w:jc w:val="both"/>
        <w:rPr>
          <w:rFonts w:ascii="Calibri" w:eastAsia="Times New Roman" w:hAnsi="Calibri" w:cs="Calibri"/>
          <w:sz w:val="24"/>
        </w:rPr>
      </w:pPr>
    </w:p>
    <w:p w:rsidR="003B347C" w:rsidRPr="003B347C" w:rsidRDefault="003B347C" w:rsidP="003B347C">
      <w:pPr>
        <w:jc w:val="both"/>
        <w:rPr>
          <w:rFonts w:ascii="Calibri" w:eastAsia="Times New Roman" w:hAnsi="Calibri" w:cs="Calibri"/>
          <w:b/>
          <w:sz w:val="24"/>
        </w:rPr>
      </w:pPr>
      <w:r w:rsidRPr="003B347C">
        <w:rPr>
          <w:rFonts w:ascii="Calibri" w:eastAsia="Times New Roman" w:hAnsi="Calibri" w:cs="Calibri"/>
          <w:b/>
          <w:sz w:val="24"/>
        </w:rPr>
        <w:t xml:space="preserve">RESOLVE: </w:t>
      </w:r>
    </w:p>
    <w:p w:rsidR="003B347C" w:rsidRPr="003B347C" w:rsidRDefault="003B347C" w:rsidP="003B347C">
      <w:pPr>
        <w:jc w:val="both"/>
        <w:rPr>
          <w:rFonts w:ascii="Calibri" w:eastAsia="Times New Roman" w:hAnsi="Calibri" w:cs="Calibri"/>
          <w:sz w:val="24"/>
        </w:rPr>
      </w:pPr>
    </w:p>
    <w:p w:rsidR="003B347C" w:rsidRPr="003B347C" w:rsidRDefault="003B347C" w:rsidP="003B347C">
      <w:pPr>
        <w:jc w:val="both"/>
        <w:rPr>
          <w:rFonts w:ascii="Calibri" w:eastAsia="Times New Roman" w:hAnsi="Calibri" w:cs="Calibri"/>
          <w:sz w:val="24"/>
        </w:rPr>
      </w:pPr>
      <w:r w:rsidRPr="003B347C">
        <w:rPr>
          <w:rFonts w:ascii="Calibri" w:eastAsia="Times New Roman" w:hAnsi="Calibri" w:cs="Calibri"/>
          <w:sz w:val="24"/>
        </w:rPr>
        <w:t>Art. 1º Para os fins do § 1° do art. 7° da Resolução CAU/BR nº 17, de 2 de março de 2012, considerar-se-ão como atividades:</w:t>
      </w:r>
    </w:p>
    <w:p w:rsidR="003B347C" w:rsidRPr="003B347C" w:rsidRDefault="003B347C" w:rsidP="003B347C">
      <w:pPr>
        <w:jc w:val="both"/>
        <w:rPr>
          <w:rFonts w:ascii="Calibri" w:eastAsia="Times New Roman" w:hAnsi="Calibri" w:cs="Calibri"/>
          <w:sz w:val="24"/>
        </w:rPr>
      </w:pPr>
    </w:p>
    <w:p w:rsidR="003B347C" w:rsidRPr="003B347C" w:rsidRDefault="003B347C" w:rsidP="003B347C">
      <w:pPr>
        <w:jc w:val="both"/>
        <w:rPr>
          <w:rFonts w:ascii="Calibri" w:eastAsia="Times New Roman" w:hAnsi="Calibri"/>
          <w:sz w:val="24"/>
          <w:lang w:eastAsia="pt-BR"/>
        </w:rPr>
      </w:pPr>
      <w:r w:rsidRPr="003B347C">
        <w:rPr>
          <w:rFonts w:ascii="Calibri" w:eastAsia="Times New Roman" w:hAnsi="Calibri"/>
          <w:sz w:val="24"/>
          <w:lang w:eastAsia="pt-BR"/>
        </w:rPr>
        <w:t>I) de projetos: todas as atividades relacionadas aos projetos de arquitetura das edificações, sistemas construtivos e estruturais, conforto ambiental, arquitetura de interiores, instalações e equipamentos referentes à arquitetura, arquitetura paisagística, relatórios técnicos de arquitetura, urbanismo e desenho urbano, instalações e equipamentos referentes ao urbanismo, relatórios técnicos urbanísticos e patrimônio arquitetônico, urbanístico e paisagístico;</w:t>
      </w:r>
    </w:p>
    <w:p w:rsidR="003B347C" w:rsidRPr="003B347C" w:rsidRDefault="003B347C" w:rsidP="003B347C">
      <w:pPr>
        <w:jc w:val="both"/>
        <w:rPr>
          <w:rFonts w:ascii="Calibri" w:eastAsia="Times New Roman" w:hAnsi="Calibri"/>
          <w:sz w:val="24"/>
          <w:lang w:eastAsia="pt-BR"/>
        </w:rPr>
      </w:pPr>
    </w:p>
    <w:p w:rsidR="003B347C" w:rsidRPr="003B347C" w:rsidRDefault="003B347C" w:rsidP="003B347C">
      <w:pPr>
        <w:jc w:val="both"/>
        <w:rPr>
          <w:rFonts w:ascii="Calibri" w:eastAsia="Times New Roman" w:hAnsi="Calibri"/>
          <w:sz w:val="24"/>
          <w:lang w:eastAsia="pt-BR"/>
        </w:rPr>
      </w:pPr>
      <w:r w:rsidRPr="003B347C">
        <w:rPr>
          <w:rFonts w:ascii="Calibri" w:eastAsia="Times New Roman" w:hAnsi="Calibri"/>
          <w:sz w:val="24"/>
          <w:lang w:eastAsia="pt-BR"/>
        </w:rPr>
        <w:t>II) de execução: todas as atividades de execução de arquitetura das edificações, sistemas construtivos e estruturais, conforto ambiental, arquitetura de interiores, instalações e equipamentos referentes à arquitetura, arquitetura paisagística, urbanismo e desenho urbano, instalações e equipamentos referentes ao urbanismo e patrimônio arquitetônico, urbanístico e paisagístico;</w:t>
      </w:r>
    </w:p>
    <w:p w:rsidR="003B347C" w:rsidRPr="003B347C" w:rsidRDefault="003B347C" w:rsidP="003B347C">
      <w:pPr>
        <w:jc w:val="both"/>
        <w:rPr>
          <w:rFonts w:ascii="Calibri" w:eastAsia="Times New Roman" w:hAnsi="Calibri"/>
          <w:sz w:val="24"/>
          <w:lang w:eastAsia="pt-BR"/>
        </w:rPr>
      </w:pPr>
    </w:p>
    <w:p w:rsidR="003B347C" w:rsidRPr="003B347C" w:rsidRDefault="003B347C" w:rsidP="003B347C">
      <w:pPr>
        <w:jc w:val="both"/>
        <w:rPr>
          <w:rFonts w:ascii="Calibri" w:eastAsia="Times New Roman" w:hAnsi="Calibri"/>
          <w:sz w:val="24"/>
          <w:lang w:eastAsia="pt-BR"/>
        </w:rPr>
      </w:pPr>
      <w:r w:rsidRPr="003B347C">
        <w:rPr>
          <w:rFonts w:ascii="Calibri" w:eastAsia="Times New Roman" w:hAnsi="Calibri"/>
          <w:sz w:val="24"/>
          <w:lang w:eastAsia="pt-BR"/>
        </w:rPr>
        <w:t>III) de gestão: todas as atividades de coordenação e compatibilização de projetos, supervisão de obra ou serviço técnico, direção ou condução de obra ou serviço técnico, gerenciamento de obra ou serviço técnico, acompanhamento de obra ou serviço técnico, fiscalização de obra ou serviço técnico e desempenho de cargo ou função técnica;</w:t>
      </w:r>
    </w:p>
    <w:p w:rsidR="003B347C" w:rsidRPr="003B347C" w:rsidRDefault="003B347C" w:rsidP="003B347C">
      <w:pPr>
        <w:jc w:val="both"/>
        <w:rPr>
          <w:rFonts w:ascii="Calibri" w:eastAsia="Times New Roman" w:hAnsi="Calibri"/>
          <w:sz w:val="24"/>
          <w:lang w:eastAsia="pt-BR"/>
        </w:rPr>
      </w:pPr>
    </w:p>
    <w:p w:rsidR="003B347C" w:rsidRPr="003B347C" w:rsidRDefault="003B347C" w:rsidP="003B347C">
      <w:pPr>
        <w:rPr>
          <w:rFonts w:ascii="Calibri" w:hAnsi="Calibri"/>
          <w:sz w:val="24"/>
        </w:rPr>
      </w:pPr>
      <w:r w:rsidRPr="003B347C">
        <w:rPr>
          <w:rFonts w:ascii="Calibri" w:hAnsi="Calibri"/>
          <w:sz w:val="24"/>
        </w:rPr>
        <w:t>IV) de meio ambiente e planejamento regional e urbano: todas as atividades de georreferenciamento e topografia, meio ambiente, planejamento regional e planejamento urbano;</w:t>
      </w:r>
    </w:p>
    <w:p w:rsidR="003B347C" w:rsidRPr="003B347C" w:rsidRDefault="003B347C" w:rsidP="003B347C">
      <w:pPr>
        <w:rPr>
          <w:rFonts w:ascii="Calibri" w:hAnsi="Calibri"/>
          <w:sz w:val="24"/>
        </w:rPr>
      </w:pPr>
    </w:p>
    <w:p w:rsidR="003B347C" w:rsidRPr="003B347C" w:rsidRDefault="003B347C" w:rsidP="003B347C">
      <w:pPr>
        <w:rPr>
          <w:rFonts w:ascii="Calibri" w:hAnsi="Calibri"/>
          <w:sz w:val="24"/>
        </w:rPr>
      </w:pPr>
      <w:r w:rsidRPr="003B347C">
        <w:rPr>
          <w:rFonts w:ascii="Calibri" w:hAnsi="Calibri"/>
          <w:sz w:val="24"/>
        </w:rPr>
        <w:t>V) especiais em arquitetura e urbanismo: todas as atividades de assessoria, consultoria, assistência técnica, vistoria, perícia, avaliação, laudo técnico, parecer técnico, auditoria, arbitragem e mensuração;</w:t>
      </w:r>
    </w:p>
    <w:p w:rsidR="003B347C" w:rsidRPr="003B347C" w:rsidRDefault="003B347C" w:rsidP="003B347C">
      <w:pPr>
        <w:rPr>
          <w:rFonts w:ascii="Calibri" w:hAnsi="Calibri"/>
          <w:sz w:val="24"/>
        </w:rPr>
      </w:pPr>
    </w:p>
    <w:p w:rsidR="003B347C" w:rsidRPr="003B347C" w:rsidRDefault="003B347C" w:rsidP="003B347C">
      <w:pPr>
        <w:rPr>
          <w:rFonts w:ascii="Calibri" w:hAnsi="Calibri"/>
          <w:sz w:val="24"/>
        </w:rPr>
      </w:pPr>
      <w:r w:rsidRPr="003B347C">
        <w:rPr>
          <w:rFonts w:ascii="Calibri" w:hAnsi="Calibri"/>
          <w:sz w:val="24"/>
        </w:rPr>
        <w:t>VI) de ensino e pesquisa: todas as atividades de ensino, pesquisa, tecnologia da construção e controle de qualidade;</w:t>
      </w:r>
    </w:p>
    <w:p w:rsidR="003B347C" w:rsidRPr="003B347C" w:rsidRDefault="003B347C" w:rsidP="003B347C">
      <w:pPr>
        <w:rPr>
          <w:rFonts w:ascii="Calibri" w:hAnsi="Calibri"/>
          <w:sz w:val="24"/>
        </w:rPr>
      </w:pPr>
    </w:p>
    <w:p w:rsidR="003B347C" w:rsidRPr="003B347C" w:rsidRDefault="003B347C" w:rsidP="003B347C">
      <w:pPr>
        <w:rPr>
          <w:rFonts w:ascii="Calibri" w:hAnsi="Calibri"/>
          <w:sz w:val="24"/>
        </w:rPr>
      </w:pPr>
      <w:r w:rsidRPr="003B347C">
        <w:rPr>
          <w:rFonts w:ascii="Calibri" w:hAnsi="Calibri"/>
          <w:sz w:val="24"/>
        </w:rPr>
        <w:t>VII) de engenharia de segurança do trabalho: todas as atividades relacionadas a planos, programas, avaliação de riscos, mapa de risco das condições e meio ambiente de trabalho, relatórios para fins judiciais, laudo de inspeção sobre atividades insalubres, laudo técnico de condições do trabalho (LTCAT) e outras atividades na área de Engenharia de Segurança do Trabalho.</w:t>
      </w:r>
    </w:p>
    <w:p w:rsidR="003B347C" w:rsidRPr="003B347C" w:rsidRDefault="003B347C" w:rsidP="003B347C">
      <w:pPr>
        <w:rPr>
          <w:rFonts w:ascii="Calibri" w:hAnsi="Calibri"/>
          <w:sz w:val="24"/>
        </w:rPr>
      </w:pPr>
    </w:p>
    <w:p w:rsidR="003B347C" w:rsidRPr="003B347C" w:rsidRDefault="003B347C" w:rsidP="003B347C">
      <w:pPr>
        <w:rPr>
          <w:rFonts w:ascii="Calibri" w:hAnsi="Calibri"/>
          <w:sz w:val="24"/>
        </w:rPr>
      </w:pPr>
      <w:r w:rsidRPr="003B347C">
        <w:rPr>
          <w:rFonts w:ascii="Calibri" w:hAnsi="Calibri"/>
          <w:sz w:val="24"/>
        </w:rPr>
        <w:t>Art. 2º Para o registro de responsabilidade técnica pelas atividades de cada um dos grupos de que tratam os incisos I a VII do art. 1 º desta Portaria, quando realizadas pelo mesmo profissional e no mesmo endereço, será devida uma única taxa de RRT.</w:t>
      </w:r>
    </w:p>
    <w:p w:rsidR="003B347C" w:rsidRPr="003B347C" w:rsidRDefault="003B347C" w:rsidP="003B347C">
      <w:pPr>
        <w:rPr>
          <w:rFonts w:ascii="Calibri" w:hAnsi="Calibri"/>
          <w:sz w:val="24"/>
        </w:rPr>
      </w:pPr>
    </w:p>
    <w:p w:rsidR="003B347C" w:rsidRPr="003B347C" w:rsidRDefault="003B347C" w:rsidP="003B347C">
      <w:pPr>
        <w:rPr>
          <w:rFonts w:ascii="Calibri" w:hAnsi="Calibri"/>
          <w:sz w:val="24"/>
        </w:rPr>
      </w:pPr>
      <w:r w:rsidRPr="003B347C">
        <w:rPr>
          <w:rFonts w:ascii="Calibri" w:hAnsi="Calibri"/>
          <w:sz w:val="24"/>
        </w:rPr>
        <w:t>Art. 3º Esta Portaria entra em vigor nesta data.</w:t>
      </w:r>
    </w:p>
    <w:p w:rsidR="003B347C" w:rsidRPr="003B347C" w:rsidRDefault="003B347C" w:rsidP="003B347C">
      <w:pPr>
        <w:ind w:right="-1"/>
        <w:jc w:val="center"/>
        <w:rPr>
          <w:rFonts w:ascii="Calibri" w:eastAsia="Times New Roman" w:hAnsi="Calibri" w:cs="Calibri"/>
          <w:sz w:val="24"/>
        </w:rPr>
      </w:pPr>
    </w:p>
    <w:p w:rsidR="003B347C" w:rsidRPr="003B347C" w:rsidRDefault="003B347C" w:rsidP="003B347C">
      <w:pPr>
        <w:ind w:right="-1"/>
        <w:jc w:val="center"/>
        <w:rPr>
          <w:rFonts w:ascii="Calibri" w:eastAsia="Times New Roman" w:hAnsi="Calibri" w:cs="Calibri"/>
          <w:sz w:val="24"/>
        </w:rPr>
      </w:pPr>
    </w:p>
    <w:p w:rsidR="003B347C" w:rsidRPr="003B347C" w:rsidRDefault="003B347C" w:rsidP="003B347C">
      <w:pPr>
        <w:ind w:right="-1"/>
        <w:jc w:val="center"/>
        <w:rPr>
          <w:rFonts w:ascii="Calibri" w:eastAsia="Times New Roman" w:hAnsi="Calibri" w:cs="Calibri"/>
          <w:b/>
          <w:sz w:val="24"/>
        </w:rPr>
      </w:pPr>
      <w:r w:rsidRPr="003B347C">
        <w:rPr>
          <w:rFonts w:ascii="Calibri" w:eastAsia="Times New Roman" w:hAnsi="Calibri" w:cs="Calibri"/>
          <w:b/>
          <w:sz w:val="24"/>
        </w:rPr>
        <w:t>HAROLDO PINHEIRO VILLAR DE QUEIROZ</w:t>
      </w:r>
    </w:p>
    <w:p w:rsidR="003B347C" w:rsidRPr="003B347C" w:rsidRDefault="003B347C" w:rsidP="003B347C">
      <w:pPr>
        <w:ind w:right="-1"/>
        <w:jc w:val="center"/>
        <w:rPr>
          <w:rFonts w:ascii="Calibri" w:eastAsia="Times New Roman" w:hAnsi="Calibri" w:cs="Calibri"/>
          <w:sz w:val="24"/>
        </w:rPr>
      </w:pPr>
      <w:r w:rsidRPr="003B347C">
        <w:rPr>
          <w:rFonts w:ascii="Calibri" w:eastAsia="Times New Roman" w:hAnsi="Calibri" w:cs="Calibri"/>
          <w:sz w:val="24"/>
        </w:rPr>
        <w:t>Presidente do CAU/BR</w:t>
      </w:r>
    </w:p>
    <w:p w:rsidR="003B347C" w:rsidRPr="003B347C" w:rsidRDefault="003B347C" w:rsidP="003B347C">
      <w:pPr>
        <w:rPr>
          <w:sz w:val="24"/>
        </w:rPr>
      </w:pPr>
    </w:p>
    <w:p w:rsidR="00E5175B" w:rsidRPr="003B347C" w:rsidRDefault="00E5175B" w:rsidP="003457FB">
      <w:pPr>
        <w:ind w:left="2832"/>
        <w:rPr>
          <w:rFonts w:asciiTheme="minorHAnsi" w:hAnsiTheme="minorHAnsi" w:cstheme="minorHAnsi"/>
          <w:sz w:val="32"/>
          <w:szCs w:val="24"/>
        </w:rPr>
      </w:pPr>
    </w:p>
    <w:sectPr w:rsidR="00E5175B" w:rsidRPr="003B347C">
      <w:headerReference w:type="default" r:id="rId7"/>
      <w:footerReference w:type="default" r:id="rId8"/>
      <w:pgSz w:w="11906" w:h="16838"/>
      <w:pgMar w:top="1560" w:right="1134" w:bottom="1134" w:left="1701" w:header="170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324" w:rsidRDefault="005D2324">
      <w:pPr>
        <w:spacing w:after="0" w:line="240" w:lineRule="auto"/>
      </w:pPr>
      <w:r>
        <w:separator/>
      </w:r>
    </w:p>
  </w:endnote>
  <w:endnote w:type="continuationSeparator" w:id="0">
    <w:p w:rsidR="005D2324" w:rsidRDefault="005D2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E9" w:rsidRDefault="005D2324">
    <w:pPr>
      <w:pStyle w:val="Rodap"/>
      <w:jc w:val="right"/>
      <w:rPr>
        <w:b/>
        <w:bCs/>
        <w:color w:val="1B6469"/>
      </w:rPr>
    </w:pPr>
  </w:p>
  <w:p w:rsidR="007E5DE9" w:rsidRDefault="00E81F86">
    <w:pPr>
      <w:pStyle w:val="Rodap"/>
    </w:pPr>
    <w:r>
      <w:rPr>
        <w:noProof/>
        <w:lang w:eastAsia="pt-BR"/>
      </w:rPr>
      <w:drawing>
        <wp:anchor distT="0" distB="0" distL="114300" distR="114300" simplePos="0" relativeHeight="251661312" behindDoc="0" locked="0" layoutInCell="1" allowOverlap="1">
          <wp:simplePos x="0" y="0"/>
          <wp:positionH relativeFrom="column">
            <wp:posOffset>-1080135</wp:posOffset>
          </wp:positionH>
          <wp:positionV relativeFrom="paragraph">
            <wp:posOffset>155576</wp:posOffset>
          </wp:positionV>
          <wp:extent cx="7560003" cy="719998"/>
          <wp:effectExtent l="0" t="0" r="2847" b="3902"/>
          <wp:wrapNone/>
          <wp:docPr id="2" name="Image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60003" cy="719998"/>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324" w:rsidRDefault="005D2324">
      <w:pPr>
        <w:spacing w:after="0" w:line="240" w:lineRule="auto"/>
      </w:pPr>
      <w:r>
        <w:separator/>
      </w:r>
    </w:p>
  </w:footnote>
  <w:footnote w:type="continuationSeparator" w:id="0">
    <w:p w:rsidR="005D2324" w:rsidRDefault="005D2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E9" w:rsidRDefault="00E81F86">
    <w:pPr>
      <w:spacing w:after="0" w:line="276" w:lineRule="auto"/>
      <w:jc w:val="center"/>
    </w:pPr>
    <w:r>
      <w:rPr>
        <w:noProof/>
        <w:color w:val="FFFFFF"/>
        <w:sz w:val="12"/>
        <w:szCs w:val="12"/>
        <w:lang w:eastAsia="pt-BR"/>
      </w:rPr>
      <w:drawing>
        <wp:anchor distT="0" distB="0" distL="114300" distR="114300" simplePos="0" relativeHeight="251659264" behindDoc="0" locked="0" layoutInCell="1" allowOverlap="1">
          <wp:simplePos x="0" y="0"/>
          <wp:positionH relativeFrom="column">
            <wp:posOffset>-1072518</wp:posOffset>
          </wp:positionH>
          <wp:positionV relativeFrom="paragraph">
            <wp:posOffset>-1064891</wp:posOffset>
          </wp:positionV>
          <wp:extent cx="7560003" cy="1081433"/>
          <wp:effectExtent l="0" t="0" r="2847" b="4417"/>
          <wp:wrapNone/>
          <wp:docPr id="1"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mt="80000"/>
                  </a:blip>
                  <a:srcRect/>
                  <a:stretch>
                    <a:fillRect/>
                  </a:stretch>
                </pic:blipFill>
                <pic:spPr>
                  <a:xfrm>
                    <a:off x="0" y="0"/>
                    <a:ext cx="7560003" cy="1081433"/>
                  </a:xfrm>
                  <a:prstGeom prst="rect">
                    <a:avLst/>
                  </a:prstGeom>
                  <a:noFill/>
                  <a:ln>
                    <a:noFill/>
                    <a:prstDash/>
                  </a:ln>
                </pic:spPr>
              </pic:pic>
            </a:graphicData>
          </a:graphic>
        </wp:anchor>
      </w:drawing>
    </w:r>
    <w:r>
      <w:rPr>
        <w:color w:val="FFFFFF"/>
        <w:sz w:val="12"/>
        <w:szCs w:val="12"/>
      </w:rPr>
      <w:t>SERVIÇO PÚBLICO FEDERAL</w:t>
    </w:r>
  </w:p>
  <w:p w:rsidR="007E5DE9" w:rsidRDefault="00E81F86">
    <w:pPr>
      <w:spacing w:after="0" w:line="276" w:lineRule="auto"/>
      <w:jc w:val="center"/>
      <w:rPr>
        <w:color w:val="FFFFFF"/>
        <w:sz w:val="12"/>
        <w:szCs w:val="12"/>
      </w:rPr>
    </w:pPr>
    <w:r>
      <w:rPr>
        <w:color w:val="FFFFFF"/>
        <w:sz w:val="12"/>
        <w:szCs w:val="12"/>
      </w:rPr>
      <w:t>CAU/BR - Conselho de Arquitetura e Urbanismo do Brasil</w:t>
    </w:r>
  </w:p>
  <w:p w:rsidR="007E5DE9" w:rsidRDefault="00E81F86">
    <w:pPr>
      <w:spacing w:after="0" w:line="276" w:lineRule="auto"/>
      <w:jc w:val="center"/>
      <w:rPr>
        <w:color w:val="FFFFFF"/>
        <w:sz w:val="12"/>
        <w:szCs w:val="12"/>
      </w:rPr>
    </w:pPr>
    <w:r>
      <w:rPr>
        <w:color w:val="FFFFFF"/>
        <w:sz w:val="12"/>
        <w:szCs w:val="12"/>
      </w:rPr>
      <w:t xml:space="preserve">Setor de Edifícios Públicos Sul (SEPS), Quadra 702/902, Conjunto B, 2º Andar – Edifício General Alencastro | CEP 70.390-025 – Brasília/DF | </w:t>
    </w:r>
  </w:p>
  <w:p w:rsidR="007E5DE9" w:rsidRDefault="00E81F86">
    <w:pPr>
      <w:spacing w:after="0" w:line="276" w:lineRule="auto"/>
      <w:jc w:val="center"/>
      <w:rPr>
        <w:color w:val="FFFFFF"/>
        <w:sz w:val="12"/>
        <w:szCs w:val="12"/>
      </w:rPr>
    </w:pPr>
    <w:r>
      <w:rPr>
        <w:color w:val="FFFFFF"/>
        <w:sz w:val="12"/>
        <w:szCs w:val="12"/>
      </w:rPr>
      <w:t>servicos.caubr.gov.br | transparencia.caubr.gov.br | www.caubr.gov.br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A5226"/>
    <w:multiLevelType w:val="multilevel"/>
    <w:tmpl w:val="6A2C8F8E"/>
    <w:lvl w:ilvl="0">
      <w:start w:val="1"/>
      <w:numFmt w:val="upperRoman"/>
      <w:lvlText w:val="%1"/>
      <w:lvlJc w:val="left"/>
      <w:pPr>
        <w:ind w:left="102" w:hanging="113"/>
      </w:pPr>
      <w:rPr>
        <w:rFonts w:ascii="Calibri" w:eastAsia="Calibri" w:hAnsi="Calibri" w:cs="Calibri"/>
        <w:w w:val="100"/>
        <w:sz w:val="22"/>
        <w:szCs w:val="22"/>
      </w:rPr>
    </w:lvl>
    <w:lvl w:ilvl="1">
      <w:numFmt w:val="bullet"/>
      <w:lvlText w:val="•"/>
      <w:lvlJc w:val="left"/>
      <w:pPr>
        <w:ind w:left="1046" w:hanging="113"/>
      </w:pPr>
    </w:lvl>
    <w:lvl w:ilvl="2">
      <w:numFmt w:val="bullet"/>
      <w:lvlText w:val="•"/>
      <w:lvlJc w:val="left"/>
      <w:pPr>
        <w:ind w:left="1993" w:hanging="113"/>
      </w:pPr>
    </w:lvl>
    <w:lvl w:ilvl="3">
      <w:numFmt w:val="bullet"/>
      <w:lvlText w:val="•"/>
      <w:lvlJc w:val="left"/>
      <w:pPr>
        <w:ind w:left="2939" w:hanging="113"/>
      </w:pPr>
    </w:lvl>
    <w:lvl w:ilvl="4">
      <w:numFmt w:val="bullet"/>
      <w:lvlText w:val="•"/>
      <w:lvlJc w:val="left"/>
      <w:pPr>
        <w:ind w:left="3886" w:hanging="113"/>
      </w:pPr>
    </w:lvl>
    <w:lvl w:ilvl="5">
      <w:numFmt w:val="bullet"/>
      <w:lvlText w:val="•"/>
      <w:lvlJc w:val="left"/>
      <w:pPr>
        <w:ind w:left="4833" w:hanging="113"/>
      </w:pPr>
    </w:lvl>
    <w:lvl w:ilvl="6">
      <w:numFmt w:val="bullet"/>
      <w:lvlText w:val="•"/>
      <w:lvlJc w:val="left"/>
      <w:pPr>
        <w:ind w:left="5779" w:hanging="113"/>
      </w:pPr>
    </w:lvl>
    <w:lvl w:ilvl="7">
      <w:numFmt w:val="bullet"/>
      <w:lvlText w:val="•"/>
      <w:lvlJc w:val="left"/>
      <w:pPr>
        <w:ind w:left="6726" w:hanging="113"/>
      </w:pPr>
    </w:lvl>
    <w:lvl w:ilvl="8">
      <w:numFmt w:val="bullet"/>
      <w:lvlText w:val="•"/>
      <w:lvlJc w:val="left"/>
      <w:pPr>
        <w:ind w:left="7673" w:hanging="113"/>
      </w:pPr>
    </w:lvl>
  </w:abstractNum>
  <w:abstractNum w:abstractNumId="1">
    <w:nsid w:val="1CBB6AFB"/>
    <w:multiLevelType w:val="multilevel"/>
    <w:tmpl w:val="2438D8D6"/>
    <w:lvl w:ilvl="0">
      <w:start w:val="1"/>
      <w:numFmt w:val="upperRoman"/>
      <w:lvlText w:val="%1"/>
      <w:lvlJc w:val="left"/>
      <w:pPr>
        <w:ind w:left="102" w:hanging="113"/>
      </w:pPr>
      <w:rPr>
        <w:rFonts w:ascii="Calibri" w:eastAsia="Calibri" w:hAnsi="Calibri" w:cs="Calibri"/>
        <w:w w:val="100"/>
        <w:sz w:val="24"/>
        <w:szCs w:val="22"/>
      </w:rPr>
    </w:lvl>
    <w:lvl w:ilvl="1">
      <w:numFmt w:val="bullet"/>
      <w:lvlText w:val="•"/>
      <w:lvlJc w:val="left"/>
      <w:pPr>
        <w:ind w:left="1046" w:hanging="113"/>
      </w:pPr>
    </w:lvl>
    <w:lvl w:ilvl="2">
      <w:numFmt w:val="bullet"/>
      <w:lvlText w:val="•"/>
      <w:lvlJc w:val="left"/>
      <w:pPr>
        <w:ind w:left="1993" w:hanging="113"/>
      </w:pPr>
    </w:lvl>
    <w:lvl w:ilvl="3">
      <w:numFmt w:val="bullet"/>
      <w:lvlText w:val="•"/>
      <w:lvlJc w:val="left"/>
      <w:pPr>
        <w:ind w:left="2939" w:hanging="113"/>
      </w:pPr>
    </w:lvl>
    <w:lvl w:ilvl="4">
      <w:numFmt w:val="bullet"/>
      <w:lvlText w:val="•"/>
      <w:lvlJc w:val="left"/>
      <w:pPr>
        <w:ind w:left="3886" w:hanging="113"/>
      </w:pPr>
    </w:lvl>
    <w:lvl w:ilvl="5">
      <w:numFmt w:val="bullet"/>
      <w:lvlText w:val="•"/>
      <w:lvlJc w:val="left"/>
      <w:pPr>
        <w:ind w:left="4833" w:hanging="113"/>
      </w:pPr>
    </w:lvl>
    <w:lvl w:ilvl="6">
      <w:numFmt w:val="bullet"/>
      <w:lvlText w:val="•"/>
      <w:lvlJc w:val="left"/>
      <w:pPr>
        <w:ind w:left="5779" w:hanging="113"/>
      </w:pPr>
    </w:lvl>
    <w:lvl w:ilvl="7">
      <w:numFmt w:val="bullet"/>
      <w:lvlText w:val="•"/>
      <w:lvlJc w:val="left"/>
      <w:pPr>
        <w:ind w:left="6726" w:hanging="113"/>
      </w:pPr>
    </w:lvl>
    <w:lvl w:ilvl="8">
      <w:numFmt w:val="bullet"/>
      <w:lvlText w:val="•"/>
      <w:lvlJc w:val="left"/>
      <w:pPr>
        <w:ind w:left="7673" w:hanging="113"/>
      </w:pPr>
    </w:lvl>
  </w:abstractNum>
  <w:abstractNum w:abstractNumId="2">
    <w:nsid w:val="3220202E"/>
    <w:multiLevelType w:val="multilevel"/>
    <w:tmpl w:val="8D92BA22"/>
    <w:lvl w:ilvl="0">
      <w:start w:val="1"/>
      <w:numFmt w:val="upperRoman"/>
      <w:lvlText w:val="%1"/>
      <w:lvlJc w:val="left"/>
      <w:pPr>
        <w:ind w:left="102" w:hanging="152"/>
      </w:pPr>
      <w:rPr>
        <w:rFonts w:ascii="Calibri" w:eastAsia="Calibri" w:hAnsi="Calibri" w:cs="Calibri"/>
        <w:w w:val="100"/>
        <w:sz w:val="22"/>
        <w:szCs w:val="22"/>
      </w:rPr>
    </w:lvl>
    <w:lvl w:ilvl="1">
      <w:numFmt w:val="bullet"/>
      <w:lvlText w:val="•"/>
      <w:lvlJc w:val="left"/>
      <w:pPr>
        <w:ind w:left="1046" w:hanging="152"/>
      </w:pPr>
    </w:lvl>
    <w:lvl w:ilvl="2">
      <w:numFmt w:val="bullet"/>
      <w:lvlText w:val="•"/>
      <w:lvlJc w:val="left"/>
      <w:pPr>
        <w:ind w:left="1993" w:hanging="152"/>
      </w:pPr>
    </w:lvl>
    <w:lvl w:ilvl="3">
      <w:numFmt w:val="bullet"/>
      <w:lvlText w:val="•"/>
      <w:lvlJc w:val="left"/>
      <w:pPr>
        <w:ind w:left="2939" w:hanging="152"/>
      </w:pPr>
    </w:lvl>
    <w:lvl w:ilvl="4">
      <w:numFmt w:val="bullet"/>
      <w:lvlText w:val="•"/>
      <w:lvlJc w:val="left"/>
      <w:pPr>
        <w:ind w:left="3886" w:hanging="152"/>
      </w:pPr>
    </w:lvl>
    <w:lvl w:ilvl="5">
      <w:numFmt w:val="bullet"/>
      <w:lvlText w:val="•"/>
      <w:lvlJc w:val="left"/>
      <w:pPr>
        <w:ind w:left="4833" w:hanging="152"/>
      </w:pPr>
    </w:lvl>
    <w:lvl w:ilvl="6">
      <w:numFmt w:val="bullet"/>
      <w:lvlText w:val="•"/>
      <w:lvlJc w:val="left"/>
      <w:pPr>
        <w:ind w:left="5779" w:hanging="152"/>
      </w:pPr>
    </w:lvl>
    <w:lvl w:ilvl="7">
      <w:numFmt w:val="bullet"/>
      <w:lvlText w:val="•"/>
      <w:lvlJc w:val="left"/>
      <w:pPr>
        <w:ind w:left="6726" w:hanging="152"/>
      </w:pPr>
    </w:lvl>
    <w:lvl w:ilvl="8">
      <w:numFmt w:val="bullet"/>
      <w:lvlText w:val="•"/>
      <w:lvlJc w:val="left"/>
      <w:pPr>
        <w:ind w:left="7673" w:hanging="152"/>
      </w:pPr>
    </w:lvl>
  </w:abstractNum>
  <w:abstractNum w:abstractNumId="3">
    <w:nsid w:val="4A515AF1"/>
    <w:multiLevelType w:val="multilevel"/>
    <w:tmpl w:val="19D66DE0"/>
    <w:lvl w:ilvl="0">
      <w:start w:val="3"/>
      <w:numFmt w:val="upperRoman"/>
      <w:lvlText w:val="%1"/>
      <w:lvlJc w:val="left"/>
      <w:pPr>
        <w:ind w:left="102" w:hanging="279"/>
      </w:pPr>
      <w:rPr>
        <w:rFonts w:ascii="Calibri" w:eastAsia="Calibri" w:hAnsi="Calibri" w:cs="Calibri"/>
        <w:spacing w:val="-1"/>
        <w:w w:val="100"/>
        <w:sz w:val="22"/>
        <w:szCs w:val="22"/>
      </w:rPr>
    </w:lvl>
    <w:lvl w:ilvl="1">
      <w:numFmt w:val="bullet"/>
      <w:lvlText w:val="•"/>
      <w:lvlJc w:val="left"/>
      <w:pPr>
        <w:ind w:left="1046" w:hanging="279"/>
      </w:pPr>
    </w:lvl>
    <w:lvl w:ilvl="2">
      <w:numFmt w:val="bullet"/>
      <w:lvlText w:val="•"/>
      <w:lvlJc w:val="left"/>
      <w:pPr>
        <w:ind w:left="1993" w:hanging="279"/>
      </w:pPr>
    </w:lvl>
    <w:lvl w:ilvl="3">
      <w:numFmt w:val="bullet"/>
      <w:lvlText w:val="•"/>
      <w:lvlJc w:val="left"/>
      <w:pPr>
        <w:ind w:left="2939" w:hanging="279"/>
      </w:pPr>
    </w:lvl>
    <w:lvl w:ilvl="4">
      <w:numFmt w:val="bullet"/>
      <w:lvlText w:val="•"/>
      <w:lvlJc w:val="left"/>
      <w:pPr>
        <w:ind w:left="3886" w:hanging="279"/>
      </w:pPr>
    </w:lvl>
    <w:lvl w:ilvl="5">
      <w:numFmt w:val="bullet"/>
      <w:lvlText w:val="•"/>
      <w:lvlJc w:val="left"/>
      <w:pPr>
        <w:ind w:left="4833" w:hanging="279"/>
      </w:pPr>
    </w:lvl>
    <w:lvl w:ilvl="6">
      <w:numFmt w:val="bullet"/>
      <w:lvlText w:val="•"/>
      <w:lvlJc w:val="left"/>
      <w:pPr>
        <w:ind w:left="5779" w:hanging="279"/>
      </w:pPr>
    </w:lvl>
    <w:lvl w:ilvl="7">
      <w:numFmt w:val="bullet"/>
      <w:lvlText w:val="•"/>
      <w:lvlJc w:val="left"/>
      <w:pPr>
        <w:ind w:left="6726" w:hanging="279"/>
      </w:pPr>
    </w:lvl>
    <w:lvl w:ilvl="8">
      <w:numFmt w:val="bullet"/>
      <w:lvlText w:val="•"/>
      <w:lvlJc w:val="left"/>
      <w:pPr>
        <w:ind w:left="7673" w:hanging="279"/>
      </w:pPr>
    </w:lvl>
  </w:abstractNum>
  <w:abstractNum w:abstractNumId="4">
    <w:nsid w:val="5D106A75"/>
    <w:multiLevelType w:val="multilevel"/>
    <w:tmpl w:val="D4740AF6"/>
    <w:lvl w:ilvl="0">
      <w:start w:val="1"/>
      <w:numFmt w:val="upperRoman"/>
      <w:lvlText w:val="%1"/>
      <w:lvlJc w:val="left"/>
      <w:pPr>
        <w:ind w:left="102" w:hanging="156"/>
      </w:pPr>
      <w:rPr>
        <w:rFonts w:ascii="Calibri" w:eastAsia="Calibri" w:hAnsi="Calibri" w:cs="Calibri"/>
        <w:w w:val="100"/>
        <w:sz w:val="22"/>
        <w:szCs w:val="22"/>
      </w:rPr>
    </w:lvl>
    <w:lvl w:ilvl="1">
      <w:numFmt w:val="bullet"/>
      <w:lvlText w:val="•"/>
      <w:lvlJc w:val="left"/>
      <w:pPr>
        <w:ind w:left="1046" w:hanging="156"/>
      </w:pPr>
    </w:lvl>
    <w:lvl w:ilvl="2">
      <w:numFmt w:val="bullet"/>
      <w:lvlText w:val="•"/>
      <w:lvlJc w:val="left"/>
      <w:pPr>
        <w:ind w:left="1993" w:hanging="156"/>
      </w:pPr>
    </w:lvl>
    <w:lvl w:ilvl="3">
      <w:numFmt w:val="bullet"/>
      <w:lvlText w:val="•"/>
      <w:lvlJc w:val="left"/>
      <w:pPr>
        <w:ind w:left="2939" w:hanging="156"/>
      </w:pPr>
    </w:lvl>
    <w:lvl w:ilvl="4">
      <w:numFmt w:val="bullet"/>
      <w:lvlText w:val="•"/>
      <w:lvlJc w:val="left"/>
      <w:pPr>
        <w:ind w:left="3886" w:hanging="156"/>
      </w:pPr>
    </w:lvl>
    <w:lvl w:ilvl="5">
      <w:numFmt w:val="bullet"/>
      <w:lvlText w:val="•"/>
      <w:lvlJc w:val="left"/>
      <w:pPr>
        <w:ind w:left="4833" w:hanging="156"/>
      </w:pPr>
    </w:lvl>
    <w:lvl w:ilvl="6">
      <w:numFmt w:val="bullet"/>
      <w:lvlText w:val="•"/>
      <w:lvlJc w:val="left"/>
      <w:pPr>
        <w:ind w:left="5779" w:hanging="156"/>
      </w:pPr>
    </w:lvl>
    <w:lvl w:ilvl="7">
      <w:numFmt w:val="bullet"/>
      <w:lvlText w:val="•"/>
      <w:lvlJc w:val="left"/>
      <w:pPr>
        <w:ind w:left="6726" w:hanging="156"/>
      </w:pPr>
    </w:lvl>
    <w:lvl w:ilvl="8">
      <w:numFmt w:val="bullet"/>
      <w:lvlText w:val="•"/>
      <w:lvlJc w:val="left"/>
      <w:pPr>
        <w:ind w:left="7673" w:hanging="156"/>
      </w:pPr>
    </w:lvl>
  </w:abstractNum>
  <w:abstractNum w:abstractNumId="5">
    <w:nsid w:val="5F532EE0"/>
    <w:multiLevelType w:val="multilevel"/>
    <w:tmpl w:val="1DD4BE86"/>
    <w:styleLink w:val="WWOutlineListStyle"/>
    <w:lvl w:ilvl="0">
      <w:start w:val="1"/>
      <w:numFmt w:val="decimal"/>
      <w:pStyle w:val="Ttulo1"/>
      <w:lvlText w:val="%1."/>
      <w:lvlJc w:val="left"/>
      <w:pPr>
        <w:ind w:left="720" w:hanging="720"/>
      </w:p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6A230D7C"/>
    <w:multiLevelType w:val="multilevel"/>
    <w:tmpl w:val="F46C5602"/>
    <w:lvl w:ilvl="0">
      <w:start w:val="1"/>
      <w:numFmt w:val="upperRoman"/>
      <w:lvlText w:val="%1"/>
      <w:lvlJc w:val="left"/>
      <w:pPr>
        <w:ind w:left="102" w:hanging="106"/>
      </w:pPr>
      <w:rPr>
        <w:rFonts w:ascii="Calibri" w:eastAsia="Calibri" w:hAnsi="Calibri" w:cs="Calibri"/>
        <w:w w:val="100"/>
        <w:sz w:val="22"/>
        <w:szCs w:val="22"/>
      </w:rPr>
    </w:lvl>
    <w:lvl w:ilvl="1">
      <w:numFmt w:val="bullet"/>
      <w:lvlText w:val="•"/>
      <w:lvlJc w:val="left"/>
      <w:pPr>
        <w:ind w:left="1046" w:hanging="106"/>
      </w:pPr>
    </w:lvl>
    <w:lvl w:ilvl="2">
      <w:numFmt w:val="bullet"/>
      <w:lvlText w:val="•"/>
      <w:lvlJc w:val="left"/>
      <w:pPr>
        <w:ind w:left="1993" w:hanging="106"/>
      </w:pPr>
    </w:lvl>
    <w:lvl w:ilvl="3">
      <w:numFmt w:val="bullet"/>
      <w:lvlText w:val="•"/>
      <w:lvlJc w:val="left"/>
      <w:pPr>
        <w:ind w:left="2939" w:hanging="106"/>
      </w:pPr>
    </w:lvl>
    <w:lvl w:ilvl="4">
      <w:numFmt w:val="bullet"/>
      <w:lvlText w:val="•"/>
      <w:lvlJc w:val="left"/>
      <w:pPr>
        <w:ind w:left="3886" w:hanging="106"/>
      </w:pPr>
    </w:lvl>
    <w:lvl w:ilvl="5">
      <w:numFmt w:val="bullet"/>
      <w:lvlText w:val="•"/>
      <w:lvlJc w:val="left"/>
      <w:pPr>
        <w:ind w:left="4833" w:hanging="106"/>
      </w:pPr>
    </w:lvl>
    <w:lvl w:ilvl="6">
      <w:numFmt w:val="bullet"/>
      <w:lvlText w:val="•"/>
      <w:lvlJc w:val="left"/>
      <w:pPr>
        <w:ind w:left="5779" w:hanging="106"/>
      </w:pPr>
    </w:lvl>
    <w:lvl w:ilvl="7">
      <w:numFmt w:val="bullet"/>
      <w:lvlText w:val="•"/>
      <w:lvlJc w:val="left"/>
      <w:pPr>
        <w:ind w:left="6726" w:hanging="106"/>
      </w:pPr>
    </w:lvl>
    <w:lvl w:ilvl="8">
      <w:numFmt w:val="bullet"/>
      <w:lvlText w:val="•"/>
      <w:lvlJc w:val="left"/>
      <w:pPr>
        <w:ind w:left="7673" w:hanging="106"/>
      </w:p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44"/>
    <w:rsid w:val="000452DB"/>
    <w:rsid w:val="003457FB"/>
    <w:rsid w:val="003B347C"/>
    <w:rsid w:val="00511A9E"/>
    <w:rsid w:val="005B374D"/>
    <w:rsid w:val="005D2324"/>
    <w:rsid w:val="006467C6"/>
    <w:rsid w:val="009C5E04"/>
    <w:rsid w:val="00A020F5"/>
    <w:rsid w:val="00B95398"/>
    <w:rsid w:val="00D51C11"/>
    <w:rsid w:val="00DD447D"/>
    <w:rsid w:val="00E5175B"/>
    <w:rsid w:val="00E81F86"/>
    <w:rsid w:val="00EC585B"/>
    <w:rsid w:val="00EE68E9"/>
    <w:rsid w:val="00FD0D29"/>
    <w:rsid w:val="00FD0E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BBE41-BF1D-457F-BC8C-67EE1140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color w:val="000000"/>
        <w:sz w:val="22"/>
        <w:szCs w:val="22"/>
        <w:lang w:val="pt-B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Normal"/>
    <w:next w:val="Normal"/>
    <w:autoRedefine/>
    <w:pPr>
      <w:keepNext/>
      <w:keepLines/>
      <w:pageBreakBefore/>
      <w:numPr>
        <w:numId w:val="1"/>
      </w:numPr>
      <w:spacing w:after="30" w:line="360" w:lineRule="auto"/>
      <w:outlineLvl w:val="0"/>
    </w:pPr>
    <w:rPr>
      <w:rFonts w:eastAsia="Times New Roman" w:cs="Times New Roman"/>
      <w:b/>
      <w:sz w:val="24"/>
      <w:szCs w:val="32"/>
      <w:lang w:eastAsia="pt-BR"/>
    </w:rPr>
  </w:style>
  <w:style w:type="paragraph" w:styleId="Ttulo2">
    <w:name w:val="heading 2"/>
    <w:basedOn w:val="Normal"/>
    <w:next w:val="Normal"/>
    <w:autoRedefine/>
    <w:pPr>
      <w:keepNext/>
      <w:keepLines/>
      <w:tabs>
        <w:tab w:val="left" w:pos="720"/>
      </w:tabs>
      <w:spacing w:after="30" w:line="360" w:lineRule="auto"/>
      <w:ind w:left="720" w:hanging="720"/>
      <w:outlineLvl w:val="1"/>
    </w:pPr>
    <w:rPr>
      <w:rFonts w:eastAsia="Times New Roman" w:cs="Times New Roman"/>
      <w:b/>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
    <w:name w:val="WW_OutlineListStyle"/>
    <w:basedOn w:val="Semlista"/>
    <w:pPr>
      <w:numPr>
        <w:numId w:val="1"/>
      </w:numPr>
    </w:pPr>
  </w:style>
  <w:style w:type="character" w:customStyle="1" w:styleId="Ttulo1Char">
    <w:name w:val="Título 1 Char"/>
    <w:basedOn w:val="Fontepargpadro"/>
    <w:rPr>
      <w:rFonts w:ascii="Arial" w:eastAsia="Times New Roman" w:hAnsi="Arial" w:cs="Times New Roman"/>
      <w:b/>
      <w:color w:val="000000"/>
      <w:sz w:val="24"/>
      <w:szCs w:val="32"/>
      <w:lang w:eastAsia="pt-BR"/>
    </w:rPr>
  </w:style>
  <w:style w:type="character" w:customStyle="1" w:styleId="Ttulo2Char">
    <w:name w:val="Título 2 Char"/>
    <w:basedOn w:val="Fontepargpadro"/>
    <w:rPr>
      <w:rFonts w:ascii="Arial" w:eastAsia="Times New Roman" w:hAnsi="Arial" w:cs="Times New Roman"/>
      <w:b/>
      <w:color w:val="000000"/>
      <w:sz w:val="24"/>
      <w:szCs w:val="26"/>
    </w:rPr>
  </w:style>
  <w:style w:type="paragraph" w:styleId="Cabealho">
    <w:name w:val="header"/>
    <w:basedOn w:val="Normal"/>
    <w:pPr>
      <w:tabs>
        <w:tab w:val="center" w:pos="4252"/>
        <w:tab w:val="right" w:pos="8504"/>
      </w:tabs>
      <w:spacing w:after="0" w:line="240" w:lineRule="auto"/>
    </w:pPr>
  </w:style>
  <w:style w:type="character" w:customStyle="1" w:styleId="CabealhoChar">
    <w:name w:val="Cabeçalho Char"/>
    <w:basedOn w:val="Fontepargpadro"/>
  </w:style>
  <w:style w:type="paragraph" w:styleId="Rodap">
    <w:name w:val="footer"/>
    <w:basedOn w:val="Normal"/>
    <w:pPr>
      <w:tabs>
        <w:tab w:val="center" w:pos="4252"/>
        <w:tab w:val="right" w:pos="8504"/>
      </w:tabs>
      <w:spacing w:after="0" w:line="240" w:lineRule="auto"/>
    </w:pPr>
  </w:style>
  <w:style w:type="character" w:customStyle="1" w:styleId="RodapChar">
    <w:name w:val="Rodapé Char"/>
    <w:basedOn w:val="Fontepargpadro"/>
  </w:style>
  <w:style w:type="character" w:styleId="Hyperlink">
    <w:name w:val="Hyperlink"/>
    <w:basedOn w:val="Fontepargpadro"/>
    <w:rPr>
      <w:color w:val="0563C1"/>
      <w:u w:val="single"/>
    </w:rPr>
  </w:style>
  <w:style w:type="character" w:customStyle="1" w:styleId="MenoPendente1">
    <w:name w:val="Menção Pendente1"/>
    <w:basedOn w:val="Fontepargpadro"/>
    <w:rPr>
      <w:color w:val="605E5C"/>
      <w:shd w:val="clear" w:color="auto" w:fill="E1DFDD"/>
    </w:rPr>
  </w:style>
  <w:style w:type="character" w:styleId="Nmerodelinha">
    <w:name w:val="line number"/>
    <w:basedOn w:val="Fontepargpadro"/>
  </w:style>
  <w:style w:type="paragraph" w:styleId="PargrafodaLista">
    <w:name w:val="List Paragraph"/>
    <w:basedOn w:val="Normal"/>
    <w:pPr>
      <w:ind w:left="720"/>
    </w:pPr>
  </w:style>
  <w:style w:type="paragraph" w:styleId="SemEspaamento">
    <w:name w:val="No Spacing"/>
    <w:basedOn w:val="Normal"/>
    <w:pPr>
      <w:spacing w:after="0" w:line="240" w:lineRule="auto"/>
    </w:pPr>
    <w:rPr>
      <w:rFonts w:ascii="Times New Roman" w:hAnsi="Times New Roman"/>
    </w:rPr>
  </w:style>
  <w:style w:type="character" w:customStyle="1" w:styleId="SemEspaamentoChar">
    <w:name w:val="Sem Espaçamento Char"/>
    <w:basedOn w:val="Fontepargpadro"/>
    <w:rPr>
      <w:rFonts w:ascii="Times New Roman" w:hAnsi="Times New Roman"/>
    </w:rPr>
  </w:style>
  <w:style w:type="paragraph" w:customStyle="1" w:styleId="paragraph">
    <w:name w:val="paragraph"/>
    <w:basedOn w:val="Normal"/>
    <w:pPr>
      <w:spacing w:before="100" w:after="100" w:line="240" w:lineRule="auto"/>
    </w:pPr>
    <w:rPr>
      <w:rFonts w:ascii="Times New Roman" w:eastAsia="Times New Roman" w:hAnsi="Times New Roman" w:cs="Times New Roman"/>
      <w:b/>
      <w:color w:val="auto"/>
      <w:sz w:val="24"/>
      <w:szCs w:val="24"/>
      <w:lang w:eastAsia="pt-BR"/>
    </w:rPr>
  </w:style>
  <w:style w:type="character" w:customStyle="1" w:styleId="normaltextrun">
    <w:name w:val="normaltextrun"/>
    <w:basedOn w:val="Fontepargpadro"/>
  </w:style>
  <w:style w:type="character" w:customStyle="1" w:styleId="eop">
    <w:name w:val="eop"/>
    <w:basedOn w:val="Fontepargpadro"/>
  </w:style>
  <w:style w:type="character" w:customStyle="1" w:styleId="tabchar">
    <w:name w:val="tabchar"/>
    <w:basedOn w:val="Fontepargpadro"/>
  </w:style>
  <w:style w:type="paragraph" w:styleId="Textodebalo">
    <w:name w:val="Balloon Text"/>
    <w:basedOn w:val="Normal"/>
    <w:pPr>
      <w:spacing w:after="0" w:line="240" w:lineRule="auto"/>
    </w:pPr>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rPr>
  </w:style>
  <w:style w:type="character" w:styleId="Forte">
    <w:name w:val="Strong"/>
    <w:basedOn w:val="Fontepargpadro"/>
    <w:uiPriority w:val="22"/>
    <w:qFormat/>
    <w:rsid w:val="00D51C11"/>
    <w:rPr>
      <w:b/>
      <w:bCs/>
    </w:rPr>
  </w:style>
  <w:style w:type="paragraph" w:styleId="Corpodetexto">
    <w:name w:val="Body Text"/>
    <w:basedOn w:val="Normal"/>
    <w:link w:val="CorpodetextoChar"/>
    <w:rsid w:val="00DD447D"/>
    <w:pPr>
      <w:widowControl w:val="0"/>
      <w:autoSpaceDE w:val="0"/>
      <w:spacing w:after="0" w:line="240" w:lineRule="auto"/>
    </w:pPr>
    <w:rPr>
      <w:rFonts w:ascii="Calibri" w:hAnsi="Calibri" w:cs="Calibri"/>
      <w:color w:val="auto"/>
    </w:rPr>
  </w:style>
  <w:style w:type="character" w:customStyle="1" w:styleId="CorpodetextoChar">
    <w:name w:val="Corpo de texto Char"/>
    <w:basedOn w:val="Fontepargpadro"/>
    <w:link w:val="Corpodetexto"/>
    <w:rsid w:val="00DD447D"/>
    <w:rPr>
      <w:rFonts w:ascii="Calibri" w:hAnsi="Calibri" w:cs="Calibri"/>
      <w:color w:val="auto"/>
    </w:rPr>
  </w:style>
  <w:style w:type="paragraph" w:customStyle="1" w:styleId="TableParagraph">
    <w:name w:val="Table Paragraph"/>
    <w:basedOn w:val="Normal"/>
    <w:rsid w:val="006467C6"/>
    <w:pPr>
      <w:widowControl w:val="0"/>
      <w:autoSpaceDE w:val="0"/>
      <w:spacing w:after="0"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050122">
      <w:bodyDiv w:val="1"/>
      <w:marLeft w:val="0"/>
      <w:marRight w:val="0"/>
      <w:marTop w:val="0"/>
      <w:marBottom w:val="0"/>
      <w:divBdr>
        <w:top w:val="none" w:sz="0" w:space="0" w:color="auto"/>
        <w:left w:val="none" w:sz="0" w:space="0" w:color="auto"/>
        <w:bottom w:val="none" w:sz="0" w:space="0" w:color="auto"/>
        <w:right w:val="none" w:sz="0" w:space="0" w:color="auto"/>
      </w:divBdr>
    </w:div>
    <w:div w:id="647323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2681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Conselho de Arquitetura e Urbanismo do Brasil</dc:creator>
  <cp:keywords>CAU/BR</cp:keywords>
  <dc:description/>
  <cp:lastModifiedBy>Mayra Ricarte de Lima</cp:lastModifiedBy>
  <cp:revision>2</cp:revision>
  <cp:lastPrinted>2022-02-01T13:08:00Z</cp:lastPrinted>
  <dcterms:created xsi:type="dcterms:W3CDTF">2022-02-01T13:12:00Z</dcterms:created>
  <dcterms:modified xsi:type="dcterms:W3CDTF">2022-02-01T13:12:00Z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0x0101006705EC3344FB274FABCD2CC5DC47CA73</vt:lpwstr>
  </property>
</Properties>
</file>