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54DF9779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B6162">
        <w:rPr>
          <w:rStyle w:val="normaltextrun"/>
          <w:rFonts w:ascii="Arial" w:hAnsi="Arial" w:cs="Arial"/>
          <w:b/>
          <w:bCs/>
        </w:rPr>
        <w:t>8</w:t>
      </w:r>
      <w:r w:rsidR="00BE20AB">
        <w:rPr>
          <w:rStyle w:val="normaltextrun"/>
          <w:rFonts w:ascii="Arial" w:hAnsi="Arial" w:cs="Arial"/>
          <w:b/>
          <w:bCs/>
        </w:rPr>
        <w:t>5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BE20AB">
        <w:rPr>
          <w:rStyle w:val="normaltextrun"/>
          <w:rFonts w:ascii="Arial" w:hAnsi="Arial" w:cs="Arial"/>
          <w:b/>
          <w:bCs/>
        </w:rPr>
        <w:t>01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BE20AB">
        <w:rPr>
          <w:rStyle w:val="normaltextrun"/>
          <w:rFonts w:ascii="Arial" w:hAnsi="Arial" w:cs="Arial"/>
          <w:b/>
          <w:bCs/>
        </w:rPr>
        <w:t>junho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6D7224E2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.2022.0000</w:t>
      </w:r>
      <w:r w:rsidR="001B6162">
        <w:rPr>
          <w:rStyle w:val="normaltextrun"/>
          <w:rFonts w:ascii="Arial" w:hAnsi="Arial" w:cs="Arial"/>
          <w:b/>
          <w:sz w:val="22"/>
          <w:szCs w:val="22"/>
        </w:rPr>
        <w:t>9</w:t>
      </w:r>
      <w:r w:rsidR="00BE20AB">
        <w:rPr>
          <w:rStyle w:val="normaltextrun"/>
          <w:rFonts w:ascii="Arial" w:hAnsi="Arial" w:cs="Arial"/>
          <w:b/>
          <w:sz w:val="22"/>
          <w:szCs w:val="22"/>
        </w:rPr>
        <w:t>9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59135BE" w14:textId="23516DCD" w:rsidR="004E41F3" w:rsidRPr="008562E5" w:rsidRDefault="004E41F3" w:rsidP="004E41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85CCAC5" w14:textId="4EB60EAA" w:rsidR="00144482" w:rsidRPr="008562E5" w:rsidRDefault="004E41F3" w:rsidP="004E41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BE20AB" w:rsidRPr="00BE20AB">
        <w:rPr>
          <w:rStyle w:val="normaltextrun"/>
          <w:rFonts w:ascii="Arial" w:hAnsi="Arial" w:cs="Arial"/>
          <w:bCs/>
          <w:sz w:val="22"/>
          <w:szCs w:val="22"/>
        </w:rPr>
        <w:t>Matheus Moreno Fernandes Barbosa</w:t>
      </w:r>
    </w:p>
    <w:p w14:paraId="50479802" w14:textId="1EB45CB3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323787">
            <w:rPr>
              <w:rFonts w:ascii="Arial" w:hAnsi="Arial" w:cs="Arial"/>
              <w:sz w:val="22"/>
              <w:szCs w:val="22"/>
            </w:rPr>
            <w:t>Profissional de Suporte Técnico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F5981E40BE7D4AB39B9000BCACDC194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323787">
            <w:rPr>
              <w:rStyle w:val="Estilo1"/>
            </w:rPr>
            <w:t>Assistente Administrativo(a)</w:t>
          </w:r>
        </w:sdtContent>
      </w:sdt>
    </w:p>
    <w:p w14:paraId="51057940" w14:textId="4E6CB27B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BE20AB">
            <w:rPr>
              <w:rStyle w:val="Estilo1"/>
            </w:rPr>
            <w:t>Gerência Administrativa</w:t>
          </w:r>
        </w:sdtContent>
      </w:sdt>
    </w:p>
    <w:p w14:paraId="3DDEA101" w14:textId="2C8A5CD5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BE20AB">
        <w:rPr>
          <w:rStyle w:val="normaltextrun"/>
          <w:rFonts w:ascii="Arial" w:hAnsi="Arial" w:cs="Arial"/>
          <w:bCs/>
          <w:sz w:val="22"/>
          <w:szCs w:val="22"/>
        </w:rPr>
        <w:t>20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BE20AB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BE20AB">
        <w:rPr>
          <w:rStyle w:val="normaltextrun"/>
          <w:rFonts w:ascii="Arial" w:hAnsi="Arial" w:cs="Arial"/>
          <w:bCs/>
          <w:sz w:val="22"/>
          <w:szCs w:val="22"/>
        </w:rPr>
        <w:t>04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BE20AB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 xml:space="preserve">/2022 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493E08">
        <w:rPr>
          <w:rStyle w:val="normaltextrun"/>
          <w:rFonts w:ascii="Arial" w:hAnsi="Arial" w:cs="Arial"/>
          <w:bCs/>
          <w:sz w:val="22"/>
          <w:szCs w:val="22"/>
        </w:rPr>
        <w:t>15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41AF43C9" w14:textId="00634DAC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493E08">
            <w:rPr>
              <w:rStyle w:val="Estilo1"/>
            </w:rPr>
            <w:t>VI – por motivo de férias;</w:t>
          </w:r>
        </w:sdtContent>
      </w:sdt>
      <w:r w:rsidR="00AD1166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6DF59D91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4E41F3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79053D08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BE20AB">
        <w:rPr>
          <w:rStyle w:val="normaltextrun"/>
          <w:rFonts w:ascii="Arial" w:hAnsi="Arial" w:cs="Arial"/>
          <w:bCs/>
          <w:sz w:val="22"/>
          <w:szCs w:val="22"/>
        </w:rPr>
        <w:t>Thiago Henrique da Silva Rocha</w:t>
      </w:r>
    </w:p>
    <w:p w14:paraId="23935F7A" w14:textId="7CA76A7D" w:rsidR="00D02A41" w:rsidRPr="00EA775F" w:rsidRDefault="000C54BC" w:rsidP="00D02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D02A41"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Estilo1"/>
          </w:rPr>
          <w:alias w:val="Ocupação"/>
          <w:tag w:val="Ocupação"/>
          <w:id w:val="-1014694883"/>
          <w:placeholder>
            <w:docPart w:val="29244C4E21DF433E94728D09B9A18F4B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323787">
            <w:rPr>
              <w:rStyle w:val="Estilo1"/>
            </w:rPr>
            <w:t>Assistente Administrativo(a)</w:t>
          </w:r>
        </w:sdtContent>
      </w:sdt>
    </w:p>
    <w:p w14:paraId="418E2102" w14:textId="71812973" w:rsidR="00AD1166" w:rsidRDefault="00EA775F" w:rsidP="000C54B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16531B">
        <w:rPr>
          <w:rStyle w:val="Estilo1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958637219"/>
          <w:placeholder>
            <w:docPart w:val="48EC6516332446108A05C2D67049A1D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BE20AB">
            <w:rPr>
              <w:rStyle w:val="Estilo1"/>
            </w:rPr>
            <w:t>Gerência Administrativa</w:t>
          </w:r>
        </w:sdtContent>
      </w:sdt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0CB2E734" w14:textId="647E1193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BE20AB">
        <w:rPr>
          <w:rStyle w:val="normaltextrun"/>
          <w:rFonts w:ascii="Arial" w:hAnsi="Arial" w:cs="Arial"/>
          <w:bCs/>
          <w:sz w:val="22"/>
          <w:szCs w:val="22"/>
        </w:rPr>
        <w:t>20</w:t>
      </w:r>
      <w:r w:rsidR="00493E08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BE20AB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493E08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BE20AB">
        <w:rPr>
          <w:rStyle w:val="normaltextrun"/>
          <w:rFonts w:ascii="Arial" w:hAnsi="Arial" w:cs="Arial"/>
          <w:bCs/>
          <w:sz w:val="22"/>
          <w:szCs w:val="22"/>
        </w:rPr>
        <w:t>04</w:t>
      </w:r>
      <w:r w:rsidR="00493E08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BE20AB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493E08">
        <w:rPr>
          <w:rStyle w:val="normaltextrun"/>
          <w:rFonts w:ascii="Arial" w:hAnsi="Arial" w:cs="Arial"/>
          <w:bCs/>
          <w:sz w:val="22"/>
          <w:szCs w:val="22"/>
        </w:rPr>
        <w:t xml:space="preserve">/2022 </w:t>
      </w:r>
      <w:r w:rsidR="00493E08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493E08">
        <w:rPr>
          <w:rStyle w:val="normaltextrun"/>
          <w:rFonts w:ascii="Arial" w:hAnsi="Arial" w:cs="Arial"/>
          <w:bCs/>
          <w:sz w:val="22"/>
          <w:szCs w:val="22"/>
        </w:rPr>
        <w:t>15</w:t>
      </w:r>
      <w:r w:rsidR="00493E08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5A0B347D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BE20AB">
        <w:rPr>
          <w:rStyle w:val="normaltextrun"/>
          <w:rFonts w:ascii="Arial" w:hAnsi="Arial" w:cs="Arial"/>
          <w:sz w:val="22"/>
          <w:szCs w:val="22"/>
        </w:rPr>
        <w:t>01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BE20AB">
        <w:rPr>
          <w:rStyle w:val="normaltextrun"/>
          <w:rFonts w:ascii="Arial" w:hAnsi="Arial" w:cs="Arial"/>
          <w:sz w:val="22"/>
          <w:szCs w:val="22"/>
        </w:rPr>
        <w:t>junho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3B7A4F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6B3E5C55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E20AB">
        <w:rPr>
          <w:rStyle w:val="normaltextrun"/>
          <w:rFonts w:ascii="Arial" w:hAnsi="Arial" w:cs="Arial"/>
          <w:sz w:val="22"/>
          <w:szCs w:val="22"/>
        </w:rPr>
        <w:t>01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BE20AB">
        <w:rPr>
          <w:rStyle w:val="normaltextrun"/>
          <w:rFonts w:ascii="Arial" w:hAnsi="Arial" w:cs="Arial"/>
          <w:sz w:val="22"/>
          <w:szCs w:val="22"/>
        </w:rPr>
        <w:t>junho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188D9CF8" w:rsidR="005D0EE4" w:rsidRPr="008562E5" w:rsidRDefault="005D0EE4" w:rsidP="00D31AC8">
      <w:pPr>
        <w:pStyle w:val="paragraph"/>
        <w:spacing w:before="0" w:beforeAutospacing="0" w:after="0" w:afterAutospacing="0"/>
        <w:ind w:left="2124" w:firstLine="708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71CA" w14:textId="77777777" w:rsidR="00184F9B" w:rsidRDefault="00184F9B" w:rsidP="00EE0A57">
      <w:pPr>
        <w:spacing w:after="0" w:line="240" w:lineRule="auto"/>
      </w:pPr>
      <w:r>
        <w:separator/>
      </w:r>
    </w:p>
  </w:endnote>
  <w:endnote w:type="continuationSeparator" w:id="0">
    <w:p w14:paraId="358D1E63" w14:textId="77777777" w:rsidR="00184F9B" w:rsidRDefault="00184F9B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5DBB" w14:textId="77777777" w:rsidR="00184F9B" w:rsidRDefault="00184F9B" w:rsidP="00EE0A57">
      <w:pPr>
        <w:spacing w:after="0" w:line="240" w:lineRule="auto"/>
      </w:pPr>
      <w:r>
        <w:separator/>
      </w:r>
    </w:p>
  </w:footnote>
  <w:footnote w:type="continuationSeparator" w:id="0">
    <w:p w14:paraId="773DB216" w14:textId="77777777" w:rsidR="00184F9B" w:rsidRDefault="00184F9B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949499">
    <w:abstractNumId w:val="2"/>
  </w:num>
  <w:num w:numId="2" w16cid:durableId="124543505">
    <w:abstractNumId w:val="2"/>
  </w:num>
  <w:num w:numId="3" w16cid:durableId="7607556">
    <w:abstractNumId w:val="0"/>
  </w:num>
  <w:num w:numId="4" w16cid:durableId="2069567021">
    <w:abstractNumId w:val="1"/>
  </w:num>
  <w:num w:numId="5" w16cid:durableId="1771002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511C"/>
    <w:rsid w:val="000B5EEF"/>
    <w:rsid w:val="000B7D4B"/>
    <w:rsid w:val="000C4049"/>
    <w:rsid w:val="000C54BC"/>
    <w:rsid w:val="000F0C06"/>
    <w:rsid w:val="00113E92"/>
    <w:rsid w:val="00142A80"/>
    <w:rsid w:val="00144482"/>
    <w:rsid w:val="00164C8A"/>
    <w:rsid w:val="0016531B"/>
    <w:rsid w:val="00170920"/>
    <w:rsid w:val="0018257C"/>
    <w:rsid w:val="00184F9B"/>
    <w:rsid w:val="00192CB6"/>
    <w:rsid w:val="001A17CA"/>
    <w:rsid w:val="001A398B"/>
    <w:rsid w:val="001B4677"/>
    <w:rsid w:val="001B6162"/>
    <w:rsid w:val="001C2B60"/>
    <w:rsid w:val="001C5339"/>
    <w:rsid w:val="001D5CC8"/>
    <w:rsid w:val="001E38A7"/>
    <w:rsid w:val="0020657A"/>
    <w:rsid w:val="002219BE"/>
    <w:rsid w:val="00226D06"/>
    <w:rsid w:val="00235DE8"/>
    <w:rsid w:val="002430A5"/>
    <w:rsid w:val="00247F5B"/>
    <w:rsid w:val="00266923"/>
    <w:rsid w:val="0029429B"/>
    <w:rsid w:val="002B1CD9"/>
    <w:rsid w:val="002B6381"/>
    <w:rsid w:val="002C00E5"/>
    <w:rsid w:val="002C0927"/>
    <w:rsid w:val="002C1865"/>
    <w:rsid w:val="002D5701"/>
    <w:rsid w:val="003066BC"/>
    <w:rsid w:val="00314C0D"/>
    <w:rsid w:val="0031769F"/>
    <w:rsid w:val="00323787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93E08"/>
    <w:rsid w:val="004C44C3"/>
    <w:rsid w:val="004D49F4"/>
    <w:rsid w:val="004E41F3"/>
    <w:rsid w:val="004F5666"/>
    <w:rsid w:val="004F752A"/>
    <w:rsid w:val="00503414"/>
    <w:rsid w:val="00515788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2665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B42A7"/>
    <w:rsid w:val="00AC554C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E20AB"/>
    <w:rsid w:val="00BF2E35"/>
    <w:rsid w:val="00C0186F"/>
    <w:rsid w:val="00C049B1"/>
    <w:rsid w:val="00C07DEB"/>
    <w:rsid w:val="00C56C72"/>
    <w:rsid w:val="00C60C46"/>
    <w:rsid w:val="00C67FEE"/>
    <w:rsid w:val="00C876DA"/>
    <w:rsid w:val="00C91CA5"/>
    <w:rsid w:val="00CA3343"/>
    <w:rsid w:val="00CA6AA8"/>
    <w:rsid w:val="00CB5DBC"/>
    <w:rsid w:val="00CB77DA"/>
    <w:rsid w:val="00CC5CC9"/>
    <w:rsid w:val="00CE68C1"/>
    <w:rsid w:val="00D02A41"/>
    <w:rsid w:val="00D04D97"/>
    <w:rsid w:val="00D07558"/>
    <w:rsid w:val="00D1669C"/>
    <w:rsid w:val="00D21C37"/>
    <w:rsid w:val="00D24049"/>
    <w:rsid w:val="00D31AC8"/>
    <w:rsid w:val="00D56E64"/>
    <w:rsid w:val="00D61D98"/>
    <w:rsid w:val="00D62095"/>
    <w:rsid w:val="00D731A8"/>
    <w:rsid w:val="00DA7F52"/>
    <w:rsid w:val="00DB2E78"/>
    <w:rsid w:val="00DC0420"/>
    <w:rsid w:val="00DF40F8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E0A57"/>
    <w:rsid w:val="00F05BF9"/>
    <w:rsid w:val="00F15CB9"/>
    <w:rsid w:val="00F205B5"/>
    <w:rsid w:val="00F377E7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8EC6516332446108A05C2D67049A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C6D22-95F2-4A7A-BFC1-73299DF06821}"/>
      </w:docPartPr>
      <w:docPartBody>
        <w:p w:rsidR="00BF7D1F" w:rsidRDefault="00AB5974" w:rsidP="00AB5974">
          <w:pPr>
            <w:pStyle w:val="48EC6516332446108A05C2D67049A1D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29244C4E21DF433E94728D09B9A18F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EC9DA3-73CC-4F21-A543-F094A2AE5E61}"/>
      </w:docPartPr>
      <w:docPartBody>
        <w:p w:rsidR="00DE2B45" w:rsidRDefault="006028EE" w:rsidP="006028EE">
          <w:pPr>
            <w:pStyle w:val="29244C4E21DF433E94728D09B9A18F4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D8"/>
    <w:rsid w:val="004A3909"/>
    <w:rsid w:val="005356AC"/>
    <w:rsid w:val="00593C5D"/>
    <w:rsid w:val="006028EE"/>
    <w:rsid w:val="00681BD8"/>
    <w:rsid w:val="006B22D6"/>
    <w:rsid w:val="00AB5974"/>
    <w:rsid w:val="00BF7D1F"/>
    <w:rsid w:val="00D329AE"/>
    <w:rsid w:val="00D71B71"/>
    <w:rsid w:val="00D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028EE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48EC6516332446108A05C2D67049A1DA">
    <w:name w:val="48EC6516332446108A05C2D67049A1DA"/>
    <w:rsid w:val="00AB5974"/>
  </w:style>
  <w:style w:type="paragraph" w:customStyle="1" w:styleId="29244C4E21DF433E94728D09B9A18F4B">
    <w:name w:val="29244C4E21DF433E94728D09B9A18F4B"/>
    <w:rsid w:val="00602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5F523E-9904-4404-8B81-9C336931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2022-05-05T14:13:00Z</cp:lastPrinted>
  <dcterms:created xsi:type="dcterms:W3CDTF">2022-06-03T15:38:00Z</dcterms:created>
  <dcterms:modified xsi:type="dcterms:W3CDTF">2022-06-03T15:38:00Z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