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3AB2DF73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C67FEE">
        <w:rPr>
          <w:rStyle w:val="normaltextrun"/>
          <w:rFonts w:ascii="Arial" w:hAnsi="Arial" w:cs="Arial"/>
          <w:b/>
          <w:bCs/>
        </w:rPr>
        <w:t>7</w:t>
      </w:r>
      <w:r w:rsidR="000B7D4B">
        <w:rPr>
          <w:rStyle w:val="normaltextrun"/>
          <w:rFonts w:ascii="Arial" w:hAnsi="Arial" w:cs="Arial"/>
          <w:b/>
          <w:bCs/>
        </w:rPr>
        <w:t>6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C67FEE">
        <w:rPr>
          <w:rStyle w:val="normaltextrun"/>
          <w:rFonts w:ascii="Arial" w:hAnsi="Arial" w:cs="Arial"/>
          <w:b/>
          <w:bCs/>
        </w:rPr>
        <w:t>17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16531B">
        <w:rPr>
          <w:rStyle w:val="normaltextrun"/>
          <w:rFonts w:ascii="Arial" w:hAnsi="Arial" w:cs="Arial"/>
          <w:b/>
          <w:bCs/>
        </w:rPr>
        <w:t>maio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469D9578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.2022.0000</w:t>
      </w:r>
      <w:r w:rsidR="000B7D4B">
        <w:rPr>
          <w:rStyle w:val="normaltextrun"/>
          <w:rFonts w:ascii="Arial" w:hAnsi="Arial" w:cs="Arial"/>
          <w:b/>
          <w:sz w:val="22"/>
          <w:szCs w:val="22"/>
        </w:rPr>
        <w:t>89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159135BE" w14:textId="23516DCD" w:rsidR="004E41F3" w:rsidRPr="008562E5" w:rsidRDefault="004E41F3" w:rsidP="004E41F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ÍDO(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85CCAC5" w14:textId="677E8BFA" w:rsidR="00144482" w:rsidRPr="008562E5" w:rsidRDefault="004E41F3" w:rsidP="004E41F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855482">
        <w:rPr>
          <w:sz w:val="22"/>
          <w:szCs w:val="22"/>
        </w:rPr>
        <w:t xml:space="preserve"> </w:t>
      </w:r>
      <w:r w:rsidR="000B7D4B" w:rsidRPr="000B7D4B">
        <w:rPr>
          <w:rStyle w:val="normaltextrun"/>
          <w:rFonts w:ascii="Arial" w:hAnsi="Arial" w:cs="Arial"/>
          <w:bCs/>
          <w:sz w:val="22"/>
          <w:szCs w:val="22"/>
        </w:rPr>
        <w:t>Renato Alves Teixeira</w:t>
      </w:r>
    </w:p>
    <w:p w14:paraId="50479802" w14:textId="06BD8A31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26208834"/>
          <w:placeholder>
            <w:docPart w:val="F5981E40BE7D4AB39B9000BCACDC194A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0B7D4B">
            <w:rPr>
              <w:rFonts w:ascii="Arial" w:hAnsi="Arial" w:cs="Arial"/>
              <w:sz w:val="22"/>
              <w:szCs w:val="22"/>
            </w:rPr>
            <w:t>Profissional Analista Superior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1587342786"/>
          <w:placeholder>
            <w:docPart w:val="F5981E40BE7D4AB39B9000BCACDC194A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0B7D4B">
            <w:rPr>
              <w:rStyle w:val="Estilo1"/>
            </w:rPr>
            <w:t>Analista Técnico(a)</w:t>
          </w:r>
        </w:sdtContent>
      </w:sdt>
    </w:p>
    <w:p w14:paraId="51057940" w14:textId="54915C9C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="00AD1166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0B7D4B">
            <w:rPr>
              <w:rStyle w:val="Estilo1"/>
            </w:rPr>
            <w:t>Gerência do Centro de Serviços Compartilhados</w:t>
          </w:r>
        </w:sdtContent>
      </w:sdt>
    </w:p>
    <w:p w14:paraId="3DDEA101" w14:textId="5E67A4D4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0B7D4B">
        <w:rPr>
          <w:rStyle w:val="normaltextrun"/>
          <w:rFonts w:ascii="Arial" w:hAnsi="Arial" w:cs="Arial"/>
          <w:bCs/>
          <w:sz w:val="22"/>
          <w:szCs w:val="22"/>
        </w:rPr>
        <w:t>30</w:t>
      </w:r>
      <w:r w:rsidR="004E41F3">
        <w:rPr>
          <w:rStyle w:val="normaltextrun"/>
          <w:rFonts w:ascii="Arial" w:hAnsi="Arial" w:cs="Arial"/>
          <w:bCs/>
          <w:sz w:val="22"/>
          <w:szCs w:val="22"/>
        </w:rPr>
        <w:t xml:space="preserve">/05/2022 a </w:t>
      </w:r>
      <w:r w:rsidR="000B7D4B">
        <w:rPr>
          <w:rStyle w:val="normaltextrun"/>
          <w:rFonts w:ascii="Arial" w:hAnsi="Arial" w:cs="Arial"/>
          <w:bCs/>
          <w:sz w:val="22"/>
          <w:szCs w:val="22"/>
        </w:rPr>
        <w:t>10</w:t>
      </w:r>
      <w:r w:rsidR="004E41F3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0B7D4B">
        <w:rPr>
          <w:rStyle w:val="normaltextrun"/>
          <w:rFonts w:ascii="Arial" w:hAnsi="Arial" w:cs="Arial"/>
          <w:bCs/>
          <w:sz w:val="22"/>
          <w:szCs w:val="22"/>
        </w:rPr>
        <w:t>6</w:t>
      </w:r>
      <w:r w:rsidR="004E41F3">
        <w:rPr>
          <w:rStyle w:val="normaltextrun"/>
          <w:rFonts w:ascii="Arial" w:hAnsi="Arial" w:cs="Arial"/>
          <w:bCs/>
          <w:sz w:val="22"/>
          <w:szCs w:val="22"/>
        </w:rPr>
        <w:t xml:space="preserve">/2022 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0B7D4B">
        <w:rPr>
          <w:rStyle w:val="normaltextrun"/>
          <w:rFonts w:ascii="Arial" w:hAnsi="Arial" w:cs="Arial"/>
          <w:bCs/>
          <w:sz w:val="22"/>
          <w:szCs w:val="22"/>
        </w:rPr>
        <w:t>12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41AF43C9" w14:textId="6A0FA3C8" w:rsidR="00144482" w:rsidRPr="00855482" w:rsidRDefault="00855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3D79557CEE78482BBD828A838496D6D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002D07">
            <w:rPr>
              <w:rStyle w:val="Estilo1"/>
            </w:rPr>
            <w:t>VI – por motivo de férias;</w:t>
          </w:r>
        </w:sdtContent>
      </w:sdt>
      <w:r w:rsidR="00AD1166" w:rsidRPr="00EA775F">
        <w:rPr>
          <w:rStyle w:val="normaltextrun"/>
          <w:rFonts w:ascii="Arial" w:hAnsi="Arial" w:cs="Arial"/>
          <w:sz w:val="22"/>
          <w:szCs w:val="22"/>
        </w:rPr>
        <w:t>)</w:t>
      </w: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6DF59D91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4E41F3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4E41F3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FDA4F04" w14:textId="784579F8" w:rsidR="00144482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0B7D4B" w:rsidRPr="000B7D4B">
        <w:rPr>
          <w:rStyle w:val="normaltextrun"/>
          <w:rFonts w:ascii="Arial" w:hAnsi="Arial" w:cs="Arial"/>
          <w:bCs/>
          <w:sz w:val="22"/>
          <w:szCs w:val="22"/>
        </w:rPr>
        <w:t xml:space="preserve">Gabriel </w:t>
      </w:r>
      <w:proofErr w:type="spellStart"/>
      <w:r w:rsidR="000B7D4B" w:rsidRPr="000B7D4B">
        <w:rPr>
          <w:rStyle w:val="normaltextrun"/>
          <w:rFonts w:ascii="Arial" w:hAnsi="Arial" w:cs="Arial"/>
          <w:bCs/>
          <w:sz w:val="22"/>
          <w:szCs w:val="22"/>
        </w:rPr>
        <w:t>Jara</w:t>
      </w:r>
      <w:proofErr w:type="spellEnd"/>
      <w:r w:rsidR="000B7D4B" w:rsidRPr="000B7D4B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B7D4B" w:rsidRPr="000B7D4B">
        <w:rPr>
          <w:rStyle w:val="normaltextrun"/>
          <w:rFonts w:ascii="Arial" w:hAnsi="Arial" w:cs="Arial"/>
          <w:bCs/>
          <w:sz w:val="22"/>
          <w:szCs w:val="22"/>
        </w:rPr>
        <w:t>Bigio</w:t>
      </w:r>
      <w:proofErr w:type="spellEnd"/>
    </w:p>
    <w:p w14:paraId="5FCB5A98" w14:textId="14EAB587" w:rsidR="000C54BC" w:rsidRPr="00EA775F" w:rsidRDefault="000C54BC" w:rsidP="000C54B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472170502"/>
          <w:placeholder>
            <w:docPart w:val="63E2D203F140408284F0DC403534BC85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0B7D4B">
            <w:rPr>
              <w:rFonts w:ascii="Arial" w:hAnsi="Arial" w:cs="Arial"/>
              <w:sz w:val="22"/>
              <w:szCs w:val="22"/>
            </w:rPr>
            <w:t>Profissional Analista Superior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1419909492"/>
          <w:placeholder>
            <w:docPart w:val="63E2D203F140408284F0DC403534BC85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0B7D4B">
            <w:rPr>
              <w:rStyle w:val="Estilo1"/>
            </w:rPr>
            <w:t>Analista de Sistemas</w:t>
          </w:r>
        </w:sdtContent>
      </w:sdt>
    </w:p>
    <w:p w14:paraId="418E2102" w14:textId="1B9E8D19" w:rsidR="00AD1166" w:rsidRDefault="00EA775F" w:rsidP="000C54B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16531B">
        <w:rPr>
          <w:rStyle w:val="Estilo1"/>
        </w:rPr>
        <w:t xml:space="preserve"> </w:t>
      </w:r>
      <w:sdt>
        <w:sdtPr>
          <w:rPr>
            <w:rStyle w:val="Estilo1"/>
          </w:rPr>
          <w:alias w:val="Lotação"/>
          <w:tag w:val="Lotação"/>
          <w:id w:val="-958637219"/>
          <w:placeholder>
            <w:docPart w:val="48EC6516332446108A05C2D67049A1DA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0B7D4B">
            <w:rPr>
              <w:rStyle w:val="Estilo1"/>
            </w:rPr>
            <w:t>Gerência do Centro de Serviços Compartilhados</w:t>
          </w:r>
        </w:sdtContent>
      </w:sdt>
      <w:r w:rsidR="00AD116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</w:p>
    <w:p w14:paraId="0CB2E734" w14:textId="07CF1D5C" w:rsidR="00D56E64" w:rsidRPr="00855482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0B7D4B">
        <w:rPr>
          <w:rStyle w:val="normaltextrun"/>
          <w:rFonts w:ascii="Arial" w:hAnsi="Arial" w:cs="Arial"/>
          <w:bCs/>
          <w:sz w:val="22"/>
          <w:szCs w:val="22"/>
        </w:rPr>
        <w:t xml:space="preserve">30/05/2022 a 10/06/2022 </w:t>
      </w:r>
      <w:r w:rsidR="000B7D4B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0B7D4B">
        <w:rPr>
          <w:rStyle w:val="normaltextrun"/>
          <w:rFonts w:ascii="Arial" w:hAnsi="Arial" w:cs="Arial"/>
          <w:bCs/>
          <w:sz w:val="22"/>
          <w:szCs w:val="22"/>
        </w:rPr>
        <w:t>12</w:t>
      </w:r>
      <w:r w:rsidR="000B7D4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552A2CA3" w14:textId="77777777" w:rsidR="00A35070" w:rsidRDefault="00995643" w:rsidP="00A35070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1EA0DB39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C67FEE">
        <w:rPr>
          <w:rStyle w:val="normaltextrun"/>
          <w:rFonts w:ascii="Arial" w:hAnsi="Arial" w:cs="Arial"/>
          <w:sz w:val="22"/>
          <w:szCs w:val="22"/>
        </w:rPr>
        <w:t>17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16531B">
        <w:rPr>
          <w:rStyle w:val="normaltextrun"/>
          <w:rFonts w:ascii="Arial" w:hAnsi="Arial" w:cs="Arial"/>
          <w:sz w:val="22"/>
          <w:szCs w:val="22"/>
        </w:rPr>
        <w:t>maio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3B7A4F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1C38DC38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C67FEE">
        <w:rPr>
          <w:rStyle w:val="normaltextrun"/>
          <w:rFonts w:ascii="Arial" w:hAnsi="Arial" w:cs="Arial"/>
          <w:sz w:val="22"/>
          <w:szCs w:val="22"/>
        </w:rPr>
        <w:t>17</w:t>
      </w:r>
      <w:bookmarkStart w:id="0" w:name="_GoBack"/>
      <w:bookmarkEnd w:id="0"/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16531B">
        <w:rPr>
          <w:rStyle w:val="normaltextrun"/>
          <w:rFonts w:ascii="Arial" w:hAnsi="Arial" w:cs="Arial"/>
          <w:sz w:val="22"/>
          <w:szCs w:val="22"/>
        </w:rPr>
        <w:t>maio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B511C"/>
    <w:rsid w:val="000B5EEF"/>
    <w:rsid w:val="000B7D4B"/>
    <w:rsid w:val="000C4049"/>
    <w:rsid w:val="000C54BC"/>
    <w:rsid w:val="000F0C06"/>
    <w:rsid w:val="00113E92"/>
    <w:rsid w:val="00142A80"/>
    <w:rsid w:val="00144482"/>
    <w:rsid w:val="00164C8A"/>
    <w:rsid w:val="0016531B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B6381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C44C3"/>
    <w:rsid w:val="004D49F4"/>
    <w:rsid w:val="004E41F3"/>
    <w:rsid w:val="004F5666"/>
    <w:rsid w:val="004F752A"/>
    <w:rsid w:val="00503414"/>
    <w:rsid w:val="00515788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2665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77E77"/>
    <w:rsid w:val="00AB42A7"/>
    <w:rsid w:val="00AC554C"/>
    <w:rsid w:val="00AD1166"/>
    <w:rsid w:val="00AD5AC7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67FEE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A7F52"/>
    <w:rsid w:val="00DB2E78"/>
    <w:rsid w:val="00DC0420"/>
    <w:rsid w:val="00DF40F8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981E40BE7D4AB39B9000BCACDC1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1A1D4-858F-4E8F-821E-02E9333335F2}"/>
      </w:docPartPr>
      <w:docPartBody>
        <w:p w:rsidR="00593C5D" w:rsidRDefault="00681BD8" w:rsidP="00681BD8">
          <w:pPr>
            <w:pStyle w:val="F5981E40BE7D4AB39B9000BCACDC194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D79557CEE78482BBD828A838496D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094B9-5B1F-4BCA-B436-AD0F1B1A8BD9}"/>
      </w:docPartPr>
      <w:docPartBody>
        <w:p w:rsidR="004A3909" w:rsidRDefault="00D71B71" w:rsidP="00D71B71">
          <w:pPr>
            <w:pStyle w:val="3D79557CEE78482BBD828A838496D6D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48EC6516332446108A05C2D67049A1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AC6D22-95F2-4A7A-BFC1-73299DF06821}"/>
      </w:docPartPr>
      <w:docPartBody>
        <w:p w:rsidR="00BF7D1F" w:rsidRDefault="00AB5974" w:rsidP="00AB5974">
          <w:pPr>
            <w:pStyle w:val="48EC6516332446108A05C2D67049A1D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3E2D203F140408284F0DC403534B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C0CF56-0CED-4C47-B801-50C917CA52A9}"/>
      </w:docPartPr>
      <w:docPartBody>
        <w:p w:rsidR="006B22D6" w:rsidRDefault="005356AC" w:rsidP="005356AC">
          <w:pPr>
            <w:pStyle w:val="63E2D203F140408284F0DC403534BC85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4A3909"/>
    <w:rsid w:val="005356AC"/>
    <w:rsid w:val="00593C5D"/>
    <w:rsid w:val="00681BD8"/>
    <w:rsid w:val="006B22D6"/>
    <w:rsid w:val="00AB5974"/>
    <w:rsid w:val="00BF7D1F"/>
    <w:rsid w:val="00D7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356AC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A7337E373DC64D7B91B2C754EAE799D0">
    <w:name w:val="A7337E373DC64D7B91B2C754EAE799D0"/>
    <w:rsid w:val="00AB5974"/>
  </w:style>
  <w:style w:type="paragraph" w:customStyle="1" w:styleId="48EC6516332446108A05C2D67049A1DA">
    <w:name w:val="48EC6516332446108A05C2D67049A1DA"/>
    <w:rsid w:val="00AB5974"/>
  </w:style>
  <w:style w:type="paragraph" w:customStyle="1" w:styleId="63E2D203F140408284F0DC403534BC85">
    <w:name w:val="63E2D203F140408284F0DC403534BC85"/>
    <w:rsid w:val="005356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c98b360e-823b-498d-9377-b109947a512d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1F718F-97CA-422B-8EB1-A523BC7A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39</cp:revision>
  <cp:lastPrinted>2022-05-05T14:13:00Z</cp:lastPrinted>
  <dcterms:created xsi:type="dcterms:W3CDTF">2022-01-11T13:26:00Z</dcterms:created>
  <dcterms:modified xsi:type="dcterms:W3CDTF">2022-05-17T20:22:00Z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