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302050pt;margin-top:31.71909pt;width:574.85pt;height:39.65pt;mso-position-horizontal-relative:page;mso-position-vertical-relative:page;z-index:-6400" coordorigin="346,634" coordsize="11497,793">
            <v:shape style="position:absolute;left:1249;top:634;width:3076;height:793" type="#_x0000_t75" stroked="false">
              <v:imagedata r:id="rId5" o:title=""/>
            </v:shape>
            <v:shape style="position:absolute;left:345;top:15620;width:11482;height:2" coordorigin="346,15621" coordsize="11482,0" path="m4326,1221l11842,1221m346,1221l1250,1221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6;top:634;width:11497;height:793" type="#_x0000_t202" filled="false" stroked="false">
              <v:textbox inset="0,0,0,0">
                <w:txbxContent>
                  <w:p>
                    <w:pPr>
                      <w:spacing w:line="172" w:lineRule="exact" w:before="90"/>
                      <w:ind w:left="2177" w:right="371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1F1F1F"/>
                        <w:w w:val="75"/>
                        <w:sz w:val="16"/>
                      </w:rPr>
                      <w:t>S</w:t>
                    </w:r>
                    <w:r>
                      <w:rPr>
                        <w:color w:val="3B3B3B"/>
                        <w:w w:val="75"/>
                        <w:sz w:val="16"/>
                      </w:rPr>
                      <w:t>ERVI </w:t>
                    </w:r>
                    <w:r>
                      <w:rPr>
                        <w:color w:val="1F1F1F"/>
                        <w:w w:val="75"/>
                        <w:sz w:val="16"/>
                      </w:rPr>
                      <w:t>ÇO </w:t>
                    </w:r>
                    <w:r>
                      <w:rPr>
                        <w:color w:val="3B3B3B"/>
                        <w:w w:val="75"/>
                        <w:sz w:val="16"/>
                      </w:rPr>
                      <w:t>PÚ</w:t>
                    </w:r>
                    <w:r>
                      <w:rPr>
                        <w:color w:val="1F1F1F"/>
                        <w:w w:val="75"/>
                        <w:sz w:val="16"/>
                      </w:rPr>
                      <w:t>BLICO </w:t>
                    </w:r>
                    <w:r>
                      <w:rPr>
                        <w:color w:val="3B3B3B"/>
                        <w:w w:val="75"/>
                        <w:sz w:val="16"/>
                      </w:rPr>
                      <w:t>F</w:t>
                    </w:r>
                    <w:r>
                      <w:rPr>
                        <w:color w:val="1F1F1F"/>
                        <w:w w:val="75"/>
                        <w:sz w:val="16"/>
                      </w:rPr>
                      <w:t>EDE</w:t>
                    </w:r>
                    <w:r>
                      <w:rPr>
                        <w:color w:val="3B3B3B"/>
                        <w:w w:val="75"/>
                        <w:sz w:val="16"/>
                      </w:rPr>
                      <w:t>RA</w:t>
                    </w:r>
                    <w:r>
                      <w:rPr>
                        <w:color w:val="1F1F1F"/>
                        <w:w w:val="75"/>
                        <w:sz w:val="16"/>
                      </w:rPr>
                      <w:t>L</w:t>
                    </w:r>
                  </w:p>
                  <w:p>
                    <w:pPr>
                      <w:spacing w:line="218" w:lineRule="exact" w:before="0"/>
                      <w:ind w:left="3977" w:right="371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F1F1F"/>
                        <w:w w:val="90"/>
                        <w:sz w:val="20"/>
                      </w:rPr>
                      <w:t>Co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ns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e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l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ho 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de 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A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r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q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ui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te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tura e 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U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rb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an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i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s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m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o 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d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o B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ra</w:t>
                    </w:r>
                    <w:r>
                      <w:rPr>
                        <w:color w:val="1F1F1F"/>
                        <w:w w:val="90"/>
                        <w:sz w:val="20"/>
                      </w:rPr>
                      <w:t>s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il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0"/>
        <w:ind w:left="4390" w:right="0" w:firstLine="0"/>
        <w:jc w:val="left"/>
        <w:rPr>
          <w:sz w:val="19"/>
        </w:rPr>
      </w:pPr>
      <w:r>
        <w:rPr>
          <w:color w:val="1F1F1F"/>
          <w:w w:val="85"/>
          <w:sz w:val="19"/>
        </w:rPr>
        <w:t>G</w:t>
      </w:r>
      <w:r>
        <w:rPr>
          <w:color w:val="3B3B3B"/>
          <w:w w:val="85"/>
          <w:sz w:val="19"/>
        </w:rPr>
        <w:t>er</w:t>
      </w:r>
      <w:r>
        <w:rPr>
          <w:color w:val="1F1F1F"/>
          <w:w w:val="85"/>
          <w:sz w:val="19"/>
        </w:rPr>
        <w:t>ê</w:t>
      </w:r>
      <w:r>
        <w:rPr>
          <w:color w:val="3B3B3B"/>
          <w:w w:val="85"/>
          <w:sz w:val="19"/>
        </w:rPr>
        <w:t>n</w:t>
      </w:r>
      <w:r>
        <w:rPr>
          <w:color w:val="1F1F1F"/>
          <w:w w:val="85"/>
          <w:sz w:val="19"/>
        </w:rPr>
        <w:t>c</w:t>
      </w:r>
      <w:r>
        <w:rPr>
          <w:color w:val="3B3B3B"/>
          <w:w w:val="85"/>
          <w:sz w:val="19"/>
        </w:rPr>
        <w:t>i </w:t>
      </w:r>
      <w:r>
        <w:rPr>
          <w:color w:val="1F1F1F"/>
          <w:w w:val="85"/>
          <w:sz w:val="19"/>
        </w:rPr>
        <w:t>a Ge</w:t>
      </w:r>
      <w:r>
        <w:rPr>
          <w:color w:val="3B3B3B"/>
          <w:w w:val="85"/>
          <w:sz w:val="19"/>
        </w:rPr>
        <w:t>ra</w:t>
      </w:r>
      <w:r>
        <w:rPr>
          <w:color w:val="1F1F1F"/>
          <w:w w:val="85"/>
          <w:sz w:val="19"/>
        </w:rPr>
        <w:t>l</w:t>
      </w:r>
    </w:p>
    <w:p>
      <w:pPr>
        <w:pStyle w:val="BodyText"/>
        <w:rPr>
          <w:sz w:val="20"/>
        </w:rPr>
      </w:pPr>
    </w:p>
    <w:p>
      <w:pPr>
        <w:pStyle w:val="Heading1"/>
        <w:spacing w:before="115"/>
        <w:ind w:left="2400"/>
      </w:pPr>
      <w:r>
        <w:rPr>
          <w:color w:val="0E0E0F"/>
          <w:w w:val="105"/>
        </w:rPr>
        <w:t>PORTARIA GERÊNCIA GERAL Nº 28, DE 13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49" w:lineRule="auto"/>
        <w:ind w:left="5343" w:right="326" w:firstLine="12"/>
        <w:jc w:val="both"/>
      </w:pPr>
      <w:r>
        <w:rPr>
          <w:color w:val="0E0E0F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33"/>
        <w:ind w:left="1066" w:right="340" w:firstLine="719"/>
        <w:jc w:val="both"/>
      </w:pPr>
      <w:r>
        <w:rPr>
          <w:color w:val="0E0E0F"/>
          <w:w w:val="105"/>
        </w:rPr>
        <w:t>O Gerente Geral do Conselho de Arquitetura e Urbanismo do Brasil (CAU/BR), no uso das atribuições que </w:t>
      </w:r>
      <w:r>
        <w:rPr>
          <w:color w:val="1F1F1F"/>
          <w:w w:val="105"/>
        </w:rPr>
        <w:t>lhe </w:t>
      </w:r>
      <w:r>
        <w:rPr>
          <w:color w:val="0E0E0F"/>
          <w:w w:val="105"/>
        </w:rPr>
        <w:t>confere a Portaria PRES nº 55</w:t>
      </w:r>
      <w:r>
        <w:rPr>
          <w:color w:val="3B3B3B"/>
          <w:w w:val="105"/>
        </w:rPr>
        <w:t>, </w:t>
      </w:r>
      <w:r>
        <w:rPr>
          <w:color w:val="0E0E0F"/>
          <w:w w:val="105"/>
        </w:rPr>
        <w:t>de 21 de fevereiro de 2014</w:t>
      </w:r>
      <w:r>
        <w:rPr>
          <w:color w:val="3B3B3B"/>
          <w:w w:val="105"/>
        </w:rPr>
        <w:t>, </w:t>
      </w:r>
      <w:r>
        <w:rPr>
          <w:color w:val="0E0E0F"/>
          <w:w w:val="105"/>
        </w:rPr>
        <w:t>atendendo ao disposto </w:t>
      </w:r>
      <w:r>
        <w:rPr>
          <w:color w:val="1F1F1F"/>
          <w:w w:val="105"/>
        </w:rPr>
        <w:t>na </w:t>
      </w:r>
      <w:r>
        <w:rPr>
          <w:color w:val="0E0E0F"/>
          <w:w w:val="105"/>
        </w:rPr>
        <w:t>Portaria Normativa nº 33, de 17 de abril de 2015</w:t>
      </w:r>
      <w:r>
        <w:rPr>
          <w:color w:val="3B3B3B"/>
          <w:w w:val="105"/>
        </w:rPr>
        <w:t>, </w:t>
      </w:r>
      <w:r>
        <w:rPr>
          <w:color w:val="0E0E0F"/>
          <w:w w:val="105"/>
        </w:rPr>
        <w:t>combinada com a Portaria Normativa nº 48, de 11 de agosto de 2016</w:t>
      </w:r>
      <w:r>
        <w:rPr>
          <w:color w:val="3B3B3B"/>
          <w:w w:val="105"/>
        </w:rPr>
        <w:t>, </w:t>
      </w:r>
      <w:r>
        <w:rPr>
          <w:color w:val="0E0E0F"/>
          <w:w w:val="105"/>
        </w:rPr>
        <w:t>e tendo em vista o contido no Memorando nº 005/2018-SGM-CAU/BR de 12 de </w:t>
      </w:r>
      <w:r>
        <w:rPr>
          <w:color w:val="1F1F1F"/>
          <w:w w:val="105"/>
        </w:rPr>
        <w:t>março </w:t>
      </w:r>
      <w:r>
        <w:rPr>
          <w:color w:val="0E0E0F"/>
          <w:w w:val="105"/>
        </w:rPr>
        <w:t>de 2018 e tendo em vista a Portaria Presidencial nº 207</w:t>
      </w:r>
      <w:r>
        <w:rPr>
          <w:color w:val="3B3B3B"/>
          <w:w w:val="105"/>
        </w:rPr>
        <w:t>, </w:t>
      </w:r>
      <w:r>
        <w:rPr>
          <w:color w:val="0E0E0F"/>
          <w:w w:val="105"/>
        </w:rPr>
        <w:t>de 31 de outubro de 2017.</w:t>
      </w:r>
    </w:p>
    <w:p>
      <w:pPr>
        <w:pStyle w:val="Heading1"/>
        <w:spacing w:line="240" w:lineRule="exact"/>
        <w:ind w:left="1059"/>
      </w:pPr>
      <w:r>
        <w:rPr>
          <w:color w:val="1F1F1F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5"/>
        <w:ind w:left="1060"/>
      </w:pPr>
      <w:r>
        <w:rPr>
          <w:b/>
          <w:color w:val="1F1F1F"/>
          <w:w w:val="105"/>
        </w:rPr>
        <w:t>Art. 1º. </w:t>
      </w:r>
      <w:r>
        <w:rPr>
          <w:color w:val="0E0E0F"/>
          <w:w w:val="105"/>
        </w:rPr>
        <w:t>Promover a seguinte substituição temporária no Quadro de Pessoal Efetivo do CAU/BR:</w:t>
      </w:r>
    </w:p>
    <w:p>
      <w:pPr>
        <w:pStyle w:val="Heading1"/>
        <w:spacing w:before="128"/>
        <w:ind w:left="1053"/>
      </w:pPr>
      <w:r>
        <w:rPr>
          <w:color w:val="0E0E0F"/>
          <w:w w:val="105"/>
        </w:rPr>
        <w:t>SUBSTITUÍDO: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0"/>
      </w:tblGrid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8"/>
              <w:rPr>
                <w:b/>
                <w:sz w:val="21"/>
              </w:rPr>
            </w:pPr>
            <w:r>
              <w:rPr>
                <w:color w:val="0E0E0F"/>
                <w:w w:val="105"/>
                <w:sz w:val="21"/>
              </w:rPr>
              <w:t>Nome: </w:t>
            </w:r>
            <w:r>
              <w:rPr>
                <w:b/>
                <w:color w:val="1F1F1F"/>
                <w:w w:val="105"/>
                <w:sz w:val="21"/>
              </w:rPr>
              <w:t>Laís </w:t>
            </w:r>
            <w:r>
              <w:rPr>
                <w:b/>
                <w:color w:val="0E0E0F"/>
                <w:w w:val="105"/>
                <w:sz w:val="21"/>
              </w:rPr>
              <w:t>Ramalho </w:t>
            </w:r>
            <w:r>
              <w:rPr>
                <w:b/>
                <w:color w:val="1F1F1F"/>
                <w:w w:val="105"/>
                <w:sz w:val="21"/>
              </w:rPr>
              <w:t>Maia</w:t>
            </w:r>
          </w:p>
        </w:tc>
      </w:tr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7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Emprego: Coordenadora Técnico-Normativa</w:t>
            </w:r>
          </w:p>
        </w:tc>
      </w:tr>
      <w:tr>
        <w:trPr>
          <w:trHeight w:val="297" w:hRule="atLeast"/>
        </w:trPr>
        <w:tc>
          <w:tcPr>
            <w:tcW w:w="9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18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Lotação</w:t>
            </w:r>
            <w:r>
              <w:rPr>
                <w:color w:val="3B3B3B"/>
                <w:w w:val="105"/>
                <w:sz w:val="21"/>
              </w:rPr>
              <w:t>: </w:t>
            </w:r>
            <w:r>
              <w:rPr>
                <w:color w:val="0E0E0F"/>
                <w:w w:val="105"/>
                <w:sz w:val="21"/>
              </w:rPr>
              <w:t>Secretaria Geral da Mesa </w:t>
            </w:r>
            <w:r>
              <w:rPr>
                <w:color w:val="1F1F1F"/>
                <w:w w:val="105"/>
                <w:sz w:val="21"/>
              </w:rPr>
              <w:t>(SGM)</w:t>
            </w:r>
          </w:p>
        </w:tc>
      </w:tr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4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Salário: R$ </w:t>
            </w:r>
            <w:r>
              <w:rPr>
                <w:color w:val="1F1F1F"/>
                <w:w w:val="105"/>
                <w:sz w:val="21"/>
              </w:rPr>
              <w:t>11.517,83</w:t>
            </w:r>
          </w:p>
        </w:tc>
      </w:tr>
      <w:tr>
        <w:trPr>
          <w:trHeight w:val="292" w:hRule="atLeast"/>
        </w:trPr>
        <w:tc>
          <w:tcPr>
            <w:tcW w:w="96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3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Período de Afastamento: </w:t>
            </w:r>
            <w:r>
              <w:rPr>
                <w:color w:val="1F1F1F"/>
                <w:w w:val="105"/>
                <w:sz w:val="21"/>
              </w:rPr>
              <w:t>12/03/2018 </w:t>
            </w:r>
            <w:r>
              <w:rPr>
                <w:color w:val="0E0E0F"/>
                <w:w w:val="105"/>
                <w:sz w:val="21"/>
              </w:rPr>
              <w:t>a 23/03/2018</w:t>
            </w:r>
          </w:p>
        </w:tc>
      </w:tr>
    </w:tbl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1043" w:right="0" w:firstLine="0"/>
        <w:jc w:val="left"/>
        <w:rPr>
          <w:b/>
          <w:sz w:val="21"/>
        </w:rPr>
      </w:pPr>
      <w:r>
        <w:rPr>
          <w:b/>
          <w:color w:val="0E0E0F"/>
          <w:w w:val="105"/>
          <w:sz w:val="21"/>
        </w:rPr>
        <w:t>SUBSTITUTO: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1"/>
      </w:tblGrid>
      <w:tr>
        <w:trPr>
          <w:trHeight w:val="249" w:hRule="atLeast"/>
        </w:trPr>
        <w:tc>
          <w:tcPr>
            <w:tcW w:w="9641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118"/>
              <w:rPr>
                <w:b/>
                <w:sz w:val="21"/>
              </w:rPr>
            </w:pPr>
            <w:r>
              <w:rPr>
                <w:color w:val="0E0E0F"/>
                <w:w w:val="105"/>
                <w:sz w:val="21"/>
              </w:rPr>
              <w:t>Nome: </w:t>
            </w:r>
            <w:r>
              <w:rPr>
                <w:b/>
                <w:color w:val="0E0E0F"/>
                <w:w w:val="105"/>
                <w:sz w:val="21"/>
              </w:rPr>
              <w:t>Cláudia </w:t>
            </w:r>
            <w:r>
              <w:rPr>
                <w:b/>
                <w:color w:val="1F1F1F"/>
                <w:w w:val="105"/>
                <w:sz w:val="21"/>
              </w:rPr>
              <w:t>de Mattos </w:t>
            </w:r>
            <w:r>
              <w:rPr>
                <w:b/>
                <w:color w:val="0E0E0F"/>
                <w:w w:val="105"/>
                <w:sz w:val="21"/>
              </w:rPr>
              <w:t>Quaresma</w:t>
            </w:r>
          </w:p>
        </w:tc>
      </w:tr>
      <w:tr>
        <w:trPr>
          <w:trHeight w:val="547" w:hRule="atLeast"/>
        </w:trPr>
        <w:tc>
          <w:tcPr>
            <w:tcW w:w="9641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tLeast" w:before="15"/>
              <w:ind w:left="122" w:hanging="1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Emprego: Nível Superior - 602 - Analista Técnica de Órgãos Colegiados com Ênfase em Prática Profissional</w:t>
            </w:r>
          </w:p>
        </w:tc>
      </w:tr>
      <w:tr>
        <w:trPr>
          <w:trHeight w:val="297" w:hRule="atLeast"/>
        </w:trPr>
        <w:tc>
          <w:tcPr>
            <w:tcW w:w="96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8"/>
              <w:ind w:left="119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Lotação: </w:t>
            </w:r>
            <w:r>
              <w:rPr>
                <w:color w:val="0E0E0F"/>
                <w:w w:val="105"/>
                <w:sz w:val="21"/>
              </w:rPr>
              <w:t>Secretaria Geral </w:t>
            </w:r>
            <w:r>
              <w:rPr>
                <w:color w:val="1F1F1F"/>
                <w:w w:val="105"/>
                <w:sz w:val="21"/>
              </w:rPr>
              <w:t>da </w:t>
            </w:r>
            <w:r>
              <w:rPr>
                <w:color w:val="0E0E0F"/>
                <w:w w:val="105"/>
                <w:sz w:val="21"/>
              </w:rPr>
              <w:t>Mesa (SGM)</w:t>
            </w:r>
          </w:p>
        </w:tc>
      </w:tr>
      <w:tr>
        <w:trPr>
          <w:trHeight w:val="254" w:hRule="atLeast"/>
        </w:trPr>
        <w:tc>
          <w:tcPr>
            <w:tcW w:w="96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4"/>
              <w:ind w:left="118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Período de substitui ão</w:t>
            </w:r>
            <w:r>
              <w:rPr>
                <w:color w:val="3B3B3B"/>
                <w:w w:val="105"/>
                <w:sz w:val="21"/>
              </w:rPr>
              <w:t>: </w:t>
            </w:r>
            <w:r>
              <w:rPr>
                <w:color w:val="1F1F1F"/>
                <w:w w:val="105"/>
                <w:sz w:val="21"/>
              </w:rPr>
              <w:t>12/03/2018 </w:t>
            </w:r>
            <w:r>
              <w:rPr>
                <w:color w:val="0E0E0F"/>
                <w:w w:val="105"/>
                <w:sz w:val="21"/>
              </w:rPr>
              <w:t>a 23/03/2018</w:t>
            </w:r>
          </w:p>
        </w:tc>
      </w:tr>
      <w:tr>
        <w:trPr>
          <w:trHeight w:val="283" w:hRule="atLeast"/>
        </w:trPr>
        <w:tc>
          <w:tcPr>
            <w:tcW w:w="96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17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3" w:hRule="atLeast"/>
        </w:trPr>
        <w:tc>
          <w:tcPr>
            <w:tcW w:w="96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[ X </w:t>
            </w:r>
            <w:r>
              <w:rPr>
                <w:color w:val="1F1F1F"/>
                <w:w w:val="105"/>
                <w:sz w:val="21"/>
              </w:rPr>
              <w:t>] </w:t>
            </w:r>
            <w:r>
              <w:rPr>
                <w:color w:val="0E0E0F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60" w:lineRule="exact" w:before="2"/>
              <w:ind w:left="106" w:firstLine="5"/>
              <w:rPr>
                <w:sz w:val="22"/>
              </w:rPr>
            </w:pPr>
            <w:r>
              <w:rPr>
                <w:color w:val="1F1F1F"/>
                <w:w w:val="105"/>
                <w:sz w:val="21"/>
              </w:rPr>
              <w:t>(Portaria </w:t>
            </w:r>
            <w:r>
              <w:rPr>
                <w:color w:val="0E0E0F"/>
                <w:w w:val="105"/>
                <w:sz w:val="21"/>
              </w:rPr>
              <w:t>Normativa nº </w:t>
            </w:r>
            <w:r>
              <w:rPr>
                <w:color w:val="1F1F1F"/>
                <w:w w:val="105"/>
                <w:sz w:val="21"/>
              </w:rPr>
              <w:t>48, </w:t>
            </w:r>
            <w:r>
              <w:rPr>
                <w:color w:val="0E0E0F"/>
                <w:w w:val="105"/>
                <w:sz w:val="21"/>
              </w:rPr>
              <w:t>de 11/08/2016, art. 3º e Portaria Normativa nº 33, de 17</w:t>
            </w:r>
            <w:r>
              <w:rPr>
                <w:color w:val="3B3B3B"/>
                <w:w w:val="105"/>
                <w:sz w:val="21"/>
              </w:rPr>
              <w:t>/</w:t>
            </w:r>
            <w:r>
              <w:rPr>
                <w:color w:val="0E0E0F"/>
                <w:w w:val="105"/>
                <w:sz w:val="21"/>
              </w:rPr>
              <w:t>04/2015, art</w:t>
            </w:r>
            <w:r>
              <w:rPr>
                <w:color w:val="3B3B3B"/>
                <w:w w:val="105"/>
                <w:sz w:val="21"/>
              </w:rPr>
              <w:t>. </w:t>
            </w:r>
            <w:r>
              <w:rPr>
                <w:color w:val="0E0E0F"/>
                <w:w w:val="105"/>
                <w:sz w:val="21"/>
              </w:rPr>
              <w:t>3°, </w:t>
            </w:r>
            <w:r>
              <w:rPr>
                <w:color w:val="1F1F1F"/>
                <w:w w:val="105"/>
                <w:sz w:val="21"/>
              </w:rPr>
              <w:t>inciso </w:t>
            </w:r>
            <w:r>
              <w:rPr>
                <w:color w:val="1F1F1F"/>
                <w:w w:val="105"/>
                <w:sz w:val="22"/>
              </w:rPr>
              <w:t>li </w:t>
            </w:r>
            <w:r>
              <w:rPr>
                <w:color w:val="0E0E0F"/>
                <w:w w:val="105"/>
                <w:sz w:val="22"/>
              </w:rPr>
              <w:t>.</w:t>
            </w:r>
          </w:p>
        </w:tc>
      </w:tr>
      <w:tr>
        <w:trPr>
          <w:trHeight w:val="749" w:hRule="atLeast"/>
        </w:trPr>
        <w:tc>
          <w:tcPr>
            <w:tcW w:w="964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before="0"/>
              <w:ind w:left="105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[</w:t>
              <w:tab/>
              <w:t>] </w:t>
            </w:r>
            <w:r>
              <w:rPr>
                <w:color w:val="0E0E0F"/>
                <w:w w:val="105"/>
                <w:sz w:val="21"/>
              </w:rPr>
              <w:t>Gratificação de 30% (trinta por cento) do salário base do</w:t>
            </w:r>
            <w:r>
              <w:rPr>
                <w:color w:val="0E0E0F"/>
                <w:spacing w:val="7"/>
                <w:w w:val="105"/>
                <w:sz w:val="21"/>
              </w:rPr>
              <w:t> </w:t>
            </w:r>
            <w:r>
              <w:rPr>
                <w:color w:val="0E0E0F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color w:val="0E0E0F"/>
                <w:w w:val="105"/>
                <w:sz w:val="21"/>
              </w:rPr>
              <w:t>(Portaria Normativa nº 48, de 11/08/2016 </w:t>
            </w:r>
            <w:r>
              <w:rPr>
                <w:color w:val="3B3B3B"/>
                <w:w w:val="105"/>
                <w:sz w:val="21"/>
              </w:rPr>
              <w:t>, </w:t>
            </w:r>
            <w:r>
              <w:rPr>
                <w:color w:val="0E0E0F"/>
                <w:w w:val="105"/>
                <w:sz w:val="21"/>
              </w:rPr>
              <w:t>art. 3º e Portaria Normativa nº 33</w:t>
            </w:r>
            <w:r>
              <w:rPr>
                <w:color w:val="3B3B3B"/>
                <w:w w:val="105"/>
                <w:sz w:val="21"/>
              </w:rPr>
              <w:t>, </w:t>
            </w:r>
            <w:r>
              <w:rPr>
                <w:color w:val="0E0E0F"/>
                <w:w w:val="105"/>
                <w:sz w:val="21"/>
              </w:rPr>
              <w:t>de 17</w:t>
            </w:r>
            <w:r>
              <w:rPr>
                <w:color w:val="3B3B3B"/>
                <w:w w:val="105"/>
                <w:sz w:val="21"/>
              </w:rPr>
              <w:t>/</w:t>
            </w:r>
            <w:r>
              <w:rPr>
                <w:color w:val="0E0E0F"/>
                <w:w w:val="105"/>
                <w:sz w:val="21"/>
              </w:rPr>
              <w:t>04/2015</w:t>
            </w:r>
            <w:r>
              <w:rPr>
                <w:color w:val="3B3B3B"/>
                <w:w w:val="105"/>
                <w:sz w:val="21"/>
              </w:rPr>
              <w:t>, </w:t>
            </w:r>
            <w:r>
              <w:rPr>
                <w:color w:val="0E0E0F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15" w:lineRule="exact" w:before="23"/>
              <w:ind w:left="101"/>
              <w:rPr>
                <w:sz w:val="17"/>
              </w:rPr>
            </w:pPr>
            <w:r>
              <w:rPr>
                <w:color w:val="0E0E0F"/>
                <w:sz w:val="21"/>
              </w:rPr>
              <w:t>3°, </w:t>
            </w:r>
            <w:r>
              <w:rPr>
                <w:color w:val="1F1F1F"/>
                <w:sz w:val="21"/>
              </w:rPr>
              <w:t>inciso </w:t>
            </w:r>
            <w:r>
              <w:rPr>
                <w:color w:val="1F1F1F"/>
                <w:sz w:val="17"/>
              </w:rPr>
              <w:t>1</w:t>
            </w:r>
            <w:r>
              <w:rPr>
                <w:color w:val="3B3B3B"/>
                <w:sz w:val="17"/>
              </w:rPr>
              <w:t>•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51" w:lineRule="exact" w:before="182"/>
        <w:ind w:left="687" w:right="91" w:firstLine="0"/>
        <w:jc w:val="center"/>
        <w:rPr>
          <w:rFonts w:ascii="Times New Roman" w:hAnsi="Times New Roman"/>
          <w:sz w:val="17"/>
        </w:rPr>
      </w:pPr>
      <w:r>
        <w:rPr/>
        <w:pict>
          <v:group style="position:absolute;margin-left:13.45715pt;margin-top:-148.549423pt;width:354.7pt;height:160.3pt;mso-position-horizontal-relative:page;mso-position-vertical-relative:paragraph;z-index:-6352" coordorigin="269,-2971" coordsize="7094,3206">
            <v:shape style="position:absolute;left:4056;top:-2971;width:3307;height:3206" type="#_x0000_t75" stroked="false">
              <v:imagedata r:id="rId6" o:title=""/>
            </v:shape>
            <v:line style="position:absolute" from="269,162" to="4056,162" stroked="true" strokeweight=".961186pt" strokecolor="#000000">
              <v:stroke dashstyle="solid"/>
            </v:line>
            <v:shape style="position:absolute;left:269;top:-2971;width:7094;height:3206" type="#_x0000_t202" filled="false" stroked="false">
              <v:textbox inset="0,0,0,0">
                <w:txbxContent>
                  <w:p>
                    <w:pPr>
                      <w:spacing w:before="197"/>
                      <w:ind w:left="9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21"/>
                      </w:rPr>
                      <w:t>Art. </w:t>
                    </w:r>
                    <w:r>
                      <w:rPr>
                        <w:b/>
                        <w:color w:val="0E0E0F"/>
                        <w:w w:val="105"/>
                        <w:sz w:val="21"/>
                      </w:rPr>
                      <w:t>2º. </w:t>
                    </w:r>
                    <w:r>
                      <w:rPr>
                        <w:color w:val="0E0E0F"/>
                        <w:w w:val="105"/>
                        <w:sz w:val="21"/>
                      </w:rPr>
                      <w:t>Esta Portaria entra em vigor nesta data.</w:t>
                    </w:r>
                  </w:p>
                  <w:p>
                    <w:pPr>
                      <w:spacing w:before="138"/>
                      <w:ind w:left="40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E0E0F"/>
                        <w:w w:val="105"/>
                        <w:sz w:val="21"/>
                      </w:rPr>
                      <w:t>Brasília</w:t>
                    </w:r>
                    <w:r>
                      <w:rPr>
                        <w:color w:val="3B3B3B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0E0E0F"/>
                        <w:w w:val="105"/>
                        <w:sz w:val="21"/>
                      </w:rPr>
                      <w:t>13 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646464"/>
          <w:sz w:val="17"/>
        </w:rPr>
        <w:t>setor </w:t>
      </w:r>
      <w:r>
        <w:rPr>
          <w:color w:val="646464"/>
          <w:sz w:val="17"/>
        </w:rPr>
        <w:t>comerc</w:t>
      </w:r>
      <w:r>
        <w:rPr>
          <w:color w:val="909090"/>
          <w:sz w:val="17"/>
        </w:rPr>
        <w:t>i </w:t>
      </w:r>
      <w:r>
        <w:rPr>
          <w:color w:val="757575"/>
          <w:sz w:val="17"/>
        </w:rPr>
        <w:t>al </w:t>
      </w:r>
      <w:r>
        <w:rPr>
          <w:rFonts w:ascii="Times New Roman" w:hAnsi="Times New Roman"/>
          <w:color w:val="646464"/>
          <w:sz w:val="17"/>
        </w:rPr>
        <w:t>Sul </w:t>
      </w:r>
      <w:r>
        <w:rPr>
          <w:rFonts w:ascii="Times New Roman" w:hAnsi="Times New Roman"/>
          <w:color w:val="757575"/>
          <w:sz w:val="17"/>
        </w:rPr>
        <w:t>(ses), </w:t>
      </w:r>
      <w:r>
        <w:rPr>
          <w:rFonts w:ascii="Times New Roman" w:hAnsi="Times New Roman"/>
          <w:color w:val="646464"/>
          <w:sz w:val="17"/>
        </w:rPr>
        <w:t>Quadia </w:t>
      </w:r>
      <w:r>
        <w:rPr>
          <w:rFonts w:ascii="Times New Roman" w:hAnsi="Times New Roman"/>
          <w:color w:val="757575"/>
          <w:sz w:val="17"/>
        </w:rPr>
        <w:t>2, </w:t>
      </w:r>
      <w:r>
        <w:rPr>
          <w:color w:val="646464"/>
          <w:sz w:val="17"/>
        </w:rPr>
        <w:t>Bloco </w:t>
      </w:r>
      <w:r>
        <w:rPr>
          <w:rFonts w:ascii="Times New Roman" w:hAnsi="Times New Roman"/>
          <w:color w:val="646464"/>
          <w:sz w:val="17"/>
        </w:rPr>
        <w:t>e </w:t>
      </w:r>
      <w:r>
        <w:rPr>
          <w:rFonts w:ascii="Times New Roman" w:hAnsi="Times New Roman"/>
          <w:color w:val="A1A1A1"/>
          <w:sz w:val="17"/>
        </w:rPr>
        <w:t>- </w:t>
      </w:r>
      <w:r>
        <w:rPr>
          <w:rFonts w:ascii="Times New Roman" w:hAnsi="Times New Roman"/>
          <w:color w:val="646464"/>
          <w:sz w:val="17"/>
        </w:rPr>
        <w:t>Ed. </w:t>
      </w:r>
      <w:r>
        <w:rPr>
          <w:color w:val="757575"/>
          <w:sz w:val="17"/>
        </w:rPr>
        <w:t>erra </w:t>
      </w:r>
      <w:r>
        <w:rPr>
          <w:rFonts w:ascii="Times New Roman" w:hAnsi="Times New Roman"/>
          <w:color w:val="646464"/>
          <w:sz w:val="17"/>
        </w:rPr>
        <w:t>Dourada, </w:t>
      </w:r>
      <w:r>
        <w:rPr>
          <w:color w:val="757575"/>
          <w:sz w:val="17"/>
        </w:rPr>
        <w:t>s.ilas </w:t>
      </w:r>
      <w:r>
        <w:rPr>
          <w:rFonts w:ascii="Times New Roman" w:hAnsi="Times New Roman"/>
          <w:color w:val="757575"/>
          <w:sz w:val="17"/>
        </w:rPr>
        <w:t>-101 a 409 ICEP: 70.300</w:t>
      </w:r>
      <w:r>
        <w:rPr>
          <w:rFonts w:ascii="Times New Roman" w:hAnsi="Times New Roman"/>
          <w:color w:val="909090"/>
          <w:sz w:val="17"/>
        </w:rPr>
        <w:t>·</w:t>
      </w:r>
      <w:r>
        <w:rPr>
          <w:rFonts w:ascii="Times New Roman" w:hAnsi="Times New Roman"/>
          <w:color w:val="646464"/>
          <w:sz w:val="17"/>
        </w:rPr>
        <w:t>902 </w:t>
      </w:r>
      <w:r>
        <w:rPr>
          <w:color w:val="646464"/>
          <w:sz w:val="17"/>
        </w:rPr>
        <w:t>sras,li a</w:t>
      </w:r>
      <w:r>
        <w:rPr>
          <w:color w:val="909090"/>
          <w:sz w:val="17"/>
        </w:rPr>
        <w:t>/ </w:t>
      </w:r>
      <w:r>
        <w:rPr>
          <w:color w:val="757575"/>
          <w:sz w:val="17"/>
        </w:rPr>
        <w:t>OF </w:t>
      </w:r>
      <w:r>
        <w:rPr>
          <w:color w:val="909090"/>
          <w:sz w:val="22"/>
        </w:rPr>
        <w:t>l </w:t>
      </w:r>
      <w:r>
        <w:rPr>
          <w:rFonts w:ascii="Times New Roman" w:hAnsi="Times New Roman"/>
          <w:color w:val="757575"/>
          <w:sz w:val="17"/>
        </w:rPr>
        <w:t>Te </w:t>
      </w:r>
      <w:r>
        <w:rPr>
          <w:rFonts w:ascii="Times New Roman" w:hAnsi="Times New Roman"/>
          <w:color w:val="909090"/>
          <w:sz w:val="17"/>
        </w:rPr>
        <w:t>l</w:t>
      </w:r>
      <w:r>
        <w:rPr>
          <w:rFonts w:ascii="Times New Roman" w:hAnsi="Times New Roman"/>
          <w:color w:val="757575"/>
          <w:sz w:val="17"/>
        </w:rPr>
        <w:t>e fone: (61} </w:t>
      </w:r>
      <w:r>
        <w:rPr>
          <w:rFonts w:ascii="Times New Roman" w:hAnsi="Times New Roman"/>
          <w:color w:val="646464"/>
          <w:sz w:val="17"/>
        </w:rPr>
        <w:t>3204·9500</w:t>
      </w:r>
    </w:p>
    <w:p>
      <w:pPr>
        <w:spacing w:line="205" w:lineRule="exact" w:before="0"/>
        <w:ind w:left="752" w:right="0" w:firstLine="0"/>
        <w:jc w:val="left"/>
        <w:rPr>
          <w:b/>
          <w:sz w:val="18"/>
        </w:rPr>
      </w:pPr>
      <w:hyperlink r:id="rId7">
        <w:r>
          <w:rPr>
            <w:b/>
            <w:color w:val="4D4D4D"/>
            <w:sz w:val="18"/>
          </w:rPr>
          <w:t>www.caubr</w:t>
        </w:r>
        <w:r>
          <w:rPr>
            <w:b/>
            <w:color w:val="0E0E0F"/>
            <w:sz w:val="18"/>
          </w:rPr>
          <w:t>.</w:t>
        </w:r>
        <w:r>
          <w:rPr>
            <w:b/>
            <w:color w:val="4D4D4D"/>
            <w:sz w:val="18"/>
          </w:rPr>
          <w:t>gov.br</w:t>
        </w:r>
      </w:hyperlink>
    </w:p>
    <w:p>
      <w:pPr>
        <w:spacing w:after="0" w:line="205" w:lineRule="exact"/>
        <w:jc w:val="left"/>
        <w:rPr>
          <w:sz w:val="18"/>
        </w:rPr>
        <w:sectPr>
          <w:type w:val="continuous"/>
          <w:pgSz w:w="11900" w:h="16840"/>
          <w:pgMar w:top="640" w:bottom="280" w:left="160" w:right="9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0"/>
        <w:ind w:left="687" w:right="1127" w:firstLine="0"/>
        <w:jc w:val="center"/>
        <w:rPr>
          <w:sz w:val="19"/>
        </w:rPr>
      </w:pPr>
      <w:r>
        <w:rPr>
          <w:color w:val="232323"/>
          <w:w w:val="85"/>
          <w:sz w:val="19"/>
        </w:rPr>
        <w:t>Secretaria  Geral da </w:t>
      </w:r>
      <w:r>
        <w:rPr>
          <w:color w:val="3B3B3B"/>
          <w:w w:val="85"/>
          <w:sz w:val="19"/>
        </w:rPr>
        <w:t>Mesa</w:t>
      </w:r>
    </w:p>
    <w:p>
      <w:pPr>
        <w:spacing w:before="172"/>
        <w:ind w:left="145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2323"/>
          <w:w w:val="110"/>
          <w:sz w:val="20"/>
        </w:rPr>
        <w:t>Memo. nº 005/2018-SGM-CAU/BR</w:t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before="92"/>
        <w:ind w:left="0" w:right="113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2323"/>
          <w:w w:val="110"/>
          <w:sz w:val="20"/>
        </w:rPr>
        <w:t>Brasília-DF, 12 de março de 2018.</w:t>
      </w: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spacing w:before="92"/>
        <w:ind w:left="1448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32323"/>
          <w:w w:val="110"/>
          <w:sz w:val="20"/>
        </w:rPr>
        <w:t>Ao Senhor Gerente Geral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tabs>
          <w:tab w:pos="3143" w:val="left" w:leader="none"/>
        </w:tabs>
        <w:spacing w:before="0"/>
        <w:ind w:left="144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232323"/>
          <w:w w:val="110"/>
          <w:sz w:val="21"/>
        </w:rPr>
        <w:t>Assunto:</w:t>
        <w:tab/>
      </w:r>
      <w:r>
        <w:rPr>
          <w:rFonts w:ascii="Times New Roman" w:hAnsi="Times New Roman"/>
          <w:color w:val="232323"/>
          <w:w w:val="110"/>
          <w:sz w:val="20"/>
        </w:rPr>
        <w:t>Substituição interna de</w:t>
      </w:r>
      <w:r>
        <w:rPr>
          <w:rFonts w:ascii="Times New Roman" w:hAnsi="Times New Roman"/>
          <w:color w:val="232323"/>
          <w:spacing w:val="-12"/>
          <w:w w:val="110"/>
          <w:sz w:val="20"/>
        </w:rPr>
        <w:t> </w:t>
      </w:r>
      <w:r>
        <w:rPr>
          <w:rFonts w:ascii="Times New Roman" w:hAnsi="Times New Roman"/>
          <w:color w:val="232323"/>
          <w:w w:val="110"/>
          <w:sz w:val="20"/>
        </w:rPr>
        <w:t>funções.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143" w:val="left" w:leader="none"/>
          <w:tab w:pos="3144" w:val="left" w:leader="none"/>
        </w:tabs>
        <w:spacing w:line="396" w:lineRule="auto" w:before="1" w:after="0"/>
        <w:ind w:left="1435" w:right="123" w:firstLine="11"/>
        <w:jc w:val="both"/>
        <w:rPr>
          <w:color w:val="232323"/>
          <w:sz w:val="20"/>
        </w:rPr>
      </w:pPr>
      <w:r>
        <w:rPr>
          <w:color w:val="232323"/>
          <w:w w:val="110"/>
          <w:sz w:val="20"/>
        </w:rPr>
        <w:t>Para os fins da Portaria Normativa CAU/BR nº 33, de 17 de abril de 2015, combinada com a Portaria Normativa CAU/BR nº 48, de 11 de agosto de </w:t>
      </w:r>
      <w:r>
        <w:rPr>
          <w:color w:val="232323"/>
          <w:spacing w:val="6"/>
          <w:w w:val="110"/>
          <w:sz w:val="20"/>
        </w:rPr>
        <w:t>20l </w:t>
      </w:r>
      <w:r>
        <w:rPr>
          <w:color w:val="232323"/>
          <w:w w:val="110"/>
          <w:sz w:val="20"/>
        </w:rPr>
        <w:t>6, informo a seguinte substituição de pessoal a serviço da</w:t>
      </w:r>
      <w:r>
        <w:rPr>
          <w:color w:val="232323"/>
          <w:spacing w:val="28"/>
          <w:w w:val="110"/>
          <w:sz w:val="20"/>
        </w:rPr>
        <w:t> </w:t>
      </w:r>
      <w:r>
        <w:rPr>
          <w:color w:val="232323"/>
          <w:w w:val="110"/>
          <w:sz w:val="20"/>
        </w:rPr>
        <w:t>SGM-CAU/BR:</w:t>
      </w:r>
    </w:p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7"/>
      </w:tblGrid>
      <w:tr>
        <w:trPr>
          <w:trHeight w:val="393" w:hRule="atLeast"/>
        </w:trPr>
        <w:tc>
          <w:tcPr>
            <w:tcW w:w="9237" w:type="dxa"/>
          </w:tcPr>
          <w:p>
            <w:pPr>
              <w:pStyle w:val="TableParagraph"/>
              <w:spacing w:before="19"/>
              <w:ind w:left="1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Substituído: Laís Ramalho Maia</w:t>
            </w:r>
          </w:p>
        </w:tc>
      </w:tr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spacing w:before="19"/>
              <w:ind w:lef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Emprego: Coordenadora Técnico-Normativa</w:t>
            </w:r>
          </w:p>
        </w:tc>
      </w:tr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spacing w:before="19"/>
              <w:ind w:left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Lotação: Secretaria Geral da Mesa (SGM)</w:t>
            </w:r>
          </w:p>
        </w:tc>
      </w:tr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Salário: R$ 11.517</w:t>
            </w:r>
            <w:r>
              <w:rPr>
                <w:rFonts w:ascii="Times New Roman" w:hAnsi="Times New Roman"/>
                <w:color w:val="3B3B3B"/>
                <w:w w:val="110"/>
                <w:sz w:val="20"/>
              </w:rPr>
              <w:t>,83</w:t>
            </w:r>
          </w:p>
        </w:tc>
      </w:tr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ind w:left="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Motivo: Férias</w:t>
            </w:r>
          </w:p>
        </w:tc>
      </w:tr>
      <w:tr>
        <w:trPr>
          <w:trHeight w:val="384" w:hRule="atLeast"/>
        </w:trPr>
        <w:tc>
          <w:tcPr>
            <w:tcW w:w="9237" w:type="dxa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Período: 12 (doze) dias</w:t>
            </w:r>
          </w:p>
        </w:tc>
      </w:tr>
      <w:tr>
        <w:trPr>
          <w:trHeight w:val="388" w:hRule="atLeast"/>
        </w:trPr>
        <w:tc>
          <w:tcPr>
            <w:tcW w:w="9237" w:type="dxa"/>
          </w:tcPr>
          <w:p>
            <w:pPr>
              <w:pStyle w:val="TableParagraph"/>
              <w:spacing w:before="29"/>
              <w:ind w:left="11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w w:val="110"/>
                <w:sz w:val="20"/>
              </w:rPr>
              <w:t>Termo inicial: 12/03/2018</w:t>
            </w:r>
          </w:p>
        </w:tc>
      </w:tr>
      <w:tr>
        <w:trPr>
          <w:trHeight w:val="393" w:hRule="atLeast"/>
        </w:trPr>
        <w:tc>
          <w:tcPr>
            <w:tcW w:w="9237" w:type="dxa"/>
          </w:tcPr>
          <w:p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w w:val="110"/>
                <w:sz w:val="20"/>
              </w:rPr>
              <w:t>Termo final: 23/03/2018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jc w:val="left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7"/>
      </w:tblGrid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spacing w:before="19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Substituto: Cláudia de Mattos Quaresma</w:t>
            </w:r>
          </w:p>
        </w:tc>
      </w:tr>
      <w:tr>
        <w:trPr>
          <w:trHeight w:val="758" w:hRule="atLeast"/>
        </w:trPr>
        <w:tc>
          <w:tcPr>
            <w:tcW w:w="9237" w:type="dxa"/>
          </w:tcPr>
          <w:p>
            <w:pPr>
              <w:pStyle w:val="TableParagraph"/>
              <w:spacing w:before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Emprego:</w:t>
            </w:r>
            <w:r>
              <w:rPr>
                <w:rFonts w:ascii="Times New Roman" w:hAnsi="Times New Roman"/>
                <w:color w:val="232323"/>
                <w:spacing w:val="53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color w:val="232323"/>
                <w:w w:val="110"/>
                <w:sz w:val="20"/>
              </w:rPr>
              <w:t>Nível Superior - 602 - Analista Técnica de Orgãos Colegiados com Ênfase em Prática</w:t>
            </w:r>
          </w:p>
          <w:p>
            <w:pPr>
              <w:pStyle w:val="TableParagraph"/>
              <w:spacing w:before="159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2323"/>
                <w:w w:val="110"/>
                <w:sz w:val="20"/>
              </w:rPr>
              <w:t>Profissional</w:t>
            </w:r>
          </w:p>
        </w:tc>
      </w:tr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32323"/>
                <w:w w:val="110"/>
                <w:sz w:val="20"/>
              </w:rPr>
              <w:t>Lotação: </w:t>
            </w:r>
            <w:r>
              <w:rPr>
                <w:rFonts w:ascii="Times New Roman" w:hAnsi="Times New Roman"/>
                <w:color w:val="0C0C0C"/>
                <w:w w:val="110"/>
                <w:sz w:val="20"/>
              </w:rPr>
              <w:t>Secretaria </w:t>
            </w:r>
            <w:r>
              <w:rPr>
                <w:rFonts w:ascii="Times New Roman" w:hAnsi="Times New Roman"/>
                <w:color w:val="232323"/>
                <w:w w:val="110"/>
                <w:sz w:val="20"/>
              </w:rPr>
              <w:t>Geral da Mesa (SGM)</w:t>
            </w:r>
          </w:p>
        </w:tc>
      </w:tr>
    </w:tbl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125" w:val="left" w:leader="none"/>
          <w:tab w:pos="3126" w:val="left" w:leader="none"/>
        </w:tabs>
        <w:spacing w:line="388" w:lineRule="auto" w:before="0" w:after="0"/>
        <w:ind w:left="1404" w:right="149" w:firstLine="8"/>
        <w:jc w:val="both"/>
        <w:rPr>
          <w:color w:val="232323"/>
          <w:sz w:val="21"/>
        </w:rPr>
      </w:pPr>
      <w:r>
        <w:rPr>
          <w:color w:val="232323"/>
          <w:w w:val="110"/>
          <w:position w:val="1"/>
          <w:sz w:val="20"/>
        </w:rPr>
        <w:t>Neste período a Analista, Cláudia de Mattos Quaresma, fará a </w:t>
      </w:r>
      <w:r>
        <w:rPr>
          <w:color w:val="3B3B3B"/>
          <w:w w:val="110"/>
          <w:position w:val="1"/>
          <w:sz w:val="20"/>
        </w:rPr>
        <w:t>substituição</w:t>
      </w:r>
      <w:r>
        <w:rPr>
          <w:color w:val="232323"/>
          <w:w w:val="110"/>
          <w:sz w:val="20"/>
        </w:rPr>
        <w:t> cumulativa desempenhando as atividades do emprego de provimento efetivo originário relacionado às atividades da</w:t>
      </w:r>
      <w:r>
        <w:rPr>
          <w:color w:val="232323"/>
          <w:spacing w:val="6"/>
          <w:w w:val="110"/>
          <w:sz w:val="20"/>
        </w:rPr>
        <w:t> </w:t>
      </w:r>
      <w:r>
        <w:rPr>
          <w:color w:val="232323"/>
          <w:w w:val="110"/>
          <w:sz w:val="20"/>
        </w:rPr>
        <w:t>SGM-CAU/BR.</w:t>
      </w:r>
    </w:p>
    <w:p>
      <w:pPr>
        <w:pStyle w:val="ListParagraph"/>
        <w:numPr>
          <w:ilvl w:val="0"/>
          <w:numId w:val="1"/>
        </w:numPr>
        <w:tabs>
          <w:tab w:pos="3109" w:val="left" w:leader="none"/>
          <w:tab w:pos="3110" w:val="left" w:leader="none"/>
        </w:tabs>
        <w:spacing w:line="391" w:lineRule="auto" w:before="2" w:after="0"/>
        <w:ind w:left="1404" w:right="153" w:firstLine="4"/>
        <w:jc w:val="both"/>
        <w:rPr>
          <w:color w:val="232323"/>
          <w:sz w:val="20"/>
        </w:rPr>
      </w:pPr>
      <w:r>
        <w:rPr>
          <w:color w:val="232323"/>
          <w:w w:val="110"/>
          <w:position w:val="1"/>
          <w:sz w:val="20"/>
        </w:rPr>
        <w:t>Por fim, ressalta-se que a referida substituição </w:t>
      </w:r>
      <w:r>
        <w:rPr>
          <w:color w:val="3B3B3B"/>
          <w:w w:val="110"/>
          <w:position w:val="1"/>
          <w:sz w:val="20"/>
        </w:rPr>
        <w:t>atende </w:t>
      </w:r>
      <w:r>
        <w:rPr>
          <w:color w:val="232323"/>
          <w:w w:val="110"/>
          <w:position w:val="1"/>
          <w:sz w:val="20"/>
        </w:rPr>
        <w:t>também aos requisitos do</w:t>
      </w:r>
      <w:r>
        <w:rPr>
          <w:color w:val="232323"/>
          <w:w w:val="110"/>
          <w:sz w:val="20"/>
        </w:rPr>
        <w:t> artigo 2º, parágrafo único, da Portaria Normativa nº 33, de 17 de abril de</w:t>
      </w:r>
      <w:r>
        <w:rPr>
          <w:color w:val="232323"/>
          <w:spacing w:val="18"/>
          <w:w w:val="110"/>
          <w:sz w:val="20"/>
        </w:rPr>
        <w:t> </w:t>
      </w:r>
      <w:r>
        <w:rPr>
          <w:color w:val="232323"/>
          <w:w w:val="110"/>
          <w:sz w:val="20"/>
        </w:rPr>
        <w:t>2015.</w:t>
      </w: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spacing w:before="0"/>
        <w:ind w:left="3106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9199">
            <wp:simplePos x="0" y="0"/>
            <wp:positionH relativeFrom="page">
              <wp:posOffset>4162778</wp:posOffset>
            </wp:positionH>
            <wp:positionV relativeFrom="paragraph">
              <wp:posOffset>228429</wp:posOffset>
            </wp:positionV>
            <wp:extent cx="2417097" cy="888063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97" cy="888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2323"/>
          <w:w w:val="110"/>
          <w:sz w:val="20"/>
        </w:rPr>
        <w:t>Atenciosamente,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900" w:h="16840"/>
          <w:pgMar w:top="600" w:bottom="280" w:left="160" w:right="940"/>
        </w:sect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before="1"/>
        <w:ind w:left="2958"/>
      </w:pPr>
      <w:r>
        <w:rPr/>
        <w:pict>
          <v:group style="position:absolute;margin-left:79.781670pt;margin-top:-53.539356pt;width:198.05pt;height:90.15pt;mso-position-horizontal-relative:page;mso-position-vertical-relative:paragraph;z-index:-6280" coordorigin="1596,-1071" coordsize="3961,1803">
            <v:shape style="position:absolute;left:2441;top:-1071;width:3115;height:1803" type="#_x0000_t75" stroked="false">
              <v:imagedata r:id="rId9" o:title=""/>
            </v:shape>
            <v:line style="position:absolute" from="1596,-18" to="2442,-18" stroked="true" strokeweight="1.441778pt" strokecolor="#000000">
              <v:stroke dashstyle="solid"/>
            </v:line>
            <w10:wrap type="none"/>
          </v:group>
        </w:pict>
      </w:r>
      <w:r>
        <w:rPr>
          <w:color w:val="232323"/>
          <w:w w:val="105"/>
        </w:rPr>
        <w:t>Daniela Demartini</w:t>
      </w:r>
    </w:p>
    <w:p>
      <w:pPr>
        <w:spacing w:line="183" w:lineRule="exact" w:before="18"/>
        <w:ind w:left="2632" w:right="0" w:firstLine="0"/>
        <w:jc w:val="left"/>
        <w:rPr>
          <w:sz w:val="21"/>
        </w:rPr>
      </w:pPr>
      <w:r>
        <w:rPr/>
        <w:pict>
          <v:shape style="position:absolute;margin-left:196.160004pt;margin-top:4.917199pt;width:52pt;height:14.45pt;mso-position-horizontal-relative:page;mso-position-vertical-relative:paragraph;z-index:-6208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232323"/>
                      <w:w w:val="80"/>
                      <w:sz w:val="26"/>
                    </w:rPr>
                    <w:t>(J)emamni</w:t>
                  </w:r>
                  <w:r>
                    <w:rPr>
                      <w:rFonts w:ascii="Times New Roman" w:hAnsi="Times New Roman"/>
                      <w:b/>
                      <w:i/>
                      <w:color w:val="232323"/>
                      <w:spacing w:val="-19"/>
                      <w:w w:val="80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color w:val="0C0C0C"/>
                      <w:spacing w:val="-16"/>
                      <w:w w:val="80"/>
                      <w:sz w:val="26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color w:val="0C0C0C"/>
          <w:sz w:val="21"/>
        </w:rPr>
        <w:t>Secretária Geral </w:t>
      </w:r>
      <w:r>
        <w:rPr>
          <w:rFonts w:ascii="Times New Roman" w:hAnsi="Times New Roman"/>
          <w:color w:val="232323"/>
          <w:sz w:val="19"/>
        </w:rPr>
        <w:t>rl::i </w:t>
      </w:r>
      <w:r>
        <w:rPr>
          <w:color w:val="232323"/>
          <w:sz w:val="21"/>
        </w:rPr>
        <w:t>Mesa</w:t>
      </w:r>
    </w:p>
    <w:p>
      <w:pPr>
        <w:pStyle w:val="ListParagraph"/>
        <w:numPr>
          <w:ilvl w:val="1"/>
          <w:numId w:val="1"/>
        </w:numPr>
        <w:tabs>
          <w:tab w:pos="3559" w:val="left" w:leader="none"/>
        </w:tabs>
        <w:spacing w:line="146" w:lineRule="exact" w:before="0" w:after="0"/>
        <w:ind w:left="3558" w:right="0" w:hanging="129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32323"/>
          <w:w w:val="105"/>
          <w:sz w:val="20"/>
        </w:rPr>
        <w:t>[a</w:t>
      </w:r>
    </w:p>
    <w:p>
      <w:pPr>
        <w:tabs>
          <w:tab w:pos="3867" w:val="left" w:leader="none"/>
          <w:tab w:pos="4178" w:val="left" w:leader="none"/>
          <w:tab w:pos="4384" w:val="left" w:leader="none"/>
        </w:tabs>
        <w:spacing w:line="160" w:lineRule="auto" w:before="32"/>
        <w:ind w:left="2960" w:right="302" w:firstLine="23"/>
        <w:jc w:val="left"/>
        <w:rPr>
          <w:rFonts w:ascii="Times New Roman" w:hAnsi="Times New Roman"/>
          <w:b/>
          <w:sz w:val="16"/>
        </w:rPr>
      </w:pPr>
      <w:r>
        <w:rPr/>
        <w:pict>
          <v:shape style="position:absolute;margin-left:190.738205pt;margin-top:16.573446pt;width:44.35pt;height:12pt;mso-position-horizontal-relative:page;mso-position-vertical-relative:paragraph;z-index:-6184" type="#_x0000_t202" filled="false" stroked="false">
            <v:textbox inset="0,0,0,0">
              <w:txbxContent>
                <w:p>
                  <w:pPr>
                    <w:spacing w:line="239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i/>
                      <w:sz w:val="18"/>
                    </w:rPr>
                  </w:pPr>
                  <w:r>
                    <w:rPr>
                      <w:rFonts w:ascii="Times New Roman"/>
                      <w:b/>
                      <w:color w:val="232323"/>
                      <w:sz w:val="15"/>
                    </w:rPr>
                    <w:t>d</w:t>
                  </w:r>
                  <w:r>
                    <w:rPr>
                      <w:rFonts w:ascii="Times New Roman"/>
                      <w:b/>
                      <w:color w:val="232323"/>
                      <w:spacing w:val="-3"/>
                      <w:sz w:val="15"/>
                    </w:rPr>
                    <w:t> </w:t>
                  </w:r>
                  <w:r>
                    <w:rPr>
                      <w:color w:val="232323"/>
                      <w:position w:val="-5"/>
                      <w:sz w:val="10"/>
                    </w:rPr>
                    <w:t>0</w:t>
                  </w:r>
                  <w:r>
                    <w:rPr>
                      <w:color w:val="232323"/>
                      <w:spacing w:val="2"/>
                      <w:position w:val="-5"/>
                      <w:sz w:val="10"/>
                    </w:rPr>
                    <w:t> </w:t>
                  </w:r>
                  <w:r>
                    <w:rPr>
                      <w:b/>
                      <w:color w:val="232323"/>
                      <w:sz w:val="14"/>
                    </w:rPr>
                    <w:t>sras\\</w:t>
                  </w:r>
                  <w:r>
                    <w:rPr>
                      <w:b/>
                      <w:color w:val="232323"/>
                      <w:spacing w:val="-19"/>
                      <w:sz w:val="14"/>
                    </w:rPr>
                    <w:t> </w:t>
                  </w:r>
                  <w:r>
                    <w:rPr>
                      <w:color w:val="232323"/>
                      <w:sz w:val="14"/>
                    </w:rPr>
                    <w:t>-</w:t>
                  </w:r>
                  <w:r>
                    <w:rPr>
                      <w:color w:val="232323"/>
                      <w:spacing w:val="-22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2323"/>
                      <w:spacing w:val="-4"/>
                      <w:sz w:val="18"/>
                    </w:rPr>
                    <w:t>o,;.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i/>
          <w:color w:val="3B3B3B"/>
          <w:sz w:val="19"/>
        </w:rPr>
        <w:t>(])ante</w:t>
        <w:tab/>
      </w:r>
      <w:r>
        <w:rPr>
          <w:b/>
          <w:color w:val="232323"/>
          <w:sz w:val="16"/>
        </w:rPr>
        <w:t>era\ da Mesa </w:t>
      </w:r>
      <w:r>
        <w:rPr>
          <w:b/>
          <w:color w:val="232323"/>
          <w:w w:val="95"/>
          <w:sz w:val="16"/>
        </w:rPr>
        <w:t>secretárla-G</w:t>
        <w:tab/>
        <w:tab/>
      </w:r>
      <w:r>
        <w:rPr>
          <w:b/>
          <w:color w:val="3B3B3B"/>
          <w:sz w:val="16"/>
        </w:rPr>
        <w:t>·tetura </w:t>
      </w:r>
      <w:r>
        <w:rPr>
          <w:b/>
          <w:color w:val="232323"/>
          <w:sz w:val="16"/>
        </w:rPr>
        <w:t>e </w:t>
      </w:r>
      <w:r>
        <w:rPr>
          <w:rFonts w:ascii="Times New Roman" w:hAnsi="Times New Roman"/>
          <w:b/>
          <w:color w:val="232323"/>
          <w:position w:val="-8"/>
          <w:sz w:val="15"/>
        </w:rPr>
        <w:t>coose</w:t>
      </w:r>
      <w:r>
        <w:rPr>
          <w:color w:val="232323"/>
          <w:sz w:val="14"/>
        </w:rPr>
        <w:t>\hO</w:t>
      </w:r>
      <w:r>
        <w:rPr>
          <w:color w:val="232323"/>
          <w:spacing w:val="-16"/>
          <w:sz w:val="14"/>
        </w:rPr>
        <w:t> </w:t>
      </w:r>
      <w:r>
        <w:rPr>
          <w:color w:val="232323"/>
          <w:sz w:val="14"/>
        </w:rPr>
        <w:t>de</w:t>
      </w:r>
      <w:r>
        <w:rPr>
          <w:color w:val="232323"/>
          <w:spacing w:val="-9"/>
          <w:sz w:val="14"/>
        </w:rPr>
        <w:t> </w:t>
      </w:r>
      <w:r>
        <w:rPr>
          <w:color w:val="232323"/>
          <w:sz w:val="14"/>
        </w:rPr>
        <w:t>Arqu1</w:t>
        <w:tab/>
        <w:tab/>
      </w:r>
      <w:r>
        <w:rPr>
          <w:rFonts w:ascii="Times New Roman" w:hAnsi="Times New Roman"/>
          <w:b/>
          <w:color w:val="232323"/>
          <w:sz w:val="16"/>
        </w:rPr>
        <w:t>U/BR</w:t>
      </w:r>
    </w:p>
    <w:p>
      <w:pPr>
        <w:spacing w:line="142" w:lineRule="exact" w:before="0"/>
        <w:ind w:left="2992" w:right="0" w:firstLine="0"/>
        <w:jc w:val="left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color w:val="232323"/>
          <w:sz w:val="15"/>
        </w:rPr>
        <w:t>urbaoisrn°</w:t>
      </w:r>
    </w:p>
    <w:p>
      <w:pPr>
        <w:pStyle w:val="BodyText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pStyle w:val="BodyText"/>
        <w:spacing w:before="1"/>
        <w:rPr>
          <w:rFonts w:ascii="Times New Roman"/>
          <w:b/>
          <w:sz w:val="25"/>
        </w:rPr>
      </w:pPr>
    </w:p>
    <w:p>
      <w:pPr>
        <w:pStyle w:val="BodyText"/>
        <w:tabs>
          <w:tab w:pos="2337" w:val="left" w:leader="none"/>
        </w:tabs>
        <w:ind w:left="1527"/>
      </w:pPr>
      <w:r>
        <w:rPr>
          <w:color w:val="3D3662"/>
          <w:w w:val="105"/>
        </w:rPr>
        <w:t>/</w:t>
        <w:tab/>
      </w:r>
      <w:r>
        <w:rPr>
          <w:color w:val="232323"/>
          <w:w w:val="105"/>
        </w:rPr>
        <w:t>jÁnalista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Técnica</w:t>
      </w:r>
    </w:p>
    <w:p>
      <w:pPr>
        <w:spacing w:after="0"/>
        <w:sectPr>
          <w:type w:val="continuous"/>
          <w:pgSz w:w="11900" w:h="16840"/>
          <w:pgMar w:top="640" w:bottom="280" w:left="160" w:right="940"/>
          <w:cols w:num="2" w:equalWidth="0">
            <w:col w:w="5148" w:space="40"/>
            <w:col w:w="5612"/>
          </w:cols>
        </w:sectPr>
      </w:pPr>
    </w:p>
    <w:p>
      <w:pPr>
        <w:spacing w:line="288" w:lineRule="exact" w:before="119"/>
        <w:ind w:left="973" w:right="0" w:firstLine="0"/>
        <w:jc w:val="left"/>
        <w:rPr>
          <w:sz w:val="19"/>
        </w:rPr>
      </w:pPr>
      <w:r>
        <w:rPr/>
        <w:pict>
          <v:group style="position:absolute;margin-left:14.418375pt;margin-top:29.796789pt;width:572.9pt;height:40.4pt;mso-position-horizontal-relative:page;mso-position-vertical-relative:page;z-index:-6304" coordorigin="288,596" coordsize="11458,808">
            <v:shape style="position:absolute;left:1172;top:595;width:3096;height:808" type="#_x0000_t75" stroked="false">
              <v:imagedata r:id="rId10" o:title=""/>
            </v:shape>
            <v:shape style="position:absolute;left:288;top:15640;width:11444;height:10" coordorigin="288,15640" coordsize="11444,10" path="m4268,1201l11746,1201m288,1192l1173,1192e" filled="false" stroked="true" strokeweight="1.201507pt" strokecolor="#000000">
              <v:path arrowok="t"/>
              <v:stroke dashstyle="solid"/>
            </v:shape>
            <v:shape style="position:absolute;left:288;top:595;width:11458;height:808" type="#_x0000_t202" filled="false" stroked="false">
              <v:textbox inset="0,0,0,0">
                <w:txbxContent>
                  <w:p>
                    <w:pPr>
                      <w:spacing w:line="172" w:lineRule="exact" w:before="100"/>
                      <w:ind w:left="2120" w:right="368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2323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232323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32323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32323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color w:val="3B3B3B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29" w:lineRule="exact" w:before="0"/>
                      <w:ind w:left="3953" w:right="368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32323"/>
                        <w:w w:val="85"/>
                        <w:sz w:val="21"/>
                      </w:rPr>
                      <w:t>Conselho  de Arquitetura e Urbanismo 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16" from="10.573475pt,780.242432pt" to="584.424785pt,780.242432pt" stroked="true" strokeweight="1.201482pt" strokecolor="#000000">
            <v:stroke dashstyle="solid"/>
            <w10:wrap type="none"/>
          </v:line>
        </w:pict>
      </w:r>
      <w:r>
        <w:rPr>
          <w:color w:val="232323"/>
          <w:w w:val="85"/>
          <w:sz w:val="19"/>
        </w:rPr>
        <w:t>setor</w:t>
      </w:r>
      <w:r>
        <w:rPr>
          <w:color w:val="232323"/>
          <w:spacing w:val="-17"/>
          <w:w w:val="85"/>
          <w:sz w:val="19"/>
        </w:rPr>
        <w:t> </w:t>
      </w:r>
      <w:r>
        <w:rPr>
          <w:color w:val="232323"/>
          <w:w w:val="85"/>
          <w:sz w:val="19"/>
        </w:rPr>
        <w:t>comercial</w:t>
      </w:r>
      <w:r>
        <w:rPr>
          <w:color w:val="232323"/>
          <w:spacing w:val="-13"/>
          <w:w w:val="85"/>
          <w:sz w:val="19"/>
        </w:rPr>
        <w:t> </w:t>
      </w:r>
      <w:r>
        <w:rPr>
          <w:color w:val="232323"/>
          <w:w w:val="85"/>
          <w:sz w:val="19"/>
        </w:rPr>
        <w:t>sul</w:t>
      </w:r>
      <w:r>
        <w:rPr>
          <w:color w:val="232323"/>
          <w:spacing w:val="-22"/>
          <w:w w:val="85"/>
          <w:sz w:val="19"/>
        </w:rPr>
        <w:t> </w:t>
      </w:r>
      <w:r>
        <w:rPr>
          <w:rFonts w:ascii="Times New Roman"/>
          <w:color w:val="232323"/>
          <w:w w:val="85"/>
          <w:sz w:val="26"/>
        </w:rPr>
        <w:t>(ses),</w:t>
      </w:r>
      <w:r>
        <w:rPr>
          <w:rFonts w:ascii="Times New Roman"/>
          <w:color w:val="232323"/>
          <w:spacing w:val="-26"/>
          <w:w w:val="85"/>
          <w:sz w:val="26"/>
        </w:rPr>
        <w:t> </w:t>
      </w:r>
      <w:r>
        <w:rPr>
          <w:color w:val="232323"/>
          <w:w w:val="85"/>
          <w:sz w:val="19"/>
        </w:rPr>
        <w:t>Quadra</w:t>
      </w:r>
      <w:r>
        <w:rPr>
          <w:color w:val="232323"/>
          <w:spacing w:val="-11"/>
          <w:w w:val="85"/>
          <w:sz w:val="19"/>
        </w:rPr>
        <w:t> </w:t>
      </w:r>
      <w:r>
        <w:rPr>
          <w:color w:val="232323"/>
          <w:w w:val="85"/>
          <w:sz w:val="19"/>
        </w:rPr>
        <w:t>2,</w:t>
      </w:r>
      <w:r>
        <w:rPr>
          <w:color w:val="232323"/>
          <w:spacing w:val="-26"/>
          <w:w w:val="85"/>
          <w:sz w:val="19"/>
        </w:rPr>
        <w:t> </w:t>
      </w:r>
      <w:r>
        <w:rPr>
          <w:color w:val="232323"/>
          <w:w w:val="85"/>
          <w:sz w:val="19"/>
        </w:rPr>
        <w:t>Bloco</w:t>
      </w:r>
      <w:r>
        <w:rPr>
          <w:color w:val="232323"/>
          <w:spacing w:val="-15"/>
          <w:w w:val="85"/>
          <w:sz w:val="19"/>
        </w:rPr>
        <w:t> </w:t>
      </w:r>
      <w:r>
        <w:rPr>
          <w:rFonts w:ascii="Times New Roman"/>
          <w:color w:val="232323"/>
          <w:w w:val="85"/>
          <w:sz w:val="26"/>
        </w:rPr>
        <w:t>e</w:t>
      </w:r>
      <w:r>
        <w:rPr>
          <w:rFonts w:ascii="Times New Roman"/>
          <w:color w:val="232323"/>
          <w:spacing w:val="-38"/>
          <w:w w:val="85"/>
          <w:sz w:val="26"/>
        </w:rPr>
        <w:t> </w:t>
      </w:r>
      <w:r>
        <w:rPr>
          <w:rFonts w:ascii="Times New Roman"/>
          <w:color w:val="232323"/>
          <w:w w:val="85"/>
          <w:sz w:val="26"/>
        </w:rPr>
        <w:t>-</w:t>
      </w:r>
      <w:r>
        <w:rPr>
          <w:rFonts w:ascii="Times New Roman"/>
          <w:color w:val="232323"/>
          <w:spacing w:val="-41"/>
          <w:w w:val="85"/>
          <w:sz w:val="26"/>
        </w:rPr>
        <w:t> </w:t>
      </w:r>
      <w:r>
        <w:rPr>
          <w:color w:val="232323"/>
          <w:w w:val="85"/>
          <w:sz w:val="19"/>
        </w:rPr>
        <w:t>Ed.</w:t>
      </w:r>
      <w:r>
        <w:rPr>
          <w:color w:val="232323"/>
          <w:spacing w:val="-23"/>
          <w:w w:val="85"/>
          <w:sz w:val="19"/>
        </w:rPr>
        <w:t> </w:t>
      </w:r>
      <w:r>
        <w:rPr>
          <w:color w:val="232323"/>
          <w:w w:val="85"/>
          <w:sz w:val="19"/>
        </w:rPr>
        <w:t>Serra</w:t>
      </w:r>
      <w:r>
        <w:rPr>
          <w:color w:val="232323"/>
          <w:spacing w:val="-20"/>
          <w:w w:val="85"/>
          <w:sz w:val="19"/>
        </w:rPr>
        <w:t> </w:t>
      </w:r>
      <w:r>
        <w:rPr>
          <w:color w:val="232323"/>
          <w:w w:val="85"/>
          <w:sz w:val="19"/>
        </w:rPr>
        <w:t>Dourada,</w:t>
      </w:r>
      <w:r>
        <w:rPr>
          <w:color w:val="232323"/>
          <w:spacing w:val="-16"/>
          <w:w w:val="85"/>
          <w:sz w:val="19"/>
        </w:rPr>
        <w:t> </w:t>
      </w:r>
      <w:r>
        <w:rPr>
          <w:color w:val="232323"/>
          <w:w w:val="85"/>
          <w:sz w:val="19"/>
        </w:rPr>
        <w:t>salas</w:t>
      </w:r>
      <w:r>
        <w:rPr>
          <w:color w:val="232323"/>
          <w:spacing w:val="-18"/>
          <w:w w:val="85"/>
          <w:sz w:val="19"/>
        </w:rPr>
        <w:t> </w:t>
      </w:r>
      <w:r>
        <w:rPr>
          <w:color w:val="3B3B3B"/>
          <w:w w:val="85"/>
          <w:sz w:val="19"/>
        </w:rPr>
        <w:t>401</w:t>
      </w:r>
      <w:r>
        <w:rPr>
          <w:color w:val="3B3B3B"/>
          <w:spacing w:val="-22"/>
          <w:w w:val="85"/>
          <w:sz w:val="19"/>
        </w:rPr>
        <w:t> </w:t>
      </w:r>
      <w:r>
        <w:rPr>
          <w:color w:val="232323"/>
          <w:w w:val="85"/>
          <w:sz w:val="19"/>
        </w:rPr>
        <w:t>a</w:t>
      </w:r>
      <w:r>
        <w:rPr>
          <w:color w:val="232323"/>
          <w:spacing w:val="-18"/>
          <w:w w:val="85"/>
          <w:sz w:val="19"/>
        </w:rPr>
        <w:t> </w:t>
      </w:r>
      <w:r>
        <w:rPr>
          <w:color w:val="3B3B3B"/>
          <w:w w:val="85"/>
          <w:sz w:val="19"/>
        </w:rPr>
        <w:t>409</w:t>
      </w:r>
      <w:r>
        <w:rPr>
          <w:color w:val="3B3B3B"/>
          <w:spacing w:val="-26"/>
          <w:w w:val="85"/>
          <w:sz w:val="19"/>
        </w:rPr>
        <w:t> </w:t>
      </w:r>
      <w:r>
        <w:rPr>
          <w:color w:val="232323"/>
          <w:w w:val="85"/>
          <w:sz w:val="24"/>
        </w:rPr>
        <w:t>I</w:t>
      </w:r>
      <w:r>
        <w:rPr>
          <w:color w:val="232323"/>
          <w:spacing w:val="-35"/>
          <w:w w:val="85"/>
          <w:sz w:val="24"/>
        </w:rPr>
        <w:t> </w:t>
      </w:r>
      <w:r>
        <w:rPr>
          <w:color w:val="232323"/>
          <w:w w:val="85"/>
          <w:sz w:val="19"/>
        </w:rPr>
        <w:t>CEP:</w:t>
      </w:r>
      <w:r>
        <w:rPr>
          <w:color w:val="232323"/>
          <w:spacing w:val="-19"/>
          <w:w w:val="85"/>
          <w:sz w:val="19"/>
        </w:rPr>
        <w:t> </w:t>
      </w:r>
      <w:r>
        <w:rPr>
          <w:color w:val="232323"/>
          <w:w w:val="85"/>
          <w:sz w:val="19"/>
        </w:rPr>
        <w:t>70.300-902</w:t>
      </w:r>
      <w:r>
        <w:rPr>
          <w:color w:val="232323"/>
          <w:spacing w:val="-10"/>
          <w:w w:val="85"/>
          <w:sz w:val="19"/>
        </w:rPr>
        <w:t> </w:t>
      </w:r>
      <w:r>
        <w:rPr>
          <w:color w:val="232323"/>
          <w:w w:val="85"/>
          <w:sz w:val="19"/>
        </w:rPr>
        <w:t>Brasilia/DF</w:t>
      </w:r>
      <w:r>
        <w:rPr>
          <w:color w:val="232323"/>
          <w:spacing w:val="-21"/>
          <w:w w:val="85"/>
          <w:sz w:val="19"/>
        </w:rPr>
        <w:t> </w:t>
      </w:r>
      <w:r>
        <w:rPr>
          <w:color w:val="232323"/>
          <w:w w:val="85"/>
          <w:sz w:val="24"/>
        </w:rPr>
        <w:t>I</w:t>
      </w:r>
      <w:r>
        <w:rPr>
          <w:color w:val="232323"/>
          <w:spacing w:val="-38"/>
          <w:w w:val="85"/>
          <w:sz w:val="24"/>
        </w:rPr>
        <w:t> </w:t>
      </w:r>
      <w:r>
        <w:rPr>
          <w:color w:val="3B3B3B"/>
          <w:w w:val="85"/>
          <w:sz w:val="19"/>
        </w:rPr>
        <w:t>Telefone:</w:t>
      </w:r>
      <w:r>
        <w:rPr>
          <w:color w:val="3B3B3B"/>
          <w:spacing w:val="-19"/>
          <w:w w:val="85"/>
          <w:sz w:val="19"/>
        </w:rPr>
        <w:t> </w:t>
      </w:r>
      <w:r>
        <w:rPr>
          <w:color w:val="3B3B3B"/>
          <w:w w:val="85"/>
          <w:sz w:val="19"/>
        </w:rPr>
        <w:t>(61)</w:t>
      </w:r>
      <w:r>
        <w:rPr>
          <w:color w:val="3B3B3B"/>
          <w:spacing w:val="-18"/>
          <w:w w:val="85"/>
          <w:sz w:val="19"/>
        </w:rPr>
        <w:t> </w:t>
      </w:r>
      <w:r>
        <w:rPr>
          <w:color w:val="3B3B3B"/>
          <w:w w:val="85"/>
          <w:sz w:val="19"/>
        </w:rPr>
        <w:t>3204-9500</w:t>
      </w:r>
    </w:p>
    <w:p>
      <w:pPr>
        <w:spacing w:line="254" w:lineRule="exact" w:before="0"/>
        <w:ind w:left="972" w:right="0" w:firstLine="0"/>
        <w:jc w:val="left"/>
        <w:rPr>
          <w:rFonts w:ascii="Times New Roman"/>
          <w:b/>
          <w:sz w:val="23"/>
        </w:rPr>
      </w:pPr>
      <w:hyperlink r:id="rId7">
        <w:r>
          <w:rPr>
            <w:rFonts w:ascii="Times New Roman"/>
            <w:b/>
            <w:color w:val="232323"/>
            <w:w w:val="85"/>
            <w:sz w:val="23"/>
          </w:rPr>
          <w:t>www.caubr.gov.br</w:t>
        </w:r>
      </w:hyperlink>
    </w:p>
    <w:sectPr>
      <w:type w:val="continuous"/>
      <w:pgSz w:w="11900" w:h="16840"/>
      <w:pgMar w:top="640" w:bottom="280" w:left="1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35" w:hanging="1698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3558" w:hanging="130"/>
      </w:pPr>
      <w:rPr>
        <w:rFonts w:hint="default" w:ascii="Arial" w:hAnsi="Arial" w:eastAsia="Arial" w:cs="Arial"/>
        <w:color w:val="232323"/>
        <w:w w:val="56"/>
        <w:sz w:val="20"/>
        <w:szCs w:val="20"/>
      </w:rPr>
    </w:lvl>
    <w:lvl w:ilvl="2">
      <w:start w:val="0"/>
      <w:numFmt w:val="bullet"/>
      <w:lvlText w:val="•"/>
      <w:lvlJc w:val="left"/>
      <w:pPr>
        <w:ind w:left="3736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2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9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5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1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8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4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43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04" w:hanging="12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24"/>
      <w:ind w:left="11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2019-05-15T19:28:03Z</dcterms:created>
  <dcterms:modified xsi:type="dcterms:W3CDTF">2019-05-15T19:28:03Z</dcterms:modified>
</cp:coreProperties>
</file>