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Heading1"/>
        <w:spacing w:before="94"/>
        <w:ind w:left="2426"/>
      </w:pPr>
      <w:r>
        <w:rPr/>
        <w:pict>
          <v:group style="position:absolute;margin-left:23.069399pt;margin-top:-59.70274pt;width:571.950pt;height:46.85pt;mso-position-horizontal-relative:page;mso-position-vertical-relative:paragraph;z-index:1096" coordorigin="461,-1194" coordsize="11439,937">
            <v:shape style="position:absolute;left:1345;top:-1195;width:3096;height:827" type="#_x0000_t75" stroked="false">
              <v:imagedata r:id="rId5" o:title=""/>
            </v:shape>
            <v:line style="position:absolute" from="461,-589" to="1346,-589" stroked="true" strokeweight="1.201482pt" strokecolor="#000000">
              <v:stroke dashstyle="solid"/>
            </v:line>
            <v:line style="position:absolute" from="4441,-579" to="11900,-579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1;top:-1195;width:11439;height:937" type="#_x0000_t202" filled="false" stroked="false">
              <v:textbox inset="0,0,0,0">
                <w:txbxContent>
                  <w:p>
                    <w:pPr>
                      <w:spacing w:line="197" w:lineRule="exact" w:before="91"/>
                      <w:ind w:left="2146" w:right="3664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B3B3D"/>
                        <w:w w:val="70"/>
                        <w:sz w:val="18"/>
                      </w:rPr>
                      <w:t>SERVICO PÚBLICO FEDERAL</w:t>
                    </w:r>
                  </w:p>
                  <w:p>
                    <w:pPr>
                      <w:spacing w:line="220" w:lineRule="exact" w:before="0"/>
                      <w:ind w:left="3972" w:right="36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B3B3D"/>
                        <w:w w:val="90"/>
                        <w:sz w:val="20"/>
                      </w:rPr>
                      <w:t>Consélho de Arquitetura e U</w:t>
                    </w:r>
                    <w:r>
                      <w:rPr>
                        <w:color w:val="565657"/>
                        <w:w w:val="90"/>
                        <w:sz w:val="20"/>
                      </w:rPr>
                      <w:t>r</w:t>
                    </w:r>
                    <w:r>
                      <w:rPr>
                        <w:color w:val="3B3B3D"/>
                        <w:w w:val="90"/>
                        <w:sz w:val="20"/>
                      </w:rPr>
                      <w:t>banismo do Brasi</w:t>
                    </w:r>
                    <w:r>
                      <w:rPr>
                        <w:color w:val="565657"/>
                        <w:w w:val="90"/>
                        <w:sz w:val="20"/>
                      </w:rPr>
                      <w:t>l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39" w:right="366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B3B3D"/>
                        <w:w w:val="85"/>
                        <w:sz w:val="20"/>
                      </w:rPr>
                      <w:t>Gerên</w:t>
                    </w:r>
                    <w:r>
                      <w:rPr>
                        <w:color w:val="131315"/>
                        <w:w w:val="85"/>
                        <w:sz w:val="20"/>
                      </w:rPr>
                      <w:t>c</w:t>
                    </w:r>
                    <w:r>
                      <w:rPr>
                        <w:color w:val="3B3B3D"/>
                        <w:w w:val="85"/>
                        <w:sz w:val="20"/>
                      </w:rPr>
                      <w:t>ia </w:t>
                    </w:r>
                    <w:r>
                      <w:rPr>
                        <w:color w:val="131315"/>
                        <w:w w:val="85"/>
                        <w:sz w:val="20"/>
                      </w:rPr>
                      <w:t>G</w:t>
                    </w:r>
                    <w:r>
                      <w:rPr>
                        <w:color w:val="3B3B3D"/>
                        <w:w w:val="85"/>
                        <w:sz w:val="20"/>
                      </w:rPr>
                      <w:t>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5"/>
          <w:w w:val="105"/>
        </w:rPr>
        <w:t>PORTARIA GERÊNCIA GERAL Nº 24, DE 05 DE MARÇO DE 2017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47" w:lineRule="auto" w:before="1"/>
        <w:ind w:left="5369" w:right="1171" w:firstLine="12"/>
        <w:jc w:val="both"/>
      </w:pPr>
      <w:r>
        <w:rPr>
          <w:color w:val="131315"/>
          <w:w w:val="105"/>
        </w:rPr>
        <w:t>Promove substituição temporária no Quadro de Pessoal Efetivo do CAU/BR, e dá outras providências</w:t>
      </w:r>
      <w:r>
        <w:rPr>
          <w:color w:val="3B3B3D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30"/>
        <w:ind w:left="1092" w:right="1179" w:firstLine="714"/>
        <w:jc w:val="both"/>
      </w:pPr>
      <w:r>
        <w:rPr>
          <w:color w:val="131315"/>
          <w:w w:val="105"/>
        </w:rPr>
        <w:t>O Gerente Geral do Conselho de Arquitetura e Urbanismo do Brasil (CAU/BR), no uso das atribuições que </w:t>
      </w:r>
      <w:r>
        <w:rPr>
          <w:color w:val="28282A"/>
          <w:w w:val="105"/>
        </w:rPr>
        <w:t>lhe </w:t>
      </w:r>
      <w:r>
        <w:rPr>
          <w:color w:val="131315"/>
          <w:w w:val="105"/>
        </w:rPr>
        <w:t>confere a Portaria PRES nº 55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de 21 de fevereiro de 2014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atendendo ao disposto na Portaria Normativa nº 33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de 17 de abril de 2015, combinada com a Portaria Normativa nº 48, de 11 de agosto de 2016, e tendo em vista o contido no Memorando nº 32/2018 - CSC de 19 de fevereiro de 2018.</w:t>
      </w:r>
    </w:p>
    <w:p>
      <w:pPr>
        <w:pStyle w:val="BodyText"/>
        <w:rPr>
          <w:sz w:val="22"/>
        </w:rPr>
      </w:pPr>
    </w:p>
    <w:p>
      <w:pPr>
        <w:pStyle w:val="Heading1"/>
        <w:ind w:left="1090"/>
      </w:pPr>
      <w:r>
        <w:rPr>
          <w:color w:val="131315"/>
          <w:w w:val="105"/>
        </w:rPr>
        <w:t>RESOLVE: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52" w:lineRule="auto"/>
        <w:ind w:left="1085" w:right="1138"/>
      </w:pPr>
      <w:r>
        <w:rPr>
          <w:b/>
          <w:color w:val="131315"/>
          <w:w w:val="105"/>
        </w:rPr>
        <w:t>Art. </w:t>
      </w:r>
      <w:r>
        <w:rPr>
          <w:b/>
          <w:color w:val="28282A"/>
          <w:w w:val="105"/>
        </w:rPr>
        <w:t>1º. </w:t>
      </w:r>
      <w:r>
        <w:rPr>
          <w:color w:val="131315"/>
          <w:w w:val="105"/>
        </w:rPr>
        <w:t>Promover a seguinte</w:t>
      </w:r>
      <w:r>
        <w:rPr>
          <w:color w:val="565657"/>
          <w:w w:val="105"/>
        </w:rPr>
        <w:t>_ </w:t>
      </w:r>
      <w:r>
        <w:rPr>
          <w:color w:val="131315"/>
          <w:w w:val="105"/>
        </w:rPr>
        <w:t>substituição temporária no Quadro de Pessoal Efetivo do CAU/BR: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1083"/>
      </w:pPr>
      <w:r>
        <w:rPr>
          <w:color w:val="131315"/>
          <w:w w:val="105"/>
        </w:rPr>
        <w:t>SUBST</w:t>
      </w:r>
      <w:r>
        <w:rPr>
          <w:color w:val="3B3B3D"/>
          <w:w w:val="105"/>
        </w:rPr>
        <w:t>I</w:t>
      </w:r>
      <w:r>
        <w:rPr>
          <w:color w:val="131315"/>
          <w:w w:val="105"/>
        </w:rPr>
        <w:t>TU</w:t>
      </w:r>
      <w:r>
        <w:rPr>
          <w:color w:val="3B3B3D"/>
          <w:w w:val="105"/>
        </w:rPr>
        <w:t>Í</w:t>
      </w:r>
      <w:r>
        <w:rPr>
          <w:color w:val="131315"/>
          <w:w w:val="105"/>
        </w:rPr>
        <w:t>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2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Giselle </w:t>
            </w:r>
            <w:r>
              <w:rPr>
                <w:b/>
                <w:color w:val="28282A"/>
                <w:w w:val="105"/>
                <w:sz w:val="21"/>
              </w:rPr>
              <w:t>Medeiros </w:t>
            </w:r>
            <w:r>
              <w:rPr>
                <w:b/>
                <w:color w:val="131315"/>
                <w:w w:val="105"/>
                <w:sz w:val="21"/>
              </w:rPr>
              <w:t>Lima</w:t>
            </w:r>
          </w:p>
        </w:tc>
      </w:tr>
      <w:tr>
        <w:trPr>
          <w:trHeight w:val="287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28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Superior - Ocupação: Arquiteta e Urbanista</w:t>
            </w:r>
          </w:p>
        </w:tc>
      </w:tr>
      <w:tr>
        <w:trPr>
          <w:trHeight w:val="287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4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 - Rede Integrada de Atendimento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R$ 8.517,51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05/03/2018 a</w:t>
            </w:r>
            <w:r>
              <w:rPr>
                <w:color w:val="131315"/>
                <w:spacing w:val="55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16/03/2018</w:t>
            </w:r>
          </w:p>
        </w:tc>
      </w:tr>
    </w:tbl>
    <w:p>
      <w:pPr>
        <w:spacing w:before="9"/>
        <w:ind w:left="1069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63" w:hRule="atLeast"/>
        </w:trPr>
        <w:tc>
          <w:tcPr>
            <w:tcW w:w="9646" w:type="dxa"/>
          </w:tcPr>
          <w:p>
            <w:pPr>
              <w:pStyle w:val="TableParagraph"/>
              <w:spacing w:line="225" w:lineRule="exact" w:before="19"/>
              <w:ind w:left="12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28282A"/>
                <w:w w:val="105"/>
                <w:sz w:val="21"/>
              </w:rPr>
              <w:t>Vanessa </w:t>
            </w:r>
            <w:r>
              <w:rPr>
                <w:b/>
                <w:color w:val="131315"/>
                <w:w w:val="105"/>
                <w:sz w:val="21"/>
              </w:rPr>
              <w:t>de Sousa Oliveira</w:t>
            </w:r>
          </w:p>
        </w:tc>
      </w:tr>
      <w:tr>
        <w:trPr>
          <w:trHeight w:val="292" w:hRule="atLeast"/>
        </w:trPr>
        <w:tc>
          <w:tcPr>
            <w:tcW w:w="9646" w:type="dxa"/>
          </w:tcPr>
          <w:p>
            <w:pPr>
              <w:pStyle w:val="TableParagraph"/>
              <w:spacing w:line="234" w:lineRule="exact" w:before="38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Superior - Ocupação: Arquiteta e Urbanista</w:t>
            </w:r>
          </w:p>
        </w:tc>
      </w:tr>
      <w:tr>
        <w:trPr>
          <w:trHeight w:val="297" w:hRule="atLeast"/>
        </w:trPr>
        <w:tc>
          <w:tcPr>
            <w:tcW w:w="9646" w:type="dxa"/>
          </w:tcPr>
          <w:p>
            <w:pPr>
              <w:pStyle w:val="TableParagraph"/>
              <w:spacing w:line="234" w:lineRule="exact" w:before="43"/>
              <w:ind w:left="12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Ouvidoria</w:t>
            </w:r>
          </w:p>
        </w:tc>
      </w:tr>
      <w:tr>
        <w:trPr>
          <w:trHeight w:val="249" w:hRule="atLeast"/>
        </w:trPr>
        <w:tc>
          <w:tcPr>
            <w:tcW w:w="9646" w:type="dxa"/>
          </w:tcPr>
          <w:p>
            <w:pPr>
              <w:pStyle w:val="TableParagraph"/>
              <w:spacing w:line="215" w:lineRule="exact" w:before="14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substituição: 05/03/2018 a 16/03/2018</w:t>
            </w:r>
          </w:p>
        </w:tc>
      </w:tr>
      <w:tr>
        <w:trPr>
          <w:trHeight w:val="283" w:hRule="atLeast"/>
        </w:trPr>
        <w:tc>
          <w:tcPr>
            <w:tcW w:w="9646" w:type="dxa"/>
          </w:tcPr>
          <w:p>
            <w:pPr>
              <w:pStyle w:val="TableParagraph"/>
              <w:spacing w:before="19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46" w:type="dxa"/>
          </w:tcPr>
          <w:p>
            <w:pPr>
              <w:pStyle w:val="TableParagraph"/>
              <w:tabs>
                <w:tab w:pos="673" w:val="left" w:leader="none"/>
              </w:tabs>
              <w:spacing w:before="24"/>
              <w:ind w:left="120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</w:t>
              <w:tab/>
              <w:t>] Remuneração correspondente ao emprego objeto da</w:t>
            </w:r>
            <w:r>
              <w:rPr>
                <w:color w:val="131315"/>
                <w:spacing w:val="-25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line="254" w:lineRule="exact" w:before="2"/>
              <w:ind w:firstLine="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</w:t>
            </w:r>
            <w:r>
              <w:rPr>
                <w:color w:val="28282A"/>
                <w:w w:val="105"/>
                <w:sz w:val="21"/>
              </w:rPr>
              <w:t>11/08/2016, </w:t>
            </w:r>
            <w:r>
              <w:rPr>
                <w:color w:val="131315"/>
                <w:w w:val="105"/>
                <w:sz w:val="21"/>
              </w:rPr>
              <w:t>art. 3º e Portaria Normativa nº 33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de 17/04/2015 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art. 3°, </w:t>
            </w:r>
            <w:r>
              <w:rPr>
                <w:color w:val="28282A"/>
                <w:w w:val="105"/>
                <w:sz w:val="21"/>
              </w:rPr>
              <w:t>inciso li).</w:t>
            </w:r>
          </w:p>
        </w:tc>
      </w:tr>
      <w:tr>
        <w:trPr>
          <w:trHeight w:val="751" w:hRule="atLeast"/>
        </w:trPr>
        <w:tc>
          <w:tcPr>
            <w:tcW w:w="9646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X </w:t>
            </w:r>
            <w:r>
              <w:rPr>
                <w:color w:val="28282A"/>
                <w:w w:val="105"/>
                <w:sz w:val="21"/>
              </w:rPr>
              <w:t>] </w:t>
            </w:r>
            <w:r>
              <w:rPr>
                <w:color w:val="131315"/>
                <w:w w:val="105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before="8"/>
              <w:ind w:left="116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de 11/08/2016, art. 3º e Portaria Normativa nº 33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de 17</w:t>
            </w:r>
            <w:r>
              <w:rPr>
                <w:color w:val="3B3B3D"/>
                <w:w w:val="105"/>
                <w:sz w:val="21"/>
              </w:rPr>
              <w:t>/</w:t>
            </w:r>
            <w:r>
              <w:rPr>
                <w:color w:val="131315"/>
                <w:w w:val="105"/>
                <w:sz w:val="21"/>
              </w:rPr>
              <w:t>04/2015, art.</w:t>
            </w:r>
          </w:p>
          <w:p>
            <w:pPr>
              <w:pStyle w:val="TableParagraph"/>
              <w:spacing w:line="210" w:lineRule="exact" w:before="18"/>
              <w:ind w:left="111"/>
              <w:rPr>
                <w:sz w:val="19"/>
              </w:rPr>
            </w:pPr>
            <w:r>
              <w:rPr>
                <w:color w:val="131315"/>
                <w:sz w:val="21"/>
              </w:rPr>
              <w:t>3°</w:t>
            </w:r>
            <w:r>
              <w:rPr>
                <w:color w:val="3B3B3D"/>
                <w:sz w:val="21"/>
              </w:rPr>
              <w:t>, </w:t>
            </w:r>
            <w:r>
              <w:rPr>
                <w:color w:val="131315"/>
                <w:sz w:val="21"/>
              </w:rPr>
              <w:t>inciso </w:t>
            </w:r>
            <w:r>
              <w:rPr>
                <w:color w:val="131315"/>
                <w:sz w:val="19"/>
              </w:rPr>
              <w:t>1).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7.302050pt;margin-top:8.780897pt;width:356.65pt;height:173.4pt;mso-position-horizontal-relative:page;mso-position-vertical-relative:paragraph;z-index:-1000;mso-wrap-distance-left:0;mso-wrap-distance-right:0" coordorigin="346,176" coordsize="7133,3468">
            <v:shape style="position:absolute;left:4056;top:265;width:3422;height:3379" type="#_x0000_t75" stroked="false">
              <v:imagedata r:id="rId6" o:title=""/>
            </v:shape>
            <v:line style="position:absolute" from="346,3610" to="4056,3610" stroked="true" strokeweight=".961186pt" strokecolor="#000000">
              <v:stroke dashstyle="solid"/>
            </v:line>
            <v:shape style="position:absolute;left:346;top:175;width:7133;height:3468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9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8282A"/>
                        <w:w w:val="105"/>
                        <w:sz w:val="21"/>
                      </w:rPr>
                      <w:t>Art. </w:t>
                    </w:r>
                    <w:r>
                      <w:rPr>
                        <w:b/>
                        <w:color w:val="131315"/>
                        <w:w w:val="105"/>
                        <w:sz w:val="21"/>
                      </w:rPr>
                      <w:t>2º. </w:t>
                    </w:r>
                    <w:r>
                      <w:rPr>
                        <w:color w:val="131315"/>
                        <w:w w:val="105"/>
                        <w:sz w:val="21"/>
                      </w:rPr>
                      <w:t>Esta Portaria entra em vigor nesta data.</w:t>
                    </w:r>
                  </w:p>
                  <w:p>
                    <w:pPr>
                      <w:spacing w:before="143"/>
                      <w:ind w:left="4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5"/>
                        <w:w w:val="105"/>
                        <w:sz w:val="21"/>
                      </w:rPr>
                      <w:t>Brasília, 05 de março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9" w:lineRule="exact" w:before="0"/>
        <w:ind w:left="744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sz w:val="17"/>
        </w:rPr>
        <w:t>Setor Come,cial </w:t>
      </w:r>
      <w:r>
        <w:rPr>
          <w:rFonts w:ascii="Times New Roman" w:hAnsi="Times New Roman"/>
          <w:color w:val="6B6B6B"/>
          <w:sz w:val="18"/>
        </w:rPr>
        <w:t>Sol </w:t>
      </w:r>
      <w:r>
        <w:rPr>
          <w:rFonts w:ascii="Times New Roman" w:hAnsi="Times New Roman"/>
          <w:color w:val="7E7E7E"/>
          <w:sz w:val="18"/>
        </w:rPr>
        <w:t>(SC</w:t>
      </w:r>
      <w:r>
        <w:rPr>
          <w:rFonts w:ascii="Times New Roman" w:hAnsi="Times New Roman"/>
          <w:color w:val="565657"/>
          <w:sz w:val="18"/>
        </w:rPr>
        <w:t>S</w:t>
      </w:r>
      <w:r>
        <w:rPr>
          <w:rFonts w:ascii="Times New Roman" w:hAnsi="Times New Roman"/>
          <w:color w:val="7E7E7E"/>
          <w:sz w:val="18"/>
        </w:rPr>
        <w:t>), </w:t>
      </w:r>
      <w:r>
        <w:rPr>
          <w:color w:val="6B6B6B"/>
          <w:sz w:val="18"/>
        </w:rPr>
        <w:t>Quadra </w:t>
      </w:r>
      <w:r>
        <w:rPr>
          <w:rFonts w:ascii="Times New Roman" w:hAnsi="Times New Roman"/>
          <w:color w:val="6B6B6B"/>
          <w:sz w:val="18"/>
        </w:rPr>
        <w:t>2, </w:t>
      </w:r>
      <w:r>
        <w:rPr>
          <w:rFonts w:ascii="Times New Roman" w:hAnsi="Times New Roman"/>
          <w:color w:val="565657"/>
          <w:sz w:val="18"/>
        </w:rPr>
        <w:t>s </w:t>
      </w:r>
      <w:r>
        <w:rPr>
          <w:rFonts w:ascii="Times New Roman" w:hAnsi="Times New Roman"/>
          <w:color w:val="7E7E7E"/>
          <w:sz w:val="18"/>
        </w:rPr>
        <w:t>loco </w:t>
      </w:r>
      <w:r>
        <w:rPr>
          <w:rFonts w:ascii="Times New Roman" w:hAnsi="Times New Roman"/>
          <w:color w:val="6B6B6B"/>
          <w:sz w:val="25"/>
        </w:rPr>
        <w:t>e </w:t>
      </w:r>
      <w:r>
        <w:rPr>
          <w:rFonts w:ascii="Times New Roman" w:hAnsi="Times New Roman"/>
          <w:color w:val="959595"/>
          <w:sz w:val="25"/>
        </w:rPr>
        <w:t>- </w:t>
      </w:r>
      <w:r>
        <w:rPr>
          <w:color w:val="6B6B6B"/>
          <w:sz w:val="18"/>
        </w:rPr>
        <w:t>Ed. </w:t>
      </w:r>
      <w:r>
        <w:rPr>
          <w:rFonts w:ascii="Times New Roman" w:hAnsi="Times New Roman"/>
          <w:color w:val="6B6B6B"/>
          <w:sz w:val="17"/>
        </w:rPr>
        <w:t>Secra </w:t>
      </w:r>
      <w:r>
        <w:rPr>
          <w:color w:val="6B6B6B"/>
          <w:sz w:val="18"/>
        </w:rPr>
        <w:t>oourada, Salas </w:t>
      </w:r>
      <w:r>
        <w:rPr>
          <w:rFonts w:ascii="Times New Roman" w:hAnsi="Times New Roman"/>
          <w:color w:val="6B6B6B"/>
          <w:sz w:val="17"/>
        </w:rPr>
        <w:t>401 </w:t>
      </w:r>
      <w:r>
        <w:rPr>
          <w:b/>
          <w:color w:val="7E7E7E"/>
          <w:sz w:val="19"/>
        </w:rPr>
        <w:t>a </w:t>
      </w:r>
      <w:r>
        <w:rPr>
          <w:rFonts w:ascii="Times New Roman" w:hAnsi="Times New Roman"/>
          <w:color w:val="7E7E7E"/>
          <w:sz w:val="17"/>
        </w:rPr>
        <w:t>409 </w:t>
      </w:r>
      <w:r>
        <w:rPr>
          <w:color w:val="7E7E7E"/>
          <w:sz w:val="15"/>
        </w:rPr>
        <w:t>ICE?: </w:t>
      </w:r>
      <w:r>
        <w:rPr>
          <w:rFonts w:ascii="Times New Roman" w:hAnsi="Times New Roman"/>
          <w:color w:val="6B6B6B"/>
          <w:sz w:val="17"/>
        </w:rPr>
        <w:t>70.300·902 </w:t>
      </w:r>
      <w:r>
        <w:rPr>
          <w:color w:val="6B6B6B"/>
          <w:sz w:val="18"/>
        </w:rPr>
        <w:t>Srasília</w:t>
      </w:r>
      <w:r>
        <w:rPr>
          <w:color w:val="959595"/>
          <w:sz w:val="18"/>
        </w:rPr>
        <w:t>/ </w:t>
      </w:r>
      <w:r>
        <w:rPr>
          <w:color w:val="6B6B6B"/>
          <w:sz w:val="18"/>
        </w:rPr>
        <w:t>Of </w:t>
      </w:r>
      <w:r>
        <w:rPr>
          <w:color w:val="7E7E7E"/>
          <w:sz w:val="22"/>
        </w:rPr>
        <w:t>I </w:t>
      </w:r>
      <w:r>
        <w:rPr>
          <w:rFonts w:ascii="Times New Roman" w:hAnsi="Times New Roman"/>
          <w:color w:val="7E7E7E"/>
          <w:sz w:val="18"/>
        </w:rPr>
        <w:t>Telefone: </w:t>
      </w:r>
      <w:r>
        <w:rPr>
          <w:rFonts w:ascii="Times New Roman" w:hAnsi="Times New Roman"/>
          <w:color w:val="7E7E7E"/>
          <w:sz w:val="17"/>
        </w:rPr>
        <w:t>{61) </w:t>
      </w:r>
      <w:r>
        <w:rPr>
          <w:rFonts w:ascii="Times New Roman" w:hAnsi="Times New Roman"/>
          <w:color w:val="6B6B6B"/>
          <w:sz w:val="17"/>
        </w:rPr>
        <w:t>3.204·9500</w:t>
      </w:r>
    </w:p>
    <w:p>
      <w:pPr>
        <w:spacing w:line="213" w:lineRule="exact" w:before="0"/>
        <w:ind w:left="753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65657"/>
            <w:sz w:val="20"/>
          </w:rPr>
          <w:t>www</w:t>
        </w:r>
        <w:r>
          <w:rPr>
            <w:rFonts w:ascii="Times New Roman"/>
            <w:b/>
            <w:color w:val="3B3B3D"/>
            <w:sz w:val="20"/>
          </w:rPr>
          <w:t>.ca</w:t>
        </w:r>
        <w:r>
          <w:rPr>
            <w:rFonts w:ascii="Times New Roman"/>
            <w:b/>
            <w:color w:val="565657"/>
            <w:sz w:val="20"/>
          </w:rPr>
          <w:t>u</w:t>
        </w:r>
        <w:r>
          <w:rPr>
            <w:rFonts w:ascii="Times New Roman"/>
            <w:b/>
            <w:color w:val="3B3B3D"/>
            <w:sz w:val="20"/>
          </w:rPr>
          <w:t>b</w:t>
        </w:r>
        <w:r>
          <w:rPr>
            <w:rFonts w:ascii="Times New Roman"/>
            <w:b/>
            <w:color w:val="565657"/>
            <w:sz w:val="20"/>
          </w:rPr>
          <w:t>r</w:t>
        </w:r>
        <w:r>
          <w:rPr>
            <w:rFonts w:ascii="Times New Roman"/>
            <w:b/>
            <w:color w:val="3B3B3D"/>
            <w:sz w:val="20"/>
          </w:rPr>
          <w:t>.</w:t>
        </w:r>
        <w:r>
          <w:rPr>
            <w:rFonts w:ascii="Times New Roman"/>
            <w:b/>
            <w:color w:val="565657"/>
            <w:sz w:val="20"/>
          </w:rPr>
          <w:t>g </w:t>
        </w:r>
      </w:hyperlink>
      <w:r>
        <w:rPr>
          <w:rFonts w:ascii="Times New Roman"/>
          <w:b/>
          <w:color w:val="3B3B3D"/>
          <w:sz w:val="20"/>
        </w:rPr>
        <w:t>ov.</w:t>
      </w:r>
      <w:r>
        <w:rPr>
          <w:rFonts w:ascii="Times New Roman"/>
          <w:b/>
          <w:color w:val="565657"/>
          <w:sz w:val="20"/>
        </w:rPr>
        <w:t>br</w:t>
      </w:r>
    </w:p>
    <w:sectPr>
      <w:type w:val="continuous"/>
      <w:pgSz w:w="11900" w:h="16840"/>
      <w:pgMar w:top="74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69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  <w:ind w:left="1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2019-05-15T19:30:47Z</dcterms:created>
  <dcterms:modified xsi:type="dcterms:W3CDTF">2019-05-15T19:30:47Z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