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713" w:val="left" w:leader="none"/>
        </w:tabs>
        <w:spacing w:line="20" w:lineRule="exact"/>
        <w:ind w:left="348" w:right="0" w:firstLine="0"/>
        <w:rPr>
          <w:rFonts w:ascii="Times New Roman"/>
          <w:sz w:val="2"/>
        </w:rPr>
      </w:pPr>
      <w:r>
        <w:rPr/>
        <w:pict>
          <v:group style="position:absolute;margin-left:81.704147pt;margin-top:49.981689pt;width:513.3pt;height:31pt;mso-position-horizontal-relative:page;mso-position-vertical-relative:page;z-index:1096" coordorigin="1634,1000" coordsize="10266,620">
            <v:shape style="position:absolute;left:1634;top:999;width:3134;height:620" type="#_x0000_t75" stroked="false">
              <v:imagedata r:id="rId5" o:title=""/>
            </v:shape>
            <v:line style="position:absolute" from="4768,1586" to="11900,1586" stroked="true" strokeweight="1.20148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634;top:999;width:10266;height:620" type="#_x0000_t202" filled="false" stroked="false">
              <v:textbox inset="0,0,0,0">
                <w:txbxContent>
                  <w:p>
                    <w:pPr>
                      <w:spacing w:line="172" w:lineRule="exact" w:before="90"/>
                      <w:ind w:left="334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D2D2D"/>
                        <w:w w:val="75"/>
                        <w:sz w:val="16"/>
                      </w:rPr>
                      <w:t>SERVIÇO PÚBLICO </w:t>
                    </w:r>
                    <w:r>
                      <w:rPr>
                        <w:color w:val="3F3F3F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18" w:lineRule="exact" w:before="0"/>
                      <w:ind w:left="333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D2D2D"/>
                        <w:w w:val="90"/>
                        <w:sz w:val="20"/>
                      </w:rPr>
                      <w:t>Conselho </w:t>
                    </w:r>
                    <w:r>
                      <w:rPr>
                        <w:color w:val="3F3F3F"/>
                        <w:w w:val="90"/>
                        <w:sz w:val="20"/>
                      </w:rPr>
                      <w:t>d</w:t>
                    </w:r>
                    <w:r>
                      <w:rPr>
                        <w:color w:val="151516"/>
                        <w:w w:val="90"/>
                        <w:sz w:val="20"/>
                      </w:rPr>
                      <w:t>e </w:t>
                    </w:r>
                    <w:r>
                      <w:rPr>
                        <w:color w:val="2D2D2D"/>
                        <w:w w:val="90"/>
                        <w:sz w:val="20"/>
                      </w:rPr>
                      <w:t>Arquitetura </w:t>
                    </w:r>
                    <w:r>
                      <w:rPr>
                        <w:color w:val="151516"/>
                        <w:w w:val="90"/>
                        <w:sz w:val="20"/>
                      </w:rPr>
                      <w:t>e </w:t>
                    </w:r>
                    <w:r>
                      <w:rPr>
                        <w:color w:val="3F3F3F"/>
                        <w:w w:val="90"/>
                        <w:sz w:val="20"/>
                      </w:rPr>
                      <w:t>Urb</w:t>
                    </w:r>
                    <w:r>
                      <w:rPr>
                        <w:color w:val="151516"/>
                        <w:w w:val="90"/>
                        <w:sz w:val="20"/>
                      </w:rPr>
                      <w:t>a</w:t>
                    </w:r>
                    <w:r>
                      <w:rPr>
                        <w:color w:val="3F3F3F"/>
                        <w:w w:val="90"/>
                        <w:sz w:val="20"/>
                      </w:rPr>
                      <w:t>nismo</w:t>
                    </w:r>
                    <w:r>
                      <w:rPr>
                        <w:color w:val="2D2D2D"/>
                        <w:w w:val="90"/>
                        <w:sz w:val="20"/>
                      </w:rPr>
                      <w:t>do Brasil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144" from="34.604099pt,806.434753pt" to="594.998260pt,806.434753pt" stroked="true" strokeweight=".961186pt" strokecolor="#000000">
            <v:stroke dashstyle="solid"/>
            <w10:wrap type="none"/>
          </v:line>
        </w:pict>
      </w:r>
      <w:r>
        <w:rPr>
          <w:rFonts w:ascii="Times New Roman"/>
          <w:sz w:val="2"/>
        </w:rPr>
        <w:pict>
          <v:group style="width:43.3pt;height:.75pt;mso-position-horizontal-relative:char;mso-position-vertical-relative:line" coordorigin="0,0" coordsize="866,15">
            <v:line style="position:absolute" from="0,7" to="865,7" stroked="true" strokeweight=".720889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3.3pt;height:.75pt;mso-position-horizontal-relative:char;mso-position-vertical-relative:line" coordorigin="0,0" coordsize="866,15">
            <v:line style="position:absolute" from="0,7" to="865,7" stroked="true" strokeweight=".720889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7"/>
        </w:rPr>
      </w:pPr>
    </w:p>
    <w:p>
      <w:pPr>
        <w:spacing w:before="95"/>
        <w:ind w:left="3758" w:right="0" w:firstLine="0"/>
        <w:jc w:val="left"/>
        <w:rPr>
          <w:sz w:val="19"/>
        </w:rPr>
      </w:pPr>
      <w:r>
        <w:rPr>
          <w:color w:val="2D2D2D"/>
          <w:w w:val="90"/>
          <w:sz w:val="19"/>
        </w:rPr>
        <w:t>Gerênc</w:t>
      </w:r>
      <w:r>
        <w:rPr>
          <w:color w:val="626264"/>
          <w:w w:val="90"/>
          <w:sz w:val="19"/>
        </w:rPr>
        <w:t>i</w:t>
      </w:r>
      <w:r>
        <w:rPr>
          <w:color w:val="2D2D2D"/>
          <w:w w:val="90"/>
          <w:sz w:val="19"/>
        </w:rPr>
        <w:t>a Geral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  <w:ind w:left="1768"/>
      </w:pPr>
      <w:r>
        <w:rPr>
          <w:color w:val="151516"/>
          <w:w w:val="105"/>
        </w:rPr>
        <w:t>PORTARIA GERÊNCIA GERAL Nº 23, DE 05 DE MARÇO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BodyText"/>
        <w:spacing w:line="249" w:lineRule="auto"/>
        <w:ind w:left="4716" w:right="303" w:firstLine="7"/>
        <w:jc w:val="both"/>
      </w:pPr>
      <w:r>
        <w:rPr>
          <w:color w:val="151516"/>
          <w:w w:val="105"/>
        </w:rPr>
        <w:t>Promove substituição temporária no Quadro de Pessoal Efetivo do CAU/BR, 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249" w:lineRule="auto" w:before="137"/>
        <w:ind w:left="441" w:right="308" w:firstLine="717"/>
        <w:jc w:val="both"/>
      </w:pPr>
      <w:r>
        <w:rPr>
          <w:color w:val="151516"/>
          <w:w w:val="105"/>
        </w:rPr>
        <w:t>O Gerente Geral do Conselho de Arquitetura e Urbanismo do Brasil (CAU/BR)</w:t>
      </w:r>
      <w:r>
        <w:rPr>
          <w:color w:val="3F3F3F"/>
          <w:w w:val="105"/>
        </w:rPr>
        <w:t>, </w:t>
      </w:r>
      <w:r>
        <w:rPr>
          <w:color w:val="151516"/>
          <w:w w:val="105"/>
        </w:rPr>
        <w:t>no uso das atribuições que lhe confere a Portaria PRES nº 55, de 21 de fevereiro de 2014, atendendo ao disposto na Portaria Normativa nº 33, de 17 de abril de 2015, combinada com a Portaria Normativa nº 48, de 11 de agosto de 2016, e tendo em vista o contido no Memorando nº 24/2018 - CSC de 16 de fevereiro de 2018.</w:t>
      </w:r>
    </w:p>
    <w:p>
      <w:pPr>
        <w:pStyle w:val="BodyText"/>
        <w:spacing w:before="5"/>
        <w:rPr>
          <w:sz w:val="22"/>
        </w:rPr>
      </w:pPr>
    </w:p>
    <w:p>
      <w:pPr>
        <w:pStyle w:val="Heading1"/>
        <w:ind w:left="437"/>
      </w:pPr>
      <w:r>
        <w:rPr>
          <w:color w:val="151516"/>
          <w:w w:val="105"/>
        </w:rPr>
        <w:t>RESOLVE:</w: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line="261" w:lineRule="auto"/>
        <w:ind w:left="437" w:right="369"/>
      </w:pPr>
      <w:r>
        <w:rPr>
          <w:b/>
          <w:color w:val="2D2D2D"/>
          <w:w w:val="105"/>
        </w:rPr>
        <w:t>Art. 1º. </w:t>
      </w:r>
      <w:r>
        <w:rPr>
          <w:color w:val="151516"/>
          <w:w w:val="105"/>
        </w:rPr>
        <w:t>Promover a seguinte substituição temporária no Quadro de Pessoal Efetivo do CAU/BR: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ind w:left="430"/>
      </w:pPr>
      <w:r>
        <w:rPr>
          <w:color w:val="151516"/>
          <w:w w:val="105"/>
        </w:rPr>
        <w:t>SUBSTITUÍDO:</w:t>
      </w:r>
    </w:p>
    <w:p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jc w:val="left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5"/>
      </w:tblGrid>
      <w:tr>
        <w:trPr>
          <w:trHeight w:val="292" w:hRule="atLeast"/>
        </w:trPr>
        <w:tc>
          <w:tcPr>
            <w:tcW w:w="9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rPr>
                <w:b/>
                <w:sz w:val="21"/>
              </w:rPr>
            </w:pPr>
            <w:r>
              <w:rPr>
                <w:color w:val="151516"/>
                <w:w w:val="105"/>
                <w:sz w:val="21"/>
              </w:rPr>
              <w:t>Nome: </w:t>
            </w:r>
            <w:r>
              <w:rPr>
                <w:b/>
                <w:color w:val="151516"/>
                <w:w w:val="105"/>
                <w:sz w:val="21"/>
              </w:rPr>
              <w:t>João Felipe Campos Villar</w:t>
            </w:r>
          </w:p>
        </w:tc>
      </w:tr>
      <w:tr>
        <w:trPr>
          <w:trHeight w:val="287" w:hRule="atLeast"/>
        </w:trPr>
        <w:tc>
          <w:tcPr>
            <w:tcW w:w="9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28"/>
              <w:ind w:left="122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Emprego: Emprego de Livre Provimento e Demissão - Coordenador de Geotecnologia</w:t>
            </w:r>
          </w:p>
        </w:tc>
      </w:tr>
      <w:tr>
        <w:trPr>
          <w:trHeight w:val="292" w:hRule="atLeast"/>
        </w:trPr>
        <w:tc>
          <w:tcPr>
            <w:tcW w:w="9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Lotação: Gerência do Centro de Serviços Compartilhados</w:t>
            </w:r>
          </w:p>
        </w:tc>
      </w:tr>
      <w:tr>
        <w:trPr>
          <w:trHeight w:val="297" w:hRule="atLeast"/>
        </w:trPr>
        <w:tc>
          <w:tcPr>
            <w:tcW w:w="9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/>
              <w:ind w:left="114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Salário: R$ 11.741,83</w:t>
            </w:r>
          </w:p>
        </w:tc>
      </w:tr>
      <w:tr>
        <w:trPr>
          <w:trHeight w:val="292" w:hRule="atLeast"/>
        </w:trPr>
        <w:tc>
          <w:tcPr>
            <w:tcW w:w="96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3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Período de Afastamento: 05/03/2018 a 16/03/2018</w:t>
            </w:r>
          </w:p>
        </w:tc>
      </w:tr>
    </w:tbl>
    <w:p>
      <w:pPr>
        <w:pStyle w:val="BodyText"/>
        <w:spacing w:before="11"/>
        <w:rPr>
          <w:b/>
          <w:sz w:val="22"/>
        </w:rPr>
      </w:pPr>
    </w:p>
    <w:p>
      <w:pPr>
        <w:spacing w:before="0"/>
        <w:ind w:left="425" w:right="0" w:firstLine="0"/>
        <w:jc w:val="left"/>
        <w:rPr>
          <w:b/>
          <w:sz w:val="21"/>
        </w:rPr>
      </w:pPr>
      <w:r>
        <w:rPr>
          <w:b/>
          <w:color w:val="151516"/>
          <w:w w:val="105"/>
          <w:sz w:val="21"/>
        </w:rPr>
        <w:t>SUBSTITUTO:</w:t>
      </w:r>
    </w:p>
    <w:p>
      <w:pPr>
        <w:pStyle w:val="BodyText"/>
        <w:spacing w:before="1"/>
        <w:rPr>
          <w:b/>
          <w:sz w:val="9"/>
        </w:rPr>
      </w:pPr>
    </w:p>
    <w:tbl>
      <w:tblPr>
        <w:tblW w:w="0" w:type="auto"/>
        <w:jc w:val="left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41"/>
      </w:tblGrid>
      <w:tr>
        <w:trPr>
          <w:trHeight w:val="254" w:hRule="atLeast"/>
        </w:trPr>
        <w:tc>
          <w:tcPr>
            <w:tcW w:w="96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15" w:lineRule="exact" w:before="19"/>
              <w:ind w:left="128"/>
              <w:rPr>
                <w:b/>
                <w:sz w:val="21"/>
              </w:rPr>
            </w:pPr>
            <w:r>
              <w:rPr>
                <w:color w:val="151516"/>
                <w:w w:val="105"/>
                <w:sz w:val="21"/>
              </w:rPr>
              <w:t>Nome: </w:t>
            </w:r>
            <w:r>
              <w:rPr>
                <w:b/>
                <w:color w:val="151516"/>
                <w:w w:val="105"/>
                <w:sz w:val="21"/>
              </w:rPr>
              <w:t>Renato Viana de Souza</w:t>
            </w:r>
          </w:p>
        </w:tc>
      </w:tr>
      <w:tr>
        <w:trPr>
          <w:trHeight w:val="292" w:hRule="atLeast"/>
        </w:trPr>
        <w:tc>
          <w:tcPr>
            <w:tcW w:w="9641" w:type="dxa"/>
            <w:tcBorders>
              <w:top w:val="single" w:sz="8" w:space="0" w:color="000000"/>
            </w:tcBorders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Emprego: Profissional Analista Técnico </w:t>
            </w:r>
            <w:r>
              <w:rPr>
                <w:w w:val="105"/>
                <w:sz w:val="21"/>
              </w:rPr>
              <w:t>- </w:t>
            </w:r>
            <w:r>
              <w:rPr>
                <w:color w:val="151516"/>
                <w:w w:val="105"/>
                <w:sz w:val="21"/>
              </w:rPr>
              <w:t>Ocupação: Analista Técnico</w:t>
            </w:r>
          </w:p>
        </w:tc>
      </w:tr>
      <w:tr>
        <w:trPr>
          <w:trHeight w:val="297" w:hRule="atLeast"/>
        </w:trPr>
        <w:tc>
          <w:tcPr>
            <w:tcW w:w="9641" w:type="dxa"/>
          </w:tcPr>
          <w:p>
            <w:pPr>
              <w:pStyle w:val="TableParagraph"/>
              <w:spacing w:before="43"/>
              <w:ind w:left="123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Lotação: Gerência do Centro de Serviços Compartilhados</w:t>
            </w:r>
          </w:p>
        </w:tc>
      </w:tr>
      <w:tr>
        <w:trPr>
          <w:trHeight w:val="249" w:hRule="atLeast"/>
        </w:trPr>
        <w:tc>
          <w:tcPr>
            <w:tcW w:w="9641" w:type="dxa"/>
          </w:tcPr>
          <w:p>
            <w:pPr>
              <w:pStyle w:val="TableParagraph"/>
              <w:spacing w:line="215" w:lineRule="exact" w:before="14"/>
              <w:ind w:left="122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Período de substituição: 05/03/2018 a 16/03/2018</w:t>
            </w:r>
          </w:p>
        </w:tc>
      </w:tr>
      <w:tr>
        <w:trPr>
          <w:trHeight w:val="278" w:hRule="atLeast"/>
        </w:trPr>
        <w:tc>
          <w:tcPr>
            <w:tcW w:w="9641" w:type="dxa"/>
          </w:tcPr>
          <w:p>
            <w:pPr>
              <w:pStyle w:val="TableParagraph"/>
              <w:spacing w:before="24"/>
              <w:ind w:left="122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58" w:hRule="atLeast"/>
        </w:trPr>
        <w:tc>
          <w:tcPr>
            <w:tcW w:w="9641" w:type="dxa"/>
          </w:tcPr>
          <w:p>
            <w:pPr>
              <w:pStyle w:val="TableParagraph"/>
              <w:spacing w:line="240" w:lineRule="auto" w:before="18"/>
              <w:ind w:left="120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[ </w:t>
            </w:r>
            <w:r>
              <w:rPr>
                <w:b/>
                <w:color w:val="151516"/>
                <w:w w:val="105"/>
                <w:sz w:val="21"/>
              </w:rPr>
              <w:t>X </w:t>
            </w:r>
            <w:r>
              <w:rPr>
                <w:color w:val="2D2D2D"/>
                <w:w w:val="105"/>
                <w:position w:val="1"/>
                <w:sz w:val="21"/>
              </w:rPr>
              <w:t>] </w:t>
            </w:r>
            <w:r>
              <w:rPr>
                <w:color w:val="151516"/>
                <w:w w:val="105"/>
                <w:position w:val="1"/>
                <w:sz w:val="21"/>
              </w:rPr>
              <w:t>Remuneração correspondente ao emprego objeto da substituição</w:t>
            </w:r>
          </w:p>
          <w:p>
            <w:pPr>
              <w:pStyle w:val="TableParagraph"/>
              <w:spacing w:line="240" w:lineRule="auto" w:before="4"/>
              <w:ind w:left="121"/>
              <w:rPr>
                <w:sz w:val="21"/>
              </w:rPr>
            </w:pPr>
            <w:r>
              <w:rPr>
                <w:color w:val="151516"/>
                <w:w w:val="105"/>
                <w:sz w:val="21"/>
              </w:rPr>
              <w:t>(Portaria Normativa nº 48, de 11/08/2016, art. 3º e Portaria Normativa nº 33, de 17/04/2015, art.</w:t>
            </w:r>
          </w:p>
          <w:p>
            <w:pPr>
              <w:pStyle w:val="TableParagraph"/>
              <w:spacing w:line="206" w:lineRule="exact" w:before="18"/>
              <w:ind w:left="115"/>
              <w:rPr>
                <w:sz w:val="19"/>
              </w:rPr>
            </w:pPr>
            <w:r>
              <w:rPr>
                <w:color w:val="151516"/>
                <w:w w:val="110"/>
                <w:sz w:val="21"/>
              </w:rPr>
              <w:t>3°, inciso </w:t>
            </w:r>
            <w:r>
              <w:rPr>
                <w:color w:val="2D2D2D"/>
                <w:w w:val="110"/>
                <w:sz w:val="19"/>
              </w:rPr>
              <w:t>li).</w:t>
            </w:r>
          </w:p>
        </w:tc>
      </w:tr>
      <w:tr>
        <w:trPr>
          <w:trHeight w:val="768" w:hRule="atLeast"/>
        </w:trPr>
        <w:tc>
          <w:tcPr>
            <w:tcW w:w="9641" w:type="dxa"/>
          </w:tcPr>
          <w:p>
            <w:pPr>
              <w:pStyle w:val="TableParagraph"/>
              <w:tabs>
                <w:tab w:pos="668" w:val="left" w:leader="none"/>
              </w:tabs>
              <w:spacing w:line="264" w:lineRule="exact" w:before="15"/>
              <w:ind w:left="110"/>
              <w:rPr>
                <w:sz w:val="21"/>
              </w:rPr>
            </w:pPr>
            <w:r>
              <w:rPr>
                <w:rFonts w:ascii="Times New Roman" w:hAnsi="Times New Roman"/>
                <w:color w:val="151516"/>
                <w:w w:val="105"/>
                <w:sz w:val="23"/>
              </w:rPr>
              <w:t>[</w:t>
              <w:tab/>
            </w:r>
            <w:r>
              <w:rPr>
                <w:color w:val="151516"/>
                <w:w w:val="105"/>
                <w:position w:val="1"/>
                <w:sz w:val="21"/>
              </w:rPr>
              <w:t>] Gratificação de 30% (trinta por cento) do salário base do</w:t>
            </w:r>
            <w:r>
              <w:rPr>
                <w:color w:val="151516"/>
                <w:spacing w:val="40"/>
                <w:w w:val="105"/>
                <w:position w:val="1"/>
                <w:sz w:val="21"/>
              </w:rPr>
              <w:t> </w:t>
            </w:r>
            <w:r>
              <w:rPr>
                <w:color w:val="151516"/>
                <w:w w:val="105"/>
                <w:position w:val="1"/>
                <w:sz w:val="21"/>
              </w:rPr>
              <w:t>substituído</w:t>
            </w:r>
          </w:p>
          <w:p>
            <w:pPr>
              <w:pStyle w:val="TableParagraph"/>
              <w:spacing w:line="241" w:lineRule="exact" w:before="0"/>
              <w:ind w:left="116"/>
              <w:rPr>
                <w:sz w:val="21"/>
              </w:rPr>
            </w:pPr>
            <w:r>
              <w:rPr>
                <w:color w:val="2D2D2D"/>
                <w:w w:val="105"/>
                <w:sz w:val="21"/>
              </w:rPr>
              <w:t>(Portaria </w:t>
            </w:r>
            <w:r>
              <w:rPr>
                <w:color w:val="151516"/>
                <w:w w:val="105"/>
                <w:sz w:val="21"/>
              </w:rPr>
              <w:t>Normativa nº 48, de 11/08/2016, art. 3º e Portaria Normativa nº 33</w:t>
            </w:r>
            <w:r>
              <w:rPr>
                <w:color w:val="3F3F3F"/>
                <w:w w:val="105"/>
                <w:sz w:val="21"/>
              </w:rPr>
              <w:t>, </w:t>
            </w:r>
            <w:r>
              <w:rPr>
                <w:color w:val="151516"/>
                <w:w w:val="105"/>
                <w:sz w:val="21"/>
              </w:rPr>
              <w:t>de 17/04/2015, art.</w:t>
            </w:r>
          </w:p>
          <w:p>
            <w:pPr>
              <w:pStyle w:val="TableParagraph"/>
              <w:spacing w:line="210" w:lineRule="exact" w:before="19"/>
              <w:ind w:left="115"/>
              <w:rPr>
                <w:sz w:val="20"/>
              </w:rPr>
            </w:pPr>
            <w:r>
              <w:rPr>
                <w:color w:val="151516"/>
                <w:sz w:val="21"/>
              </w:rPr>
              <w:t>3°, </w:t>
            </w:r>
            <w:r>
              <w:rPr>
                <w:color w:val="2D2D2D"/>
                <w:sz w:val="21"/>
              </w:rPr>
              <w:t>inciso </w:t>
            </w:r>
            <w:r>
              <w:rPr>
                <w:color w:val="2D2D2D"/>
                <w:sz w:val="20"/>
              </w:rPr>
              <w:t>1).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150"/>
        <w:ind w:left="409"/>
      </w:pPr>
      <w:r>
        <w:rPr/>
        <w:drawing>
          <wp:anchor distT="0" distB="0" distL="0" distR="0" allowOverlap="1" layoutInCell="1" locked="0" behindDoc="1" simplePos="0" relativeHeight="268431575">
            <wp:simplePos x="0" y="0"/>
            <wp:positionH relativeFrom="page">
              <wp:posOffset>2905399</wp:posOffset>
            </wp:positionH>
            <wp:positionV relativeFrom="paragraph">
              <wp:posOffset>3655</wp:posOffset>
            </wp:positionV>
            <wp:extent cx="2136322" cy="1889042"/>
            <wp:effectExtent l="0" t="0" r="0" b="0"/>
            <wp:wrapNone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322" cy="1889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2D2D"/>
          <w:w w:val="105"/>
        </w:rPr>
        <w:t>Art. </w:t>
      </w:r>
      <w:r>
        <w:rPr>
          <w:b/>
          <w:color w:val="151516"/>
          <w:w w:val="105"/>
        </w:rPr>
        <w:t>2º. </w:t>
      </w:r>
      <w:r>
        <w:rPr>
          <w:color w:val="151516"/>
          <w:w w:val="105"/>
        </w:rPr>
        <w:t>Esta Portaria entra em vigor nesta data.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86" w:lineRule="exact" w:before="141"/>
        <w:ind w:left="117" w:right="0" w:firstLine="0"/>
        <w:jc w:val="left"/>
        <w:rPr>
          <w:sz w:val="17"/>
        </w:rPr>
      </w:pPr>
      <w:r>
        <w:rPr>
          <w:rFonts w:ascii="Times New Roman" w:hAnsi="Times New Roman"/>
          <w:color w:val="626264"/>
          <w:sz w:val="17"/>
        </w:rPr>
        <w:t>setor</w:t>
      </w:r>
      <w:r>
        <w:rPr>
          <w:rFonts w:ascii="Times New Roman" w:hAnsi="Times New Roman"/>
          <w:color w:val="626264"/>
          <w:spacing w:val="-4"/>
          <w:sz w:val="17"/>
        </w:rPr>
        <w:t> </w:t>
      </w:r>
      <w:r>
        <w:rPr>
          <w:rFonts w:ascii="Times New Roman" w:hAnsi="Times New Roman"/>
          <w:color w:val="626264"/>
          <w:sz w:val="17"/>
        </w:rPr>
        <w:t>comercial</w:t>
      </w:r>
      <w:r>
        <w:rPr>
          <w:rFonts w:ascii="Times New Roman" w:hAnsi="Times New Roman"/>
          <w:color w:val="626264"/>
          <w:spacing w:val="-6"/>
          <w:sz w:val="17"/>
        </w:rPr>
        <w:t> </w:t>
      </w:r>
      <w:r>
        <w:rPr>
          <w:rFonts w:ascii="Times New Roman" w:hAnsi="Times New Roman"/>
          <w:color w:val="626264"/>
          <w:sz w:val="17"/>
        </w:rPr>
        <w:t>Sol</w:t>
      </w:r>
      <w:r>
        <w:rPr>
          <w:rFonts w:ascii="Times New Roman" w:hAnsi="Times New Roman"/>
          <w:color w:val="626264"/>
          <w:spacing w:val="-7"/>
          <w:sz w:val="17"/>
        </w:rPr>
        <w:t> </w:t>
      </w:r>
      <w:r>
        <w:rPr>
          <w:rFonts w:ascii="Times New Roman" w:hAnsi="Times New Roman"/>
          <w:color w:val="747475"/>
          <w:sz w:val="17"/>
        </w:rPr>
        <w:t>(SCS),</w:t>
      </w:r>
      <w:r>
        <w:rPr>
          <w:rFonts w:ascii="Times New Roman" w:hAnsi="Times New Roman"/>
          <w:color w:val="747475"/>
          <w:spacing w:val="-10"/>
          <w:sz w:val="17"/>
        </w:rPr>
        <w:t> </w:t>
      </w:r>
      <w:r>
        <w:rPr>
          <w:color w:val="626264"/>
          <w:sz w:val="17"/>
        </w:rPr>
        <w:t>Quadra</w:t>
      </w:r>
      <w:r>
        <w:rPr>
          <w:color w:val="626264"/>
          <w:spacing w:val="-12"/>
          <w:sz w:val="17"/>
        </w:rPr>
        <w:t> </w:t>
      </w:r>
      <w:r>
        <w:rPr>
          <w:rFonts w:ascii="Times New Roman" w:hAnsi="Times New Roman"/>
          <w:color w:val="747475"/>
          <w:sz w:val="17"/>
        </w:rPr>
        <w:t>2,</w:t>
      </w:r>
      <w:r>
        <w:rPr>
          <w:rFonts w:ascii="Times New Roman" w:hAnsi="Times New Roman"/>
          <w:color w:val="747475"/>
          <w:spacing w:val="-18"/>
          <w:sz w:val="17"/>
        </w:rPr>
        <w:t> </w:t>
      </w:r>
      <w:r>
        <w:rPr>
          <w:rFonts w:ascii="Times New Roman" w:hAnsi="Times New Roman"/>
          <w:color w:val="626264"/>
          <w:sz w:val="17"/>
        </w:rPr>
        <w:t>Sloco</w:t>
      </w:r>
      <w:r>
        <w:rPr>
          <w:rFonts w:ascii="Times New Roman" w:hAnsi="Times New Roman"/>
          <w:color w:val="626264"/>
          <w:spacing w:val="-13"/>
          <w:sz w:val="17"/>
        </w:rPr>
        <w:t> </w:t>
      </w:r>
      <w:r>
        <w:rPr>
          <w:rFonts w:ascii="Times New Roman" w:hAnsi="Times New Roman"/>
          <w:color w:val="626264"/>
          <w:sz w:val="26"/>
        </w:rPr>
        <w:t>e</w:t>
      </w:r>
      <w:r>
        <w:rPr>
          <w:rFonts w:ascii="Times New Roman" w:hAnsi="Times New Roman"/>
          <w:color w:val="626264"/>
          <w:spacing w:val="-36"/>
          <w:sz w:val="26"/>
        </w:rPr>
        <w:t> </w:t>
      </w:r>
      <w:r>
        <w:rPr>
          <w:rFonts w:ascii="Times New Roman" w:hAnsi="Times New Roman"/>
          <w:color w:val="8C8C8E"/>
          <w:sz w:val="26"/>
        </w:rPr>
        <w:t>-</w:t>
      </w:r>
      <w:r>
        <w:rPr>
          <w:rFonts w:ascii="Times New Roman" w:hAnsi="Times New Roman"/>
          <w:color w:val="8C8C8E"/>
          <w:spacing w:val="-50"/>
          <w:sz w:val="26"/>
        </w:rPr>
        <w:t> </w:t>
      </w:r>
      <w:r>
        <w:rPr>
          <w:rFonts w:ascii="Times New Roman" w:hAnsi="Times New Roman"/>
          <w:color w:val="747475"/>
          <w:sz w:val="17"/>
        </w:rPr>
        <w:t>!:d.</w:t>
      </w:r>
      <w:r>
        <w:rPr>
          <w:rFonts w:ascii="Times New Roman" w:hAnsi="Times New Roman"/>
          <w:color w:val="747475"/>
          <w:spacing w:val="-18"/>
          <w:sz w:val="17"/>
        </w:rPr>
        <w:t> </w:t>
      </w:r>
      <w:r>
        <w:rPr>
          <w:color w:val="626264"/>
          <w:sz w:val="17"/>
        </w:rPr>
        <w:t>semi</w:t>
      </w:r>
      <w:r>
        <w:rPr>
          <w:color w:val="626264"/>
          <w:spacing w:val="-22"/>
          <w:sz w:val="17"/>
        </w:rPr>
        <w:t> </w:t>
      </w:r>
      <w:r>
        <w:rPr>
          <w:color w:val="626264"/>
          <w:sz w:val="17"/>
        </w:rPr>
        <w:t>oourada,</w:t>
      </w:r>
      <w:r>
        <w:rPr>
          <w:color w:val="626264"/>
          <w:spacing w:val="-16"/>
          <w:sz w:val="17"/>
        </w:rPr>
        <w:t> </w:t>
      </w:r>
      <w:r>
        <w:rPr>
          <w:color w:val="626264"/>
          <w:sz w:val="17"/>
        </w:rPr>
        <w:t>Salas</w:t>
      </w:r>
      <w:r>
        <w:rPr>
          <w:color w:val="626264"/>
          <w:spacing w:val="-14"/>
          <w:sz w:val="17"/>
        </w:rPr>
        <w:t> </w:t>
      </w:r>
      <w:r>
        <w:rPr>
          <w:rFonts w:ascii="Times New Roman" w:hAnsi="Times New Roman"/>
          <w:color w:val="747475"/>
          <w:sz w:val="17"/>
        </w:rPr>
        <w:t>401</w:t>
      </w:r>
      <w:r>
        <w:rPr>
          <w:rFonts w:ascii="Times New Roman" w:hAnsi="Times New Roman"/>
          <w:color w:val="747475"/>
          <w:spacing w:val="-19"/>
          <w:sz w:val="17"/>
        </w:rPr>
        <w:t> </w:t>
      </w:r>
      <w:r>
        <w:rPr>
          <w:b/>
          <w:color w:val="747475"/>
          <w:sz w:val="18"/>
        </w:rPr>
        <w:t>a</w:t>
      </w:r>
      <w:r>
        <w:rPr>
          <w:b/>
          <w:color w:val="747475"/>
          <w:spacing w:val="-17"/>
          <w:sz w:val="18"/>
        </w:rPr>
        <w:t> </w:t>
      </w:r>
      <w:r>
        <w:rPr>
          <w:color w:val="626264"/>
          <w:spacing w:val="3"/>
          <w:sz w:val="17"/>
        </w:rPr>
        <w:t>409</w:t>
      </w:r>
      <w:r>
        <w:rPr>
          <w:color w:val="8C8C8E"/>
          <w:spacing w:val="3"/>
          <w:sz w:val="17"/>
        </w:rPr>
        <w:t>1</w:t>
      </w:r>
      <w:r>
        <w:rPr>
          <w:color w:val="8C8C8E"/>
          <w:spacing w:val="-24"/>
          <w:sz w:val="17"/>
        </w:rPr>
        <w:t> </w:t>
      </w:r>
      <w:r>
        <w:rPr>
          <w:rFonts w:ascii="Times New Roman" w:hAnsi="Times New Roman"/>
          <w:color w:val="626264"/>
          <w:sz w:val="17"/>
        </w:rPr>
        <w:t>Cf?:</w:t>
      </w:r>
      <w:r>
        <w:rPr>
          <w:rFonts w:ascii="Times New Roman" w:hAnsi="Times New Roman"/>
          <w:color w:val="626264"/>
          <w:spacing w:val="-14"/>
          <w:sz w:val="17"/>
        </w:rPr>
        <w:t> </w:t>
      </w:r>
      <w:r>
        <w:rPr>
          <w:color w:val="747475"/>
          <w:spacing w:val="-4"/>
          <w:sz w:val="17"/>
        </w:rPr>
        <w:t>70.300</w:t>
      </w:r>
      <w:r>
        <w:rPr>
          <w:color w:val="8C8C8E"/>
          <w:spacing w:val="-4"/>
          <w:sz w:val="17"/>
        </w:rPr>
        <w:t>·</w:t>
      </w:r>
      <w:r>
        <w:rPr>
          <w:color w:val="626264"/>
          <w:spacing w:val="-4"/>
          <w:sz w:val="17"/>
        </w:rPr>
        <w:t>902</w:t>
      </w:r>
      <w:r>
        <w:rPr>
          <w:color w:val="626264"/>
          <w:spacing w:val="-33"/>
          <w:sz w:val="17"/>
        </w:rPr>
        <w:t> </w:t>
      </w:r>
      <w:r>
        <w:rPr>
          <w:color w:val="626264"/>
          <w:sz w:val="17"/>
        </w:rPr>
        <w:t>sraslli</w:t>
      </w:r>
      <w:r>
        <w:rPr>
          <w:color w:val="626264"/>
          <w:spacing w:val="-24"/>
          <w:sz w:val="17"/>
        </w:rPr>
        <w:t> </w:t>
      </w:r>
      <w:r>
        <w:rPr>
          <w:color w:val="626264"/>
          <w:sz w:val="17"/>
        </w:rPr>
        <w:t>a</w:t>
      </w:r>
      <w:r>
        <w:rPr>
          <w:color w:val="8C8C8E"/>
          <w:sz w:val="17"/>
        </w:rPr>
        <w:t>/</w:t>
      </w:r>
      <w:r>
        <w:rPr>
          <w:color w:val="8C8C8E"/>
          <w:spacing w:val="-17"/>
          <w:sz w:val="17"/>
        </w:rPr>
        <w:t> </w:t>
      </w:r>
      <w:r>
        <w:rPr>
          <w:color w:val="747475"/>
          <w:spacing w:val="3"/>
          <w:sz w:val="17"/>
        </w:rPr>
        <w:t>OF</w:t>
      </w:r>
      <w:r>
        <w:rPr>
          <w:color w:val="8C8C8E"/>
          <w:spacing w:val="3"/>
          <w:sz w:val="23"/>
        </w:rPr>
        <w:t>I</w:t>
      </w:r>
      <w:r>
        <w:rPr>
          <w:color w:val="8C8C8E"/>
          <w:spacing w:val="-26"/>
          <w:sz w:val="23"/>
        </w:rPr>
        <w:t> </w:t>
      </w:r>
      <w:r>
        <w:rPr>
          <w:color w:val="747475"/>
          <w:sz w:val="17"/>
        </w:rPr>
        <w:t>Telefone:</w:t>
      </w:r>
      <w:r>
        <w:rPr>
          <w:color w:val="747475"/>
          <w:spacing w:val="-7"/>
          <w:sz w:val="17"/>
        </w:rPr>
        <w:t> </w:t>
      </w:r>
      <w:r>
        <w:rPr>
          <w:rFonts w:ascii="Times New Roman" w:hAnsi="Times New Roman"/>
          <w:color w:val="747475"/>
          <w:sz w:val="17"/>
        </w:rPr>
        <w:t>(61)</w:t>
      </w:r>
      <w:r>
        <w:rPr>
          <w:rFonts w:ascii="Times New Roman" w:hAnsi="Times New Roman"/>
          <w:color w:val="747475"/>
          <w:spacing w:val="-6"/>
          <w:sz w:val="17"/>
        </w:rPr>
        <w:t> </w:t>
      </w:r>
      <w:r>
        <w:rPr>
          <w:color w:val="626264"/>
          <w:sz w:val="17"/>
        </w:rPr>
        <w:t>3204·9S00</w:t>
      </w:r>
    </w:p>
    <w:p>
      <w:pPr>
        <w:spacing w:line="217" w:lineRule="exact" w:before="0"/>
        <w:ind w:left="119" w:right="0" w:firstLine="0"/>
        <w:jc w:val="left"/>
        <w:rPr>
          <w:rFonts w:ascii="Times New Roman"/>
          <w:b/>
          <w:sz w:val="20"/>
        </w:rPr>
      </w:pPr>
      <w:hyperlink r:id="rId7">
        <w:r>
          <w:rPr>
            <w:rFonts w:ascii="Times New Roman"/>
            <w:b/>
            <w:color w:val="626264"/>
            <w:sz w:val="20"/>
          </w:rPr>
          <w:t>www</w:t>
        </w:r>
        <w:r>
          <w:rPr>
            <w:rFonts w:ascii="Times New Roman"/>
            <w:b/>
            <w:color w:val="3F3F3F"/>
            <w:sz w:val="20"/>
          </w:rPr>
          <w:t>.c</w:t>
        </w:r>
        <w:r>
          <w:rPr>
            <w:rFonts w:ascii="Times New Roman"/>
            <w:b/>
            <w:color w:val="626264"/>
            <w:sz w:val="20"/>
          </w:rPr>
          <w:t>aubr.g</w:t>
        </w:r>
        <w:r>
          <w:rPr>
            <w:rFonts w:ascii="Times New Roman"/>
            <w:b/>
            <w:color w:val="3F3F3F"/>
            <w:sz w:val="20"/>
          </w:rPr>
          <w:t>o</w:t>
        </w:r>
        <w:r>
          <w:rPr>
            <w:rFonts w:ascii="Times New Roman"/>
            <w:b/>
            <w:color w:val="626264"/>
            <w:sz w:val="20"/>
          </w:rPr>
          <w:t>v</w:t>
        </w:r>
        <w:r>
          <w:rPr>
            <w:rFonts w:ascii="Times New Roman"/>
            <w:b/>
            <w:color w:val="3F3F3F"/>
            <w:sz w:val="20"/>
          </w:rPr>
          <w:t>.</w:t>
        </w:r>
        <w:r>
          <w:rPr>
            <w:rFonts w:ascii="Times New Roman"/>
            <w:b/>
            <w:color w:val="626264"/>
            <w:sz w:val="20"/>
          </w:rPr>
          <w:t>br</w:t>
        </w:r>
      </w:hyperlink>
    </w:p>
    <w:sectPr>
      <w:type w:val="continuous"/>
      <w:pgSz w:w="11900" w:h="16840"/>
      <w:pgMar w:top="340" w:bottom="0" w:left="12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425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8" w:line="234" w:lineRule="exact"/>
      <w:ind w:left="11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2019-05-15T19:31:07Z</dcterms:created>
  <dcterms:modified xsi:type="dcterms:W3CDTF">2019-05-15T19:31:07Z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2018-03-07T00:00:00Z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