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0" w:lineRule="exact"/>
        <w:ind w:left="5412"/>
        <w:rPr>
          <w:rFonts w:ascii="Times New Roman"/>
          <w:sz w:val="2"/>
        </w:rPr>
      </w:pPr>
      <w:r>
        <w:rPr/>
        <w:pict>
          <v:group style="position:absolute;margin-left:13.713202pt;margin-top:30.291805pt;width:574.550pt;height:39.7pt;mso-position-horizontal-relative:page;mso-position-vertical-relative:page;z-index:-3304" coordorigin="274,606" coordsize="11491,794">
            <v:shape style="position:absolute;left:1162;top:605;width:3097;height:794" type="#_x0000_t75" stroked="false">
              <v:imagedata r:id="rId5" o:title=""/>
            </v:shape>
            <v:shape style="position:absolute;left:273;top:15635;width:11463;height:8" coordorigin="274,15635" coordsize="11463,8" path="m4258,1204l11764,1204m274,1197l1169,1197e" filled="false" stroked="true" strokeweight="1.082235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274;top:605;width:11491;height:794" type="#_x0000_t202" filled="false" stroked="false">
              <v:textbox inset="0,0,0,0">
                <w:txbxContent>
                  <w:p>
                    <w:pPr>
                      <w:spacing w:line="172" w:lineRule="exact" w:before="109"/>
                      <w:ind w:left="2149" w:right="3701" w:firstLine="0"/>
                      <w:jc w:val="center"/>
                      <w:rPr>
                        <w:sz w:val="16"/>
                      </w:rPr>
                    </w:pPr>
                    <w:r>
                      <w:rPr>
                        <w:color w:val="707C79"/>
                        <w:w w:val="75"/>
                        <w:sz w:val="16"/>
                      </w:rPr>
                      <w:t>SERVIÇO</w:t>
                    </w:r>
                    <w:r>
                      <w:rPr>
                        <w:color w:val="707C79"/>
                        <w:spacing w:val="33"/>
                        <w:w w:val="75"/>
                        <w:sz w:val="16"/>
                      </w:rPr>
                      <w:t> </w:t>
                    </w:r>
                    <w:r>
                      <w:rPr>
                        <w:color w:val="707C79"/>
                        <w:w w:val="75"/>
                        <w:sz w:val="16"/>
                      </w:rPr>
                      <w:t>PÚBLICO</w:t>
                    </w:r>
                    <w:r>
                      <w:rPr>
                        <w:color w:val="707C79"/>
                        <w:spacing w:val="-5"/>
                        <w:w w:val="75"/>
                        <w:sz w:val="16"/>
                      </w:rPr>
                      <w:t> </w:t>
                    </w:r>
                    <w:r>
                      <w:rPr>
                        <w:color w:val="707C79"/>
                        <w:w w:val="75"/>
                        <w:sz w:val="16"/>
                      </w:rPr>
                      <w:t>FEDERAL</w:t>
                    </w:r>
                  </w:p>
                  <w:p>
                    <w:pPr>
                      <w:spacing w:line="206" w:lineRule="exact" w:before="0"/>
                      <w:ind w:left="3977" w:right="3701" w:firstLine="0"/>
                      <w:jc w:val="center"/>
                      <w:rPr>
                        <w:sz w:val="19"/>
                      </w:rPr>
                    </w:pPr>
                    <w:r>
                      <w:rPr>
                        <w:color w:val="707C79"/>
                        <w:w w:val="95"/>
                        <w:sz w:val="19"/>
                      </w:rPr>
                      <w:t>Conselho de Arquitetura e </w:t>
                    </w:r>
                    <w:r>
                      <w:rPr>
                        <w:color w:val="5D6967"/>
                        <w:w w:val="95"/>
                        <w:sz w:val="19"/>
                      </w:rPr>
                      <w:t>Urbanismo </w:t>
                    </w:r>
                    <w:r>
                      <w:rPr>
                        <w:color w:val="707C79"/>
                        <w:w w:val="95"/>
                        <w:sz w:val="19"/>
                      </w:rPr>
                      <w:t>do </w:t>
                    </w:r>
                    <w:r>
                      <w:rPr>
                        <w:color w:val="5D6967"/>
                        <w:w w:val="95"/>
                        <w:sz w:val="19"/>
                      </w:rPr>
                      <w:t>B</w:t>
                    </w:r>
                    <w:r>
                      <w:rPr>
                        <w:color w:val="484848"/>
                        <w:w w:val="95"/>
                        <w:sz w:val="19"/>
                      </w:rPr>
                      <w:t>r</w:t>
                    </w:r>
                    <w:r>
                      <w:rPr>
                        <w:color w:val="707C79"/>
                        <w:w w:val="95"/>
                        <w:sz w:val="19"/>
                      </w:rPr>
                      <w:t>asil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line style="position:absolute;mso-position-horizontal-relative:page;mso-position-vertical-relative:page;z-index:1168" from="0pt,115.200015pt" to="0pt,.000015pt" stroked="true" strokeweight="0pt" strokecolor="#707c79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ge;z-index:1192" from="11.908833pt,781.455566pt" to="586.058911pt,781.455566pt" stroked="true" strokeweight="1.081849pt" strokecolor="#000000">
            <v:stroke dashstyle="solid"/>
            <w10:wrap type="none"/>
          </v:line>
        </w:pict>
      </w:r>
      <w:r>
        <w:rPr>
          <w:rFonts w:ascii="Times New Roman"/>
          <w:sz w:val="2"/>
        </w:rPr>
        <w:pict>
          <v:group style="width:67.5pt;height:.1pt;mso-position-horizontal-relative:char;mso-position-vertical-relative:line" coordorigin="0,0" coordsize="1350,2">
            <v:line style="position:absolute" from="0,0" to="1350,0" stroked="true" strokeweight="0pt" strokecolor="#5d6967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22"/>
        </w:rPr>
      </w:pPr>
    </w:p>
    <w:p>
      <w:pPr>
        <w:spacing w:before="95"/>
        <w:ind w:left="3439" w:right="0" w:firstLine="0"/>
        <w:jc w:val="left"/>
        <w:rPr>
          <w:sz w:val="19"/>
        </w:rPr>
      </w:pPr>
      <w:r>
        <w:rPr>
          <w:color w:val="707C79"/>
          <w:w w:val="90"/>
          <w:sz w:val="19"/>
        </w:rPr>
        <w:t>Gerência </w:t>
      </w:r>
      <w:r>
        <w:rPr>
          <w:color w:val="5D6967"/>
          <w:w w:val="90"/>
          <w:sz w:val="19"/>
        </w:rPr>
        <w:t>Gera</w:t>
      </w:r>
      <w:r>
        <w:rPr>
          <w:color w:val="484848"/>
          <w:w w:val="90"/>
          <w:sz w:val="19"/>
        </w:rPr>
        <w:t>l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0"/>
        </w:rPr>
      </w:pPr>
    </w:p>
    <w:p>
      <w:pPr>
        <w:pStyle w:val="Heading1"/>
        <w:ind w:left="561"/>
      </w:pPr>
      <w:r>
        <w:rPr>
          <w:color w:val="1D1D1D"/>
          <w:w w:val="105"/>
        </w:rPr>
        <w:t>PORTARIA CONJUNTA </w:t>
      </w:r>
      <w:r>
        <w:rPr>
          <w:color w:val="2D2D2D"/>
          <w:w w:val="105"/>
        </w:rPr>
        <w:t>GERÊNCIA-GERAL </w:t>
      </w:r>
      <w:r>
        <w:rPr>
          <w:color w:val="1D1D1D"/>
          <w:w w:val="105"/>
        </w:rPr>
        <w:t>Nº 09 DE 04 DE JANEIRO DE 2017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54" w:lineRule="auto"/>
        <w:ind w:left="5677" w:right="110"/>
        <w:jc w:val="both"/>
      </w:pPr>
      <w:r>
        <w:rPr>
          <w:color w:val="1D1D1D"/>
          <w:w w:val="105"/>
        </w:rPr>
        <w:t>Designa o empregado ZAQUEU CHAVES DA CUNHA </w:t>
      </w:r>
      <w:r>
        <w:rPr>
          <w:color w:val="2D2D2D"/>
          <w:w w:val="105"/>
        </w:rPr>
        <w:t>para </w:t>
      </w:r>
      <w:r>
        <w:rPr>
          <w:color w:val="1D1D1D"/>
          <w:w w:val="105"/>
        </w:rPr>
        <w:t>exercer atividades sob </w:t>
      </w:r>
      <w:r>
        <w:rPr>
          <w:color w:val="2D2D2D"/>
          <w:w w:val="105"/>
        </w:rPr>
        <w:t>o </w:t>
      </w:r>
      <w:r>
        <w:rPr>
          <w:color w:val="1D1D1D"/>
          <w:w w:val="105"/>
        </w:rPr>
        <w:t>regime de Dedicação Cumulativa e dá outras providências.</w:t>
      </w:r>
    </w:p>
    <w:p>
      <w:pPr>
        <w:pStyle w:val="BodyText"/>
        <w:spacing w:before="4"/>
      </w:pPr>
    </w:p>
    <w:p>
      <w:pPr>
        <w:pStyle w:val="BodyText"/>
        <w:spacing w:line="254" w:lineRule="auto"/>
        <w:ind w:left="545" w:right="117" w:firstLine="6"/>
        <w:jc w:val="both"/>
      </w:pPr>
      <w:r>
        <w:rPr>
          <w:color w:val="1D1D1D"/>
          <w:w w:val="105"/>
        </w:rPr>
        <w:t>O Gerente-Geral e o Chefe </w:t>
      </w:r>
      <w:r>
        <w:rPr>
          <w:color w:val="2D2D2D"/>
          <w:w w:val="105"/>
        </w:rPr>
        <w:t>de Gabinete </w:t>
      </w:r>
      <w:r>
        <w:rPr>
          <w:color w:val="1D1D1D"/>
          <w:w w:val="105"/>
        </w:rPr>
        <w:t>da Presidência do Conselho de </w:t>
      </w:r>
      <w:r>
        <w:rPr>
          <w:color w:val="2D2D2D"/>
          <w:w w:val="105"/>
        </w:rPr>
        <w:t>Arquitetura </w:t>
      </w:r>
      <w:r>
        <w:rPr>
          <w:color w:val="1D1D1D"/>
          <w:w w:val="105"/>
        </w:rPr>
        <w:t>e Urbanismo do Brasil </w:t>
      </w:r>
      <w:r>
        <w:rPr>
          <w:color w:val="2D2D2D"/>
          <w:spacing w:val="-3"/>
          <w:w w:val="105"/>
        </w:rPr>
        <w:t>(CAU/BR)</w:t>
      </w:r>
      <w:r>
        <w:rPr>
          <w:color w:val="484848"/>
          <w:spacing w:val="-3"/>
          <w:w w:val="105"/>
        </w:rPr>
        <w:t>, </w:t>
      </w:r>
      <w:r>
        <w:rPr>
          <w:color w:val="1D1D1D"/>
          <w:w w:val="105"/>
        </w:rPr>
        <w:t>no </w:t>
      </w:r>
      <w:r>
        <w:rPr>
          <w:color w:val="2D2D2D"/>
          <w:w w:val="105"/>
        </w:rPr>
        <w:t>uso das </w:t>
      </w:r>
      <w:r>
        <w:rPr>
          <w:color w:val="1D1D1D"/>
          <w:w w:val="105"/>
        </w:rPr>
        <w:t>atribuições que lhe conferem a Portaria Normativa </w:t>
      </w:r>
      <w:r>
        <w:rPr>
          <w:color w:val="1D1D1D"/>
          <w:spacing w:val="8"/>
          <w:w w:val="105"/>
        </w:rPr>
        <w:t>n</w:t>
      </w:r>
      <w:r>
        <w:rPr>
          <w:color w:val="484848"/>
          <w:spacing w:val="8"/>
          <w:w w:val="105"/>
        </w:rPr>
        <w:t>º </w:t>
      </w:r>
      <w:r>
        <w:rPr>
          <w:color w:val="1D1D1D"/>
          <w:w w:val="105"/>
        </w:rPr>
        <w:t>35, de 7 de maio de </w:t>
      </w:r>
      <w:r>
        <w:rPr>
          <w:color w:val="2D2D2D"/>
          <w:spacing w:val="-7"/>
          <w:w w:val="105"/>
        </w:rPr>
        <w:t>2015</w:t>
      </w:r>
      <w:r>
        <w:rPr>
          <w:color w:val="5D6967"/>
          <w:spacing w:val="-7"/>
          <w:w w:val="105"/>
        </w:rPr>
        <w:t>, </w:t>
      </w:r>
      <w:r>
        <w:rPr>
          <w:color w:val="2D2D2D"/>
          <w:w w:val="105"/>
        </w:rPr>
        <w:t>e tendo </w:t>
      </w:r>
      <w:r>
        <w:rPr>
          <w:color w:val="1D1D1D"/>
          <w:w w:val="105"/>
        </w:rPr>
        <w:t>em </w:t>
      </w:r>
      <w:r>
        <w:rPr>
          <w:color w:val="2D2D2D"/>
          <w:w w:val="105"/>
        </w:rPr>
        <w:t>vista </w:t>
      </w:r>
      <w:r>
        <w:rPr>
          <w:color w:val="1D1D1D"/>
          <w:w w:val="105"/>
        </w:rPr>
        <w:t>o contido na Deliberação Plenária DPOBR </w:t>
      </w:r>
      <w:r>
        <w:rPr>
          <w:color w:val="1D1D1D"/>
          <w:spacing w:val="5"/>
          <w:w w:val="105"/>
        </w:rPr>
        <w:t>n</w:t>
      </w:r>
      <w:r>
        <w:rPr>
          <w:color w:val="484848"/>
          <w:spacing w:val="5"/>
          <w:w w:val="105"/>
        </w:rPr>
        <w:t>º</w:t>
      </w:r>
      <w:r>
        <w:rPr>
          <w:color w:val="1D1D1D"/>
          <w:spacing w:val="5"/>
          <w:w w:val="105"/>
        </w:rPr>
        <w:t> </w:t>
      </w:r>
      <w:r>
        <w:rPr>
          <w:color w:val="1D1D1D"/>
          <w:w w:val="105"/>
        </w:rPr>
        <w:t>0060-04/2016</w:t>
      </w:r>
      <w:r>
        <w:rPr>
          <w:color w:val="5D6967"/>
          <w:w w:val="105"/>
        </w:rPr>
        <w:t>, </w:t>
      </w:r>
      <w:r>
        <w:rPr>
          <w:color w:val="1D1D1D"/>
          <w:w w:val="105"/>
        </w:rPr>
        <w:t>que </w:t>
      </w:r>
      <w:r>
        <w:rPr>
          <w:color w:val="484848"/>
          <w:w w:val="105"/>
        </w:rPr>
        <w:t>"</w:t>
      </w:r>
      <w:r>
        <w:rPr>
          <w:color w:val="1D1D1D"/>
          <w:w w:val="105"/>
        </w:rPr>
        <w:t>Institui e compõe a Com</w:t>
      </w:r>
      <w:r>
        <w:rPr>
          <w:color w:val="484848"/>
          <w:w w:val="105"/>
        </w:rPr>
        <w:t>i</w:t>
      </w:r>
      <w:r>
        <w:rPr>
          <w:color w:val="1D1D1D"/>
          <w:w w:val="105"/>
        </w:rPr>
        <w:t>ssão Temporária de Auditoria do Cumprimento da Lei de Acesso </w:t>
      </w:r>
      <w:r>
        <w:rPr>
          <w:color w:val="1D1D1D"/>
          <w:w w:val="105"/>
          <w:sz w:val="20"/>
        </w:rPr>
        <w:t>à </w:t>
      </w:r>
      <w:r>
        <w:rPr>
          <w:color w:val="1D1D1D"/>
          <w:w w:val="105"/>
        </w:rPr>
        <w:t>Informação no Conselho de Arquitetura e Urbanismo  do Brasil </w:t>
      </w:r>
      <w:r>
        <w:rPr>
          <w:color w:val="2D2D2D"/>
          <w:w w:val="105"/>
        </w:rPr>
        <w:t>(CAU/BR)</w:t>
      </w:r>
      <w:r>
        <w:rPr>
          <w:color w:val="1D1D1D"/>
          <w:w w:val="105"/>
        </w:rPr>
        <w:t> e nos Conselhos de Arquitetura </w:t>
      </w:r>
      <w:r>
        <w:rPr>
          <w:color w:val="2D2D2D"/>
          <w:w w:val="105"/>
        </w:rPr>
        <w:t>e </w:t>
      </w:r>
      <w:r>
        <w:rPr>
          <w:color w:val="1D1D1D"/>
          <w:w w:val="105"/>
        </w:rPr>
        <w:t>Urban</w:t>
      </w:r>
      <w:r>
        <w:rPr>
          <w:color w:val="484848"/>
          <w:w w:val="105"/>
        </w:rPr>
        <w:t>i</w:t>
      </w:r>
      <w:r>
        <w:rPr>
          <w:color w:val="2D2D2D"/>
          <w:w w:val="105"/>
        </w:rPr>
        <w:t>smo </w:t>
      </w:r>
      <w:r>
        <w:rPr>
          <w:color w:val="1D1D1D"/>
          <w:w w:val="105"/>
        </w:rPr>
        <w:t>dos Estados e do Distrito Federal</w:t>
      </w:r>
      <w:r>
        <w:rPr>
          <w:color w:val="1D1D1D"/>
          <w:spacing w:val="-22"/>
          <w:w w:val="105"/>
        </w:rPr>
        <w:t> </w:t>
      </w:r>
      <w:r>
        <w:rPr>
          <w:color w:val="2D2D2D"/>
          <w:w w:val="105"/>
        </w:rPr>
        <w:t>(CAU</w:t>
      </w:r>
      <w:r>
        <w:rPr>
          <w:color w:val="484848"/>
          <w:w w:val="105"/>
        </w:rPr>
        <w:t>/</w:t>
      </w:r>
      <w:r>
        <w:rPr>
          <w:color w:val="1D1D1D"/>
          <w:w w:val="105"/>
        </w:rPr>
        <w:t>UF)"</w:t>
      </w:r>
      <w:r>
        <w:rPr>
          <w:color w:val="484848"/>
          <w:w w:val="105"/>
        </w:rPr>
        <w:t>;</w:t>
      </w:r>
    </w:p>
    <w:p>
      <w:pPr>
        <w:pStyle w:val="BodyText"/>
        <w:spacing w:before="9"/>
        <w:rPr>
          <w:sz w:val="20"/>
        </w:rPr>
      </w:pPr>
    </w:p>
    <w:p>
      <w:pPr>
        <w:pStyle w:val="Heading1"/>
      </w:pPr>
      <w:r>
        <w:rPr>
          <w:color w:val="1D1D1D"/>
          <w:w w:val="105"/>
        </w:rPr>
        <w:t>RESOLVEM</w:t>
      </w:r>
      <w:r>
        <w:rPr>
          <w:color w:val="484848"/>
          <w:w w:val="105"/>
        </w:rPr>
        <w:t>:</w:t>
      </w:r>
    </w:p>
    <w:p>
      <w:pPr>
        <w:pStyle w:val="BodyText"/>
        <w:spacing w:before="6"/>
        <w:rPr>
          <w:b/>
          <w:sz w:val="23"/>
        </w:rPr>
      </w:pPr>
    </w:p>
    <w:p>
      <w:pPr>
        <w:pStyle w:val="BodyText"/>
        <w:spacing w:line="254" w:lineRule="auto"/>
        <w:ind w:left="537" w:right="124" w:firstLine="10"/>
        <w:jc w:val="both"/>
      </w:pPr>
      <w:r>
        <w:rPr>
          <w:color w:val="1D1D1D"/>
          <w:w w:val="105"/>
        </w:rPr>
        <w:t>Art. 1</w:t>
      </w:r>
      <w:r>
        <w:rPr>
          <w:color w:val="484848"/>
          <w:w w:val="105"/>
        </w:rPr>
        <w:t>º </w:t>
      </w:r>
      <w:r>
        <w:rPr>
          <w:color w:val="1D1D1D"/>
          <w:w w:val="105"/>
        </w:rPr>
        <w:t>Designar para exercer atividades sob o Regime de Dedicação Cumulativa </w:t>
      </w:r>
      <w:r>
        <w:rPr>
          <w:color w:val="2D2D2D"/>
          <w:w w:val="105"/>
        </w:rPr>
        <w:t>(RDC) </w:t>
      </w:r>
      <w:r>
        <w:rPr>
          <w:color w:val="1D1D1D"/>
          <w:w w:val="105"/>
        </w:rPr>
        <w:t>de que trata a Portaria Normativa n</w:t>
      </w:r>
      <w:r>
        <w:rPr>
          <w:color w:val="484848"/>
          <w:w w:val="105"/>
        </w:rPr>
        <w:t>º </w:t>
      </w:r>
      <w:r>
        <w:rPr>
          <w:color w:val="2D2D2D"/>
          <w:w w:val="105"/>
        </w:rPr>
        <w:t>35</w:t>
      </w:r>
      <w:r>
        <w:rPr>
          <w:color w:val="484848"/>
          <w:w w:val="105"/>
        </w:rPr>
        <w:t>, </w:t>
      </w:r>
      <w:r>
        <w:rPr>
          <w:color w:val="1D1D1D"/>
          <w:w w:val="105"/>
        </w:rPr>
        <w:t>de </w:t>
      </w:r>
      <w:r>
        <w:rPr>
          <w:color w:val="2D2D2D"/>
          <w:w w:val="105"/>
        </w:rPr>
        <w:t>7 </w:t>
      </w:r>
      <w:r>
        <w:rPr>
          <w:color w:val="1D1D1D"/>
          <w:w w:val="105"/>
        </w:rPr>
        <w:t>de maio de 2015, </w:t>
      </w:r>
      <w:r>
        <w:rPr>
          <w:color w:val="2D2D2D"/>
          <w:w w:val="105"/>
        </w:rPr>
        <w:t>respeitados </w:t>
      </w:r>
      <w:r>
        <w:rPr>
          <w:color w:val="1D1D1D"/>
          <w:w w:val="105"/>
        </w:rPr>
        <w:t>os termos, </w:t>
      </w:r>
      <w:r>
        <w:rPr>
          <w:color w:val="2D2D2D"/>
          <w:w w:val="105"/>
        </w:rPr>
        <w:t>condições </w:t>
      </w:r>
      <w:r>
        <w:rPr>
          <w:color w:val="1D1D1D"/>
          <w:w w:val="105"/>
        </w:rPr>
        <w:t>e obrigações previstos na deliberação plenária acima mencionada</w:t>
      </w:r>
      <w:r>
        <w:rPr>
          <w:color w:val="484848"/>
          <w:w w:val="105"/>
        </w:rPr>
        <w:t>, </w:t>
      </w:r>
      <w:r>
        <w:rPr>
          <w:color w:val="1D1D1D"/>
          <w:w w:val="105"/>
        </w:rPr>
        <w:t>o Analista Técnico Zaqueu Chaves da </w:t>
      </w:r>
      <w:r>
        <w:rPr>
          <w:color w:val="2D2D2D"/>
          <w:w w:val="105"/>
        </w:rPr>
        <w:t>Cunha, </w:t>
      </w:r>
      <w:r>
        <w:rPr>
          <w:color w:val="1D1D1D"/>
          <w:w w:val="105"/>
        </w:rPr>
        <w:t>lotado na Gerência de O</w:t>
      </w:r>
      <w:r>
        <w:rPr>
          <w:color w:val="484848"/>
          <w:w w:val="105"/>
        </w:rPr>
        <w:t>r</w:t>
      </w:r>
      <w:r>
        <w:rPr>
          <w:color w:val="2D2D2D"/>
          <w:w w:val="105"/>
        </w:rPr>
        <w:t>çamento </w:t>
      </w:r>
      <w:r>
        <w:rPr>
          <w:color w:val="1D1D1D"/>
          <w:w w:val="105"/>
        </w:rPr>
        <w:t>e Finanças.</w:t>
      </w:r>
    </w:p>
    <w:p>
      <w:pPr>
        <w:pStyle w:val="BodyText"/>
        <w:spacing w:before="4"/>
      </w:pPr>
    </w:p>
    <w:p>
      <w:pPr>
        <w:pStyle w:val="BodyText"/>
        <w:spacing w:line="249" w:lineRule="auto"/>
        <w:ind w:left="533" w:right="124" w:firstLine="7"/>
        <w:jc w:val="both"/>
      </w:pPr>
      <w:r>
        <w:rPr>
          <w:color w:val="1D1D1D"/>
          <w:w w:val="105"/>
        </w:rPr>
        <w:t>Art</w:t>
      </w:r>
      <w:r>
        <w:rPr>
          <w:w w:val="105"/>
        </w:rPr>
        <w:t>. </w:t>
      </w:r>
      <w:r>
        <w:rPr>
          <w:color w:val="1D1D1D"/>
          <w:w w:val="105"/>
        </w:rPr>
        <w:t>2º Para fins do disposto no art. </w:t>
      </w:r>
      <w:r>
        <w:rPr>
          <w:color w:val="2D2D2D"/>
          <w:w w:val="105"/>
        </w:rPr>
        <w:t>5</w:t>
      </w:r>
      <w:r>
        <w:rPr>
          <w:color w:val="484848"/>
          <w:w w:val="105"/>
        </w:rPr>
        <w:t>º</w:t>
      </w:r>
      <w:r>
        <w:rPr>
          <w:color w:val="2D2D2D"/>
          <w:w w:val="105"/>
        </w:rPr>
        <w:t>, </w:t>
      </w:r>
      <w:r>
        <w:rPr>
          <w:color w:val="1D1D1D"/>
          <w:w w:val="105"/>
        </w:rPr>
        <w:t>inciso </w:t>
      </w:r>
      <w:r>
        <w:rPr>
          <w:color w:val="1D1D1D"/>
          <w:spacing w:val="-4"/>
          <w:w w:val="105"/>
        </w:rPr>
        <w:t>V</w:t>
      </w:r>
      <w:r>
        <w:rPr>
          <w:color w:val="484848"/>
          <w:spacing w:val="-4"/>
          <w:w w:val="105"/>
        </w:rPr>
        <w:t>, </w:t>
      </w:r>
      <w:r>
        <w:rPr>
          <w:color w:val="2D2D2D"/>
          <w:w w:val="105"/>
        </w:rPr>
        <w:t>alínea </w:t>
      </w:r>
      <w:r>
        <w:rPr>
          <w:color w:val="484848"/>
          <w:spacing w:val="-2"/>
          <w:w w:val="105"/>
        </w:rPr>
        <w:t>"</w:t>
      </w:r>
      <w:r>
        <w:rPr>
          <w:color w:val="1D1D1D"/>
          <w:spacing w:val="-2"/>
          <w:w w:val="105"/>
        </w:rPr>
        <w:t>a</w:t>
      </w:r>
      <w:r>
        <w:rPr>
          <w:color w:val="484848"/>
          <w:spacing w:val="-2"/>
          <w:w w:val="105"/>
        </w:rPr>
        <w:t>" </w:t>
      </w:r>
      <w:r>
        <w:rPr>
          <w:color w:val="1D1D1D"/>
          <w:w w:val="105"/>
        </w:rPr>
        <w:t>da Portaria Normativa </w:t>
      </w:r>
      <w:r>
        <w:rPr>
          <w:color w:val="1D1D1D"/>
          <w:spacing w:val="4"/>
          <w:w w:val="105"/>
        </w:rPr>
        <w:t>n</w:t>
      </w:r>
      <w:r>
        <w:rPr>
          <w:color w:val="484848"/>
          <w:spacing w:val="4"/>
          <w:w w:val="105"/>
        </w:rPr>
        <w:t>º </w:t>
      </w:r>
      <w:r>
        <w:rPr>
          <w:color w:val="2D2D2D"/>
          <w:w w:val="105"/>
        </w:rPr>
        <w:t>35</w:t>
      </w:r>
      <w:r>
        <w:rPr>
          <w:color w:val="484848"/>
          <w:w w:val="105"/>
        </w:rPr>
        <w:t>, </w:t>
      </w:r>
      <w:r>
        <w:rPr>
          <w:color w:val="1D1D1D"/>
          <w:w w:val="105"/>
        </w:rPr>
        <w:t>de </w:t>
      </w:r>
      <w:r>
        <w:rPr>
          <w:color w:val="2D2D2D"/>
          <w:w w:val="105"/>
        </w:rPr>
        <w:t>7  </w:t>
      </w:r>
      <w:r>
        <w:rPr>
          <w:color w:val="1D1D1D"/>
          <w:w w:val="105"/>
        </w:rPr>
        <w:t>de maio de 2015</w:t>
      </w:r>
      <w:r>
        <w:rPr>
          <w:color w:val="5D6967"/>
          <w:w w:val="105"/>
        </w:rPr>
        <w:t>, </w:t>
      </w:r>
      <w:r>
        <w:rPr>
          <w:color w:val="1D1D1D"/>
          <w:w w:val="105"/>
        </w:rPr>
        <w:t>a presente designação </w:t>
      </w:r>
      <w:r>
        <w:rPr>
          <w:color w:val="2D2D2D"/>
          <w:w w:val="105"/>
        </w:rPr>
        <w:t>é </w:t>
      </w:r>
      <w:r>
        <w:rPr>
          <w:color w:val="1D1D1D"/>
          <w:w w:val="105"/>
        </w:rPr>
        <w:t>feita para vigorar pelo período correspondente ao da vigência dos trabalhos da Comissão </w:t>
      </w:r>
      <w:r>
        <w:rPr>
          <w:color w:val="2D2D2D"/>
          <w:w w:val="105"/>
        </w:rPr>
        <w:t>Temporária </w:t>
      </w:r>
      <w:r>
        <w:rPr>
          <w:color w:val="1D1D1D"/>
          <w:w w:val="105"/>
        </w:rPr>
        <w:t>de Auditoria do Cumprimento da Lei de Acesso </w:t>
      </w:r>
      <w:r>
        <w:rPr>
          <w:color w:val="1D1D1D"/>
          <w:w w:val="105"/>
          <w:sz w:val="22"/>
        </w:rPr>
        <w:t>à </w:t>
      </w:r>
      <w:r>
        <w:rPr>
          <w:color w:val="1D1D1D"/>
          <w:w w:val="105"/>
        </w:rPr>
        <w:t>Informação no Conselho de </w:t>
      </w:r>
      <w:r>
        <w:rPr>
          <w:color w:val="2D2D2D"/>
          <w:w w:val="105"/>
        </w:rPr>
        <w:t>Arquitetura </w:t>
      </w:r>
      <w:r>
        <w:rPr>
          <w:color w:val="1D1D1D"/>
          <w:w w:val="105"/>
        </w:rPr>
        <w:t>e Urbanismo do Brasil </w:t>
      </w:r>
      <w:r>
        <w:rPr>
          <w:color w:val="2D2D2D"/>
          <w:w w:val="105"/>
        </w:rPr>
        <w:t>(CAU/BR) </w:t>
      </w:r>
      <w:r>
        <w:rPr>
          <w:color w:val="1D1D1D"/>
          <w:w w:val="105"/>
        </w:rPr>
        <w:t>e nos Conselhos de </w:t>
      </w:r>
      <w:r>
        <w:rPr>
          <w:color w:val="2D2D2D"/>
          <w:w w:val="105"/>
        </w:rPr>
        <w:t>Arquitetura </w:t>
      </w:r>
      <w:r>
        <w:rPr>
          <w:color w:val="1D1D1D"/>
          <w:w w:val="105"/>
        </w:rPr>
        <w:t>e Urbanismo dos Estados e do Distrito Federal (CAU/UF)</w:t>
      </w:r>
      <w:r>
        <w:rPr>
          <w:color w:val="5D6967"/>
          <w:w w:val="105"/>
        </w:rPr>
        <w:t>, </w:t>
      </w:r>
      <w:r>
        <w:rPr>
          <w:color w:val="1D1D1D"/>
          <w:w w:val="105"/>
        </w:rPr>
        <w:t>de 28 de novembro de 2016 a 23 de </w:t>
      </w:r>
      <w:r>
        <w:rPr>
          <w:color w:val="2D2D2D"/>
          <w:w w:val="105"/>
        </w:rPr>
        <w:t>fevereiro </w:t>
      </w:r>
      <w:r>
        <w:rPr>
          <w:color w:val="1D1D1D"/>
          <w:w w:val="105"/>
        </w:rPr>
        <w:t>de 2017, conforme a Deliberação Plenária DPOBR n</w:t>
      </w:r>
      <w:r>
        <w:rPr>
          <w:color w:val="5D6967"/>
          <w:w w:val="105"/>
        </w:rPr>
        <w:t>º </w:t>
      </w:r>
      <w:r>
        <w:rPr>
          <w:color w:val="1D1D1D"/>
          <w:w w:val="105"/>
        </w:rPr>
        <w:t>0060-04/2016</w:t>
      </w:r>
      <w:r>
        <w:rPr>
          <w:color w:val="484848"/>
          <w:w w:val="105"/>
        </w:rPr>
        <w:t>, </w:t>
      </w:r>
      <w:r>
        <w:rPr>
          <w:color w:val="1D1D1D"/>
          <w:w w:val="105"/>
        </w:rPr>
        <w:t>e em eventuais</w:t>
      </w:r>
      <w:r>
        <w:rPr>
          <w:color w:val="1D1D1D"/>
          <w:spacing w:val="-19"/>
          <w:w w:val="105"/>
        </w:rPr>
        <w:t> </w:t>
      </w:r>
      <w:r>
        <w:rPr>
          <w:color w:val="2D2D2D"/>
          <w:w w:val="105"/>
        </w:rPr>
        <w:t>prorrogações.</w:t>
      </w:r>
    </w:p>
    <w:p>
      <w:pPr>
        <w:pStyle w:val="BodyText"/>
        <w:spacing w:before="11"/>
        <w:rPr>
          <w:sz w:val="22"/>
        </w:rPr>
      </w:pPr>
    </w:p>
    <w:p>
      <w:pPr>
        <w:pStyle w:val="BodyText"/>
        <w:spacing w:line="252" w:lineRule="auto"/>
        <w:ind w:left="526" w:right="133" w:firstLine="7"/>
        <w:jc w:val="both"/>
      </w:pPr>
      <w:r>
        <w:rPr>
          <w:color w:val="1D1D1D"/>
          <w:w w:val="105"/>
        </w:rPr>
        <w:t>Art</w:t>
      </w:r>
      <w:r>
        <w:rPr>
          <w:color w:val="484848"/>
          <w:w w:val="105"/>
        </w:rPr>
        <w:t>. </w:t>
      </w:r>
      <w:r>
        <w:rPr>
          <w:color w:val="2D2D2D"/>
          <w:w w:val="105"/>
        </w:rPr>
        <w:t>3</w:t>
      </w:r>
      <w:r>
        <w:rPr>
          <w:color w:val="484848"/>
          <w:w w:val="105"/>
        </w:rPr>
        <w:t>º </w:t>
      </w:r>
      <w:r>
        <w:rPr>
          <w:color w:val="1D1D1D"/>
          <w:w w:val="105"/>
        </w:rPr>
        <w:t>No período de </w:t>
      </w:r>
      <w:r>
        <w:rPr>
          <w:color w:val="2D2D2D"/>
          <w:w w:val="105"/>
        </w:rPr>
        <w:t>designação de </w:t>
      </w:r>
      <w:r>
        <w:rPr>
          <w:color w:val="1D1D1D"/>
          <w:w w:val="105"/>
        </w:rPr>
        <w:t>que trata esta Portaria Conjunta</w:t>
      </w:r>
      <w:r>
        <w:rPr>
          <w:color w:val="484848"/>
          <w:w w:val="105"/>
        </w:rPr>
        <w:t>, </w:t>
      </w:r>
      <w:r>
        <w:rPr>
          <w:color w:val="1D1D1D"/>
          <w:w w:val="105"/>
        </w:rPr>
        <w:t>o designado fará jus </w:t>
      </w:r>
      <w:r>
        <w:rPr>
          <w:color w:val="1D1D1D"/>
          <w:w w:val="105"/>
          <w:sz w:val="20"/>
        </w:rPr>
        <w:t>à </w:t>
      </w:r>
      <w:r>
        <w:rPr>
          <w:color w:val="2D2D2D"/>
          <w:w w:val="105"/>
        </w:rPr>
        <w:t>gratificação </w:t>
      </w:r>
      <w:r>
        <w:rPr>
          <w:color w:val="1D1D1D"/>
          <w:w w:val="105"/>
        </w:rPr>
        <w:t>de dedicação </w:t>
      </w:r>
      <w:r>
        <w:rPr>
          <w:color w:val="2D2D2D"/>
          <w:w w:val="105"/>
        </w:rPr>
        <w:t>cumulativa de </w:t>
      </w:r>
      <w:r>
        <w:rPr>
          <w:color w:val="1D1D1D"/>
          <w:w w:val="105"/>
        </w:rPr>
        <w:t>que trata </w:t>
      </w:r>
      <w:r>
        <w:rPr>
          <w:color w:val="2D2D2D"/>
          <w:w w:val="105"/>
        </w:rPr>
        <w:t>o </w:t>
      </w:r>
      <w:r>
        <w:rPr>
          <w:color w:val="1D1D1D"/>
          <w:w w:val="105"/>
        </w:rPr>
        <w:t>art. 6</w:t>
      </w:r>
      <w:r>
        <w:rPr>
          <w:color w:val="484848"/>
          <w:w w:val="105"/>
        </w:rPr>
        <w:t>º </w:t>
      </w:r>
      <w:r>
        <w:rPr>
          <w:color w:val="1D1D1D"/>
          <w:w w:val="105"/>
        </w:rPr>
        <w:t>da Portaria Normativa n</w:t>
      </w:r>
      <w:r>
        <w:rPr>
          <w:color w:val="484848"/>
          <w:w w:val="105"/>
        </w:rPr>
        <w:t>º </w:t>
      </w:r>
      <w:r>
        <w:rPr>
          <w:color w:val="2D2D2D"/>
          <w:w w:val="105"/>
        </w:rPr>
        <w:t>35</w:t>
      </w:r>
      <w:r>
        <w:rPr>
          <w:color w:val="484848"/>
          <w:w w:val="105"/>
        </w:rPr>
        <w:t>, </w:t>
      </w:r>
      <w:r>
        <w:rPr>
          <w:color w:val="1D1D1D"/>
          <w:w w:val="105"/>
        </w:rPr>
        <w:t>de </w:t>
      </w:r>
      <w:r>
        <w:rPr>
          <w:color w:val="2D2D2D"/>
          <w:w w:val="105"/>
        </w:rPr>
        <w:t>7 </w:t>
      </w:r>
      <w:r>
        <w:rPr>
          <w:color w:val="1D1D1D"/>
          <w:w w:val="105"/>
        </w:rPr>
        <w:t>de maio de 2015.</w:t>
      </w:r>
    </w:p>
    <w:p>
      <w:pPr>
        <w:pStyle w:val="BodyText"/>
        <w:spacing w:before="7"/>
      </w:pPr>
    </w:p>
    <w:p>
      <w:pPr>
        <w:pStyle w:val="BodyText"/>
        <w:ind w:left="526"/>
        <w:jc w:val="both"/>
      </w:pPr>
      <w:r>
        <w:rPr/>
        <w:pict>
          <v:group style="position:absolute;margin-left:215.441696pt;margin-top:8.406382pt;width:182.9pt;height:170.95pt;mso-position-horizontal-relative:page;mso-position-vertical-relative:paragraph;z-index:-3232" coordorigin="4309,168" coordsize="3658,3419">
            <v:shape style="position:absolute;left:4308;top:168;width:3472;height:3419" type="#_x0000_t75" stroked="false">
              <v:imagedata r:id="rId6" o:title=""/>
            </v:shape>
            <v:shape style="position:absolute;left:4668;top:771;width:1453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color w:val="1D1D1D"/>
                        <w:w w:val="110"/>
                        <w:sz w:val="21"/>
                      </w:rPr>
                      <w:t>Brasília</w:t>
                    </w:r>
                    <w:r>
                      <w:rPr>
                        <w:color w:val="484848"/>
                        <w:w w:val="110"/>
                        <w:sz w:val="21"/>
                      </w:rPr>
                      <w:t>, </w:t>
                    </w:r>
                    <w:r>
                      <w:rPr>
                        <w:color w:val="1D1D1D"/>
                        <w:w w:val="110"/>
                        <w:sz w:val="21"/>
                      </w:rPr>
                      <w:t>04</w:t>
                    </w:r>
                    <w:r>
                      <w:rPr>
                        <w:color w:val="1D1D1D"/>
                        <w:spacing w:val="-53"/>
                        <w:w w:val="110"/>
                        <w:sz w:val="21"/>
                      </w:rPr>
                      <w:t> </w:t>
                    </w:r>
                    <w:r>
                      <w:rPr>
                        <w:color w:val="2D2D2D"/>
                        <w:spacing w:val="-23"/>
                        <w:w w:val="110"/>
                        <w:sz w:val="21"/>
                      </w:rPr>
                      <w:t>de·</w:t>
                    </w:r>
                  </w:p>
                </w:txbxContent>
              </v:textbox>
              <w10:wrap type="none"/>
            </v:shape>
            <v:shape style="position:absolute;left:7571;top:3050;width:395;height:236" type="#_x0000_t202" filled="false" stroked="false">
              <v:textbox inset="0,0,0,0">
                <w:txbxContent>
                  <w:p>
                    <w:pPr>
                      <w:spacing w:line="235" w:lineRule="exact" w:before="0"/>
                      <w:ind w:left="0" w:right="0" w:firstLine="0"/>
                      <w:jc w:val="left"/>
                      <w:rPr>
                        <w:b/>
                        <w:sz w:val="21"/>
                      </w:rPr>
                    </w:pPr>
                    <w:r>
                      <w:rPr>
                        <w:b/>
                        <w:color w:val="1D1D1D"/>
                        <w:w w:val="105"/>
                        <w:sz w:val="21"/>
                      </w:rPr>
                      <w:t>INS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1D1D1D"/>
          <w:w w:val="105"/>
        </w:rPr>
        <w:t>Art. 4</w:t>
      </w:r>
      <w:r>
        <w:rPr>
          <w:color w:val="484848"/>
          <w:w w:val="105"/>
        </w:rPr>
        <w:t>º </w:t>
      </w:r>
      <w:r>
        <w:rPr>
          <w:color w:val="1D1D1D"/>
          <w:w w:val="105"/>
        </w:rPr>
        <w:t>Esta Portaria entra </w:t>
      </w:r>
      <w:r>
        <w:rPr>
          <w:color w:val="2D2D2D"/>
          <w:w w:val="105"/>
        </w:rPr>
        <w:t>em vigor </w:t>
      </w:r>
      <w:r>
        <w:rPr>
          <w:color w:val="1D1D1D"/>
          <w:w w:val="105"/>
        </w:rPr>
        <w:t>nesta data.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9"/>
        </w:rPr>
      </w:pPr>
    </w:p>
    <w:p>
      <w:pPr>
        <w:spacing w:line="291" w:lineRule="exact" w:before="92"/>
        <w:ind w:left="106" w:right="0" w:firstLine="0"/>
        <w:jc w:val="left"/>
        <w:rPr>
          <w:sz w:val="19"/>
        </w:rPr>
      </w:pPr>
      <w:r>
        <w:rPr>
          <w:color w:val="707C79"/>
          <w:w w:val="85"/>
          <w:sz w:val="19"/>
        </w:rPr>
        <w:t>Setor</w:t>
      </w:r>
      <w:r>
        <w:rPr>
          <w:color w:val="707C79"/>
          <w:spacing w:val="-18"/>
          <w:w w:val="85"/>
          <w:sz w:val="19"/>
        </w:rPr>
        <w:t> </w:t>
      </w:r>
      <w:r>
        <w:rPr>
          <w:color w:val="707C79"/>
          <w:w w:val="85"/>
          <w:sz w:val="19"/>
        </w:rPr>
        <w:t>Comercial</w:t>
      </w:r>
      <w:r>
        <w:rPr>
          <w:color w:val="707C79"/>
          <w:spacing w:val="-22"/>
          <w:w w:val="85"/>
          <w:sz w:val="19"/>
        </w:rPr>
        <w:t> </w:t>
      </w:r>
      <w:r>
        <w:rPr>
          <w:color w:val="707C79"/>
          <w:w w:val="85"/>
          <w:sz w:val="19"/>
        </w:rPr>
        <w:t>Sul</w:t>
      </w:r>
      <w:r>
        <w:rPr>
          <w:color w:val="707C79"/>
          <w:spacing w:val="-24"/>
          <w:w w:val="85"/>
          <w:sz w:val="19"/>
        </w:rPr>
        <w:t> </w:t>
      </w:r>
      <w:r>
        <w:rPr>
          <w:rFonts w:ascii="Times New Roman" w:hAnsi="Times New Roman"/>
          <w:color w:val="707C79"/>
          <w:w w:val="85"/>
          <w:sz w:val="26"/>
        </w:rPr>
        <w:t>(ses),</w:t>
      </w:r>
      <w:r>
        <w:rPr>
          <w:rFonts w:ascii="Times New Roman" w:hAnsi="Times New Roman"/>
          <w:color w:val="707C79"/>
          <w:spacing w:val="-29"/>
          <w:w w:val="85"/>
          <w:sz w:val="26"/>
        </w:rPr>
        <w:t> </w:t>
      </w:r>
      <w:r>
        <w:rPr>
          <w:color w:val="5D6967"/>
          <w:w w:val="85"/>
          <w:sz w:val="19"/>
        </w:rPr>
        <w:t>Quadra</w:t>
      </w:r>
      <w:r>
        <w:rPr>
          <w:color w:val="5D6967"/>
          <w:spacing w:val="-18"/>
          <w:w w:val="85"/>
          <w:sz w:val="19"/>
        </w:rPr>
        <w:t> </w:t>
      </w:r>
      <w:r>
        <w:rPr>
          <w:color w:val="707C79"/>
          <w:w w:val="85"/>
          <w:sz w:val="19"/>
        </w:rPr>
        <w:t>2,</w:t>
      </w:r>
      <w:r>
        <w:rPr>
          <w:color w:val="707C79"/>
          <w:spacing w:val="-30"/>
          <w:w w:val="85"/>
          <w:sz w:val="19"/>
        </w:rPr>
        <w:t> </w:t>
      </w:r>
      <w:r>
        <w:rPr>
          <w:color w:val="707C79"/>
          <w:w w:val="85"/>
          <w:sz w:val="19"/>
        </w:rPr>
        <w:t>Bloco</w:t>
      </w:r>
      <w:r>
        <w:rPr>
          <w:color w:val="707C79"/>
          <w:spacing w:val="-21"/>
          <w:w w:val="85"/>
          <w:sz w:val="19"/>
        </w:rPr>
        <w:t> </w:t>
      </w:r>
      <w:r>
        <w:rPr>
          <w:rFonts w:ascii="Times New Roman" w:hAnsi="Times New Roman"/>
          <w:color w:val="707C79"/>
          <w:w w:val="85"/>
          <w:sz w:val="26"/>
        </w:rPr>
        <w:t>e</w:t>
      </w:r>
      <w:r>
        <w:rPr>
          <w:rFonts w:ascii="Times New Roman" w:hAnsi="Times New Roman"/>
          <w:color w:val="707C79"/>
          <w:spacing w:val="-40"/>
          <w:w w:val="85"/>
          <w:sz w:val="26"/>
        </w:rPr>
        <w:t> </w:t>
      </w:r>
      <w:r>
        <w:rPr>
          <w:rFonts w:ascii="Times New Roman" w:hAnsi="Times New Roman"/>
          <w:color w:val="707C79"/>
          <w:w w:val="85"/>
          <w:sz w:val="26"/>
        </w:rPr>
        <w:t>-</w:t>
      </w:r>
      <w:r>
        <w:rPr>
          <w:rFonts w:ascii="Times New Roman" w:hAnsi="Times New Roman"/>
          <w:color w:val="707C79"/>
          <w:spacing w:val="-28"/>
          <w:w w:val="85"/>
          <w:sz w:val="26"/>
        </w:rPr>
        <w:t> </w:t>
      </w:r>
      <w:r>
        <w:rPr>
          <w:color w:val="5D6967"/>
          <w:w w:val="85"/>
          <w:sz w:val="19"/>
        </w:rPr>
        <w:t>Ed.</w:t>
      </w:r>
      <w:r>
        <w:rPr>
          <w:color w:val="5D6967"/>
          <w:spacing w:val="-27"/>
          <w:w w:val="85"/>
          <w:sz w:val="19"/>
        </w:rPr>
        <w:t> </w:t>
      </w:r>
      <w:r>
        <w:rPr>
          <w:color w:val="707C79"/>
          <w:w w:val="85"/>
          <w:sz w:val="19"/>
        </w:rPr>
        <w:t>Serra</w:t>
      </w:r>
      <w:r>
        <w:rPr>
          <w:color w:val="707C79"/>
          <w:spacing w:val="-21"/>
          <w:w w:val="85"/>
          <w:sz w:val="19"/>
        </w:rPr>
        <w:t> </w:t>
      </w:r>
      <w:r>
        <w:rPr>
          <w:color w:val="5D6967"/>
          <w:w w:val="85"/>
          <w:sz w:val="19"/>
        </w:rPr>
        <w:t>Dourada,</w:t>
      </w:r>
      <w:r>
        <w:rPr>
          <w:color w:val="5D6967"/>
          <w:spacing w:val="-20"/>
          <w:w w:val="85"/>
          <w:sz w:val="19"/>
        </w:rPr>
        <w:t> </w:t>
      </w:r>
      <w:r>
        <w:rPr>
          <w:color w:val="707C79"/>
          <w:w w:val="85"/>
          <w:sz w:val="19"/>
        </w:rPr>
        <w:t>Salas</w:t>
      </w:r>
      <w:r>
        <w:rPr>
          <w:color w:val="707C79"/>
          <w:spacing w:val="-18"/>
          <w:w w:val="85"/>
          <w:sz w:val="19"/>
        </w:rPr>
        <w:t> </w:t>
      </w:r>
      <w:r>
        <w:rPr>
          <w:color w:val="5D6967"/>
          <w:w w:val="85"/>
          <w:sz w:val="19"/>
        </w:rPr>
        <w:t>401</w:t>
      </w:r>
      <w:r>
        <w:rPr>
          <w:color w:val="5D6967"/>
          <w:spacing w:val="-24"/>
          <w:w w:val="85"/>
          <w:sz w:val="19"/>
        </w:rPr>
        <w:t> </w:t>
      </w:r>
      <w:r>
        <w:rPr>
          <w:color w:val="707C79"/>
          <w:w w:val="85"/>
          <w:sz w:val="19"/>
        </w:rPr>
        <w:t>a</w:t>
      </w:r>
      <w:r>
        <w:rPr>
          <w:color w:val="707C79"/>
          <w:spacing w:val="-24"/>
          <w:w w:val="85"/>
          <w:sz w:val="19"/>
        </w:rPr>
        <w:t> </w:t>
      </w:r>
      <w:r>
        <w:rPr>
          <w:color w:val="707C79"/>
          <w:w w:val="85"/>
          <w:sz w:val="19"/>
        </w:rPr>
        <w:t>409</w:t>
      </w:r>
      <w:r>
        <w:rPr>
          <w:color w:val="707C79"/>
          <w:spacing w:val="-17"/>
          <w:w w:val="85"/>
          <w:sz w:val="19"/>
        </w:rPr>
        <w:t> </w:t>
      </w:r>
      <w:r>
        <w:rPr>
          <w:color w:val="707C79"/>
          <w:w w:val="85"/>
          <w:sz w:val="18"/>
        </w:rPr>
        <w:t>j</w:t>
      </w:r>
      <w:r>
        <w:rPr>
          <w:color w:val="707C79"/>
          <w:spacing w:val="-28"/>
          <w:w w:val="85"/>
          <w:sz w:val="18"/>
        </w:rPr>
        <w:t> </w:t>
      </w:r>
      <w:r>
        <w:rPr>
          <w:color w:val="707C79"/>
          <w:w w:val="85"/>
          <w:sz w:val="19"/>
        </w:rPr>
        <w:t>CEP:</w:t>
      </w:r>
      <w:r>
        <w:rPr>
          <w:color w:val="707C79"/>
          <w:spacing w:val="-24"/>
          <w:w w:val="85"/>
          <w:sz w:val="19"/>
        </w:rPr>
        <w:t> </w:t>
      </w:r>
      <w:r>
        <w:rPr>
          <w:color w:val="707C79"/>
          <w:w w:val="85"/>
          <w:sz w:val="19"/>
        </w:rPr>
        <w:t>70.300-902</w:t>
      </w:r>
      <w:r>
        <w:rPr>
          <w:color w:val="707C79"/>
          <w:spacing w:val="-15"/>
          <w:w w:val="85"/>
          <w:sz w:val="19"/>
        </w:rPr>
        <w:t> </w:t>
      </w:r>
      <w:r>
        <w:rPr>
          <w:color w:val="707C79"/>
          <w:spacing w:val="-8"/>
          <w:w w:val="85"/>
          <w:sz w:val="19"/>
        </w:rPr>
        <w:t>Brasília</w:t>
      </w:r>
      <w:r>
        <w:rPr>
          <w:color w:val="909997"/>
          <w:spacing w:val="-8"/>
          <w:w w:val="85"/>
          <w:sz w:val="19"/>
        </w:rPr>
        <w:t>/</w:t>
      </w:r>
      <w:r>
        <w:rPr>
          <w:color w:val="909997"/>
          <w:spacing w:val="-28"/>
          <w:w w:val="85"/>
          <w:sz w:val="19"/>
        </w:rPr>
        <w:t> </w:t>
      </w:r>
      <w:r>
        <w:rPr>
          <w:color w:val="707C79"/>
          <w:spacing w:val="2"/>
          <w:w w:val="85"/>
          <w:sz w:val="19"/>
        </w:rPr>
        <w:t>DF</w:t>
      </w:r>
      <w:r>
        <w:rPr>
          <w:color w:val="707C79"/>
          <w:spacing w:val="2"/>
          <w:w w:val="85"/>
          <w:sz w:val="26"/>
        </w:rPr>
        <w:t>I</w:t>
      </w:r>
      <w:r>
        <w:rPr>
          <w:color w:val="707C79"/>
          <w:spacing w:val="-40"/>
          <w:w w:val="85"/>
          <w:sz w:val="26"/>
        </w:rPr>
        <w:t> </w:t>
      </w:r>
      <w:r>
        <w:rPr>
          <w:color w:val="707C79"/>
          <w:w w:val="85"/>
          <w:sz w:val="19"/>
        </w:rPr>
        <w:t>Telefone:</w:t>
      </w:r>
      <w:r>
        <w:rPr>
          <w:color w:val="707C79"/>
          <w:spacing w:val="-21"/>
          <w:w w:val="85"/>
          <w:sz w:val="19"/>
        </w:rPr>
        <w:t> </w:t>
      </w:r>
      <w:r>
        <w:rPr>
          <w:color w:val="707C79"/>
          <w:w w:val="85"/>
          <w:sz w:val="19"/>
        </w:rPr>
        <w:t>(61)</w:t>
      </w:r>
      <w:r>
        <w:rPr>
          <w:color w:val="707C79"/>
          <w:spacing w:val="-20"/>
          <w:w w:val="85"/>
          <w:sz w:val="19"/>
        </w:rPr>
        <w:t> </w:t>
      </w:r>
      <w:r>
        <w:rPr>
          <w:color w:val="707C79"/>
          <w:w w:val="85"/>
          <w:sz w:val="19"/>
        </w:rPr>
        <w:t>3204-9500</w:t>
      </w:r>
    </w:p>
    <w:p>
      <w:pPr>
        <w:spacing w:line="255" w:lineRule="exact" w:before="0"/>
        <w:ind w:left="113" w:right="0" w:firstLine="0"/>
        <w:jc w:val="left"/>
        <w:rPr>
          <w:rFonts w:ascii="Times New Roman"/>
          <w:b/>
          <w:sz w:val="23"/>
        </w:rPr>
      </w:pPr>
      <w:hyperlink r:id="rId7">
        <w:r>
          <w:rPr>
            <w:rFonts w:ascii="Times New Roman"/>
            <w:b/>
            <w:color w:val="5D6967"/>
            <w:w w:val="85"/>
            <w:sz w:val="23"/>
          </w:rPr>
          <w:t>www.caubr.gov.br</w:t>
        </w:r>
      </w:hyperlink>
    </w:p>
    <w:sectPr>
      <w:type w:val="continuous"/>
      <w:pgSz w:w="11910" w:h="16840"/>
      <w:pgMar w:top="0" w:bottom="280" w:left="1040" w:right="9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1"/>
      <w:szCs w:val="21"/>
    </w:rPr>
  </w:style>
  <w:style w:styleId="Heading1" w:type="paragraph">
    <w:name w:val="Heading 1"/>
    <w:basedOn w:val="Normal"/>
    <w:uiPriority w:val="1"/>
    <w:qFormat/>
    <w:pPr>
      <w:ind w:left="546"/>
      <w:jc w:val="both"/>
      <w:outlineLvl w:val="1"/>
    </w:pPr>
    <w:rPr>
      <w:rFonts w:ascii="Arial" w:hAnsi="Arial" w:eastAsia="Arial" w:cs="Arial"/>
      <w:b/>
      <w:bCs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caubr.gov.br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2019-06-07T13:02:53Z</dcterms:created>
  <dcterms:modified xsi:type="dcterms:W3CDTF">2019-06-07T13:02:53Z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2017-01-13T00:00:00Z</vt:filetime>
  </property>
  <property fmtid="{D5CDD505-2E9C-101B-9397-08002B2CF9AE}" pid="3" name="Creator">
    <vt:lpwstr>HP OJPro</vt:lpwstr>
  </property>
  <property fmtid="{D5CDD505-2E9C-101B-9397-08002B2CF9AE}" pid="4" name="LastSaved">
    <vt:filetime>2019-06-07T00:00:00Z</vt:filetime>
  </property>
</Properties>
</file>