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01D" w:rsidRPr="00D7043A" w:rsidRDefault="00D7043A">
      <w:pPr>
        <w:pStyle w:val="Ttulo1"/>
        <w:spacing w:before="153"/>
        <w:ind w:left="2426"/>
        <w:jc w:val="left"/>
      </w:pPr>
      <w:r w:rsidRPr="00D7043A">
        <w:rPr>
          <w:color w:val="2D2D2D"/>
        </w:rPr>
        <w:t>PORTARIA GERÊNCIA GERAL Nº 27/2016, DE 6 DE JUNHO DE 2016</w:t>
      </w:r>
    </w:p>
    <w:p w:rsidR="0072101D" w:rsidRPr="00D7043A" w:rsidRDefault="00D7043A">
      <w:pPr>
        <w:pStyle w:val="Corpodetexto"/>
        <w:spacing w:before="175" w:line="290" w:lineRule="auto"/>
        <w:ind w:left="5280" w:right="1292" w:hanging="3"/>
        <w:jc w:val="both"/>
      </w:pPr>
      <w:r w:rsidRPr="00D7043A">
        <w:rPr>
          <w:color w:val="2D2D2D"/>
          <w:w w:val="105"/>
        </w:rPr>
        <w:t>Promove substituição temporária no Quadro de Pessoal Efetivo do CAU/BR, e dá outras providências.</w:t>
      </w:r>
    </w:p>
    <w:p w:rsidR="0072101D" w:rsidRPr="00D7043A" w:rsidRDefault="0072101D">
      <w:pPr>
        <w:pStyle w:val="Corpodetexto"/>
        <w:spacing w:before="6"/>
        <w:rPr>
          <w:sz w:val="26"/>
        </w:rPr>
      </w:pPr>
    </w:p>
    <w:p w:rsidR="0072101D" w:rsidRPr="00D7043A" w:rsidRDefault="00D7043A">
      <w:pPr>
        <w:pStyle w:val="Corpodetexto"/>
        <w:spacing w:line="290" w:lineRule="auto"/>
        <w:ind w:left="1002" w:right="1287" w:hanging="3"/>
        <w:jc w:val="both"/>
      </w:pPr>
      <w:r w:rsidRPr="00D7043A">
        <w:rPr>
          <w:color w:val="2D2D2D"/>
        </w:rPr>
        <w:t>O Gerente Geral do Conselho de Arquitetura e Urbanismo do Brasil (CAU/BR), no uso das atribuições que lhe confere a Portaria PRES nº 55, de 21 de fevereiro de 2014, atendendo ao disposto na Portaria Normativa nº 33, de 17 de abril de 2015, e tendo em vista o contido no</w:t>
      </w:r>
      <w:r w:rsidRPr="00D7043A">
        <w:rPr>
          <w:color w:val="2D2D2D"/>
        </w:rPr>
        <w:t xml:space="preserve"> Memo. CAU/BR N</w:t>
      </w:r>
      <w:r>
        <w:rPr>
          <w:color w:val="2D2D2D"/>
        </w:rPr>
        <w:t>°</w:t>
      </w:r>
      <w:r w:rsidRPr="00D7043A">
        <w:rPr>
          <w:color w:val="2D2D2D"/>
        </w:rPr>
        <w:t xml:space="preserve"> 106/2016-RH-CAU/BR de 6 de junho de</w:t>
      </w:r>
      <w:r w:rsidRPr="00D7043A">
        <w:rPr>
          <w:color w:val="2D2D2D"/>
          <w:spacing w:val="48"/>
        </w:rPr>
        <w:t xml:space="preserve"> </w:t>
      </w:r>
      <w:r w:rsidRPr="00D7043A">
        <w:rPr>
          <w:color w:val="2D2D2D"/>
        </w:rPr>
        <w:t>2016.</w:t>
      </w:r>
    </w:p>
    <w:p w:rsidR="0072101D" w:rsidRPr="00D7043A" w:rsidRDefault="0072101D">
      <w:pPr>
        <w:pStyle w:val="Corpodetexto"/>
        <w:spacing w:before="7"/>
        <w:rPr>
          <w:sz w:val="24"/>
        </w:rPr>
      </w:pPr>
    </w:p>
    <w:p w:rsidR="0072101D" w:rsidRPr="00D7043A" w:rsidRDefault="00D7043A">
      <w:pPr>
        <w:pStyle w:val="Ttulo1"/>
        <w:ind w:left="1003"/>
      </w:pPr>
      <w:r w:rsidRPr="00D7043A">
        <w:rPr>
          <w:color w:val="2D2D2D"/>
          <w:w w:val="95"/>
        </w:rPr>
        <w:t>RESOLVE:</w:t>
      </w:r>
    </w:p>
    <w:p w:rsidR="0072101D" w:rsidRPr="00D7043A" w:rsidRDefault="0072101D">
      <w:pPr>
        <w:pStyle w:val="Corpodetexto"/>
        <w:spacing w:before="2"/>
        <w:rPr>
          <w:b/>
          <w:sz w:val="30"/>
        </w:rPr>
      </w:pPr>
    </w:p>
    <w:p w:rsidR="0072101D" w:rsidRPr="00D7043A" w:rsidRDefault="00D7043A">
      <w:pPr>
        <w:pStyle w:val="Corpodetexto"/>
        <w:ind w:left="1010"/>
        <w:jc w:val="both"/>
      </w:pPr>
      <w:r w:rsidRPr="00D7043A">
        <w:rPr>
          <w:color w:val="2D2D2D"/>
          <w:w w:val="105"/>
        </w:rPr>
        <w:t>Art. 1º Promover a seguinte substituição temporária no Quadro de Pessoal Efetivo do CAU/BR:</w:t>
      </w:r>
    </w:p>
    <w:p w:rsidR="0072101D" w:rsidRPr="00D7043A" w:rsidRDefault="0072101D">
      <w:pPr>
        <w:pStyle w:val="Corpodetexto"/>
        <w:spacing w:before="2"/>
        <w:rPr>
          <w:sz w:val="29"/>
        </w:rPr>
      </w:pPr>
    </w:p>
    <w:p w:rsidR="0072101D" w:rsidRDefault="00D7043A">
      <w:pPr>
        <w:pStyle w:val="Ttulo1"/>
        <w:spacing w:after="12"/>
      </w:pPr>
      <w:r>
        <w:rPr>
          <w:color w:val="2D2D2D"/>
        </w:rPr>
        <w:t>SUBSTITUÍDO:</w:t>
      </w:r>
    </w:p>
    <w:tbl>
      <w:tblPr>
        <w:tblStyle w:val="TableNormal"/>
        <w:tblW w:w="0" w:type="auto"/>
        <w:tblInd w:w="8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03"/>
      </w:tblGrid>
      <w:tr w:rsidR="0072101D" w:rsidRPr="00D7043A">
        <w:trPr>
          <w:trHeight w:val="333"/>
        </w:trPr>
        <w:tc>
          <w:tcPr>
            <w:tcW w:w="9703" w:type="dxa"/>
            <w:tcBorders>
              <w:bottom w:val="single" w:sz="6" w:space="0" w:color="000000"/>
              <w:right w:val="single" w:sz="6" w:space="0" w:color="000000"/>
            </w:tcBorders>
          </w:tcPr>
          <w:p w:rsidR="0072101D" w:rsidRPr="00D7043A" w:rsidRDefault="00D7043A">
            <w:pPr>
              <w:pStyle w:val="TableParagraph"/>
              <w:spacing w:before="57"/>
              <w:ind w:left="113"/>
              <w:rPr>
                <w:sz w:val="21"/>
              </w:rPr>
            </w:pPr>
            <w:r w:rsidRPr="00D7043A">
              <w:rPr>
                <w:color w:val="2D2D2D"/>
                <w:sz w:val="21"/>
              </w:rPr>
              <w:t>NOME: Wanderson da Silva Santos</w:t>
            </w:r>
          </w:p>
        </w:tc>
      </w:tr>
      <w:tr w:rsidR="0072101D" w:rsidRPr="00D7043A">
        <w:trPr>
          <w:trHeight w:val="328"/>
        </w:trPr>
        <w:tc>
          <w:tcPr>
            <w:tcW w:w="9703" w:type="dxa"/>
            <w:tcBorders>
              <w:top w:val="single" w:sz="6" w:space="0" w:color="000000"/>
              <w:right w:val="single" w:sz="6" w:space="0" w:color="000000"/>
            </w:tcBorders>
          </w:tcPr>
          <w:p w:rsidR="0072101D" w:rsidRPr="00D7043A" w:rsidRDefault="00D7043A">
            <w:pPr>
              <w:pStyle w:val="TableParagraph"/>
              <w:spacing w:before="55"/>
              <w:ind w:left="117"/>
              <w:rPr>
                <w:sz w:val="21"/>
              </w:rPr>
            </w:pPr>
            <w:r w:rsidRPr="00D7043A">
              <w:rPr>
                <w:color w:val="2D2D2D"/>
                <w:w w:val="110"/>
                <w:sz w:val="21"/>
              </w:rPr>
              <w:t>EMPREGO: Emprego de Nível Médio - Código 201- Assistente Administrativo</w:t>
            </w:r>
          </w:p>
        </w:tc>
      </w:tr>
      <w:tr w:rsidR="0072101D">
        <w:trPr>
          <w:trHeight w:val="328"/>
        </w:trPr>
        <w:tc>
          <w:tcPr>
            <w:tcW w:w="9703" w:type="dxa"/>
            <w:tcBorders>
              <w:bottom w:val="single" w:sz="6" w:space="0" w:color="000000"/>
              <w:right w:val="single" w:sz="6" w:space="0" w:color="000000"/>
            </w:tcBorders>
          </w:tcPr>
          <w:p w:rsidR="0072101D" w:rsidRDefault="00D7043A">
            <w:pPr>
              <w:pStyle w:val="TableParagraph"/>
              <w:spacing w:before="52"/>
              <w:ind w:left="119"/>
              <w:rPr>
                <w:sz w:val="21"/>
              </w:rPr>
            </w:pPr>
            <w:r>
              <w:rPr>
                <w:color w:val="2D2D2D"/>
                <w:sz w:val="21"/>
              </w:rPr>
              <w:t>LOTAÇÃO: Gerência Administrativa</w:t>
            </w:r>
          </w:p>
        </w:tc>
      </w:tr>
      <w:tr w:rsidR="0072101D">
        <w:trPr>
          <w:trHeight w:val="333"/>
        </w:trPr>
        <w:tc>
          <w:tcPr>
            <w:tcW w:w="9703" w:type="dxa"/>
            <w:tcBorders>
              <w:top w:val="single" w:sz="6" w:space="0" w:color="000000"/>
              <w:right w:val="single" w:sz="6" w:space="0" w:color="000000"/>
            </w:tcBorders>
          </w:tcPr>
          <w:p w:rsidR="0072101D" w:rsidRDefault="00D7043A">
            <w:pPr>
              <w:pStyle w:val="TableParagraph"/>
              <w:spacing w:before="60"/>
              <w:ind w:left="115"/>
              <w:rPr>
                <w:sz w:val="21"/>
              </w:rPr>
            </w:pPr>
            <w:r>
              <w:rPr>
                <w:color w:val="2D2D2D"/>
                <w:sz w:val="21"/>
              </w:rPr>
              <w:t>SALÁRIO BASE: R$ 3</w:t>
            </w:r>
            <w:r>
              <w:rPr>
                <w:color w:val="464646"/>
                <w:sz w:val="21"/>
              </w:rPr>
              <w:t>.</w:t>
            </w:r>
            <w:r>
              <w:rPr>
                <w:color w:val="2D2D2D"/>
                <w:sz w:val="21"/>
              </w:rPr>
              <w:t>800,12</w:t>
            </w:r>
          </w:p>
        </w:tc>
      </w:tr>
      <w:tr w:rsidR="0072101D" w:rsidRPr="00D7043A">
        <w:trPr>
          <w:trHeight w:val="335"/>
        </w:trPr>
        <w:tc>
          <w:tcPr>
            <w:tcW w:w="9703" w:type="dxa"/>
            <w:tcBorders>
              <w:right w:val="single" w:sz="6" w:space="0" w:color="000000"/>
            </w:tcBorders>
          </w:tcPr>
          <w:p w:rsidR="0072101D" w:rsidRPr="00D7043A" w:rsidRDefault="00D7043A">
            <w:pPr>
              <w:pStyle w:val="TableParagraph"/>
              <w:spacing w:before="62"/>
              <w:rPr>
                <w:sz w:val="21"/>
              </w:rPr>
            </w:pPr>
            <w:r w:rsidRPr="00D7043A">
              <w:rPr>
                <w:color w:val="2D2D2D"/>
                <w:sz w:val="21"/>
              </w:rPr>
              <w:t>PERÍODO DE AFASTAMENTO: 06 de junho a 25 de junho</w:t>
            </w:r>
          </w:p>
        </w:tc>
      </w:tr>
    </w:tbl>
    <w:p w:rsidR="0072101D" w:rsidRPr="00D7043A" w:rsidRDefault="0072101D">
      <w:pPr>
        <w:pStyle w:val="Corpodetexto"/>
        <w:rPr>
          <w:b/>
          <w:sz w:val="28"/>
        </w:rPr>
      </w:pPr>
    </w:p>
    <w:p w:rsidR="0072101D" w:rsidRDefault="00D7043A">
      <w:pPr>
        <w:spacing w:after="11"/>
        <w:ind w:left="1007"/>
        <w:jc w:val="both"/>
        <w:rPr>
          <w:b/>
        </w:rPr>
      </w:pPr>
      <w:r>
        <w:rPr>
          <w:b/>
          <w:color w:val="2D2D2D"/>
        </w:rPr>
        <w:t>SUBSTITUTO:</w:t>
      </w:r>
    </w:p>
    <w:tbl>
      <w:tblPr>
        <w:tblStyle w:val="TableNormal"/>
        <w:tblW w:w="0" w:type="auto"/>
        <w:tblInd w:w="89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74"/>
      </w:tblGrid>
      <w:tr w:rsidR="0072101D" w:rsidRPr="00D7043A">
        <w:trPr>
          <w:trHeight w:val="330"/>
        </w:trPr>
        <w:tc>
          <w:tcPr>
            <w:tcW w:w="9674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2101D" w:rsidRPr="00D7043A" w:rsidRDefault="00D7043A">
            <w:pPr>
              <w:pStyle w:val="TableParagraph"/>
              <w:spacing w:before="62"/>
              <w:rPr>
                <w:sz w:val="21"/>
              </w:rPr>
            </w:pPr>
            <w:r w:rsidRPr="00D7043A">
              <w:rPr>
                <w:color w:val="2D2D2D"/>
                <w:sz w:val="21"/>
              </w:rPr>
              <w:t>NOME: Alessandro de Souza Alves</w:t>
            </w:r>
          </w:p>
        </w:tc>
      </w:tr>
      <w:tr w:rsidR="0072101D" w:rsidRPr="00D7043A">
        <w:trPr>
          <w:trHeight w:val="330"/>
        </w:trPr>
        <w:tc>
          <w:tcPr>
            <w:tcW w:w="9674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72101D" w:rsidRPr="00D7043A" w:rsidRDefault="00D7043A">
            <w:pPr>
              <w:pStyle w:val="TableParagraph"/>
              <w:spacing w:before="62"/>
              <w:ind w:left="117"/>
              <w:rPr>
                <w:sz w:val="21"/>
              </w:rPr>
            </w:pPr>
            <w:r w:rsidRPr="00D7043A">
              <w:rPr>
                <w:color w:val="2D2D2D"/>
                <w:w w:val="105"/>
                <w:sz w:val="21"/>
              </w:rPr>
              <w:t xml:space="preserve">EMPREGO: Emprego de Nível Médio </w:t>
            </w:r>
            <w:r w:rsidRPr="00D7043A">
              <w:rPr>
                <w:color w:val="1C181A"/>
                <w:w w:val="105"/>
                <w:sz w:val="21"/>
              </w:rPr>
              <w:t xml:space="preserve">- </w:t>
            </w:r>
            <w:r w:rsidRPr="00D7043A">
              <w:rPr>
                <w:color w:val="2D2D2D"/>
                <w:w w:val="105"/>
                <w:sz w:val="21"/>
              </w:rPr>
              <w:t>Código 201- Assistente Administrativo</w:t>
            </w:r>
          </w:p>
        </w:tc>
      </w:tr>
      <w:tr w:rsidR="0072101D">
        <w:trPr>
          <w:trHeight w:val="330"/>
        </w:trPr>
        <w:tc>
          <w:tcPr>
            <w:tcW w:w="9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01D" w:rsidRDefault="00D7043A">
            <w:pPr>
              <w:pStyle w:val="TableParagraph"/>
              <w:spacing w:before="67"/>
              <w:ind w:left="119"/>
              <w:rPr>
                <w:sz w:val="21"/>
              </w:rPr>
            </w:pPr>
            <w:r>
              <w:rPr>
                <w:color w:val="2D2D2D"/>
                <w:sz w:val="21"/>
              </w:rPr>
              <w:t>LOTAÇÃO: Gerência Administrativa</w:t>
            </w:r>
          </w:p>
        </w:tc>
      </w:tr>
      <w:tr w:rsidR="0072101D" w:rsidRPr="00D7043A">
        <w:trPr>
          <w:trHeight w:val="292"/>
        </w:trPr>
        <w:tc>
          <w:tcPr>
            <w:tcW w:w="9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01D" w:rsidRPr="00D7043A" w:rsidRDefault="00D7043A">
            <w:pPr>
              <w:pStyle w:val="TableParagraph"/>
              <w:spacing w:line="230" w:lineRule="exact"/>
              <w:ind w:left="123"/>
              <w:rPr>
                <w:sz w:val="21"/>
              </w:rPr>
            </w:pPr>
            <w:r w:rsidRPr="00D7043A">
              <w:rPr>
                <w:color w:val="2D2D2D"/>
                <w:sz w:val="21"/>
              </w:rPr>
              <w:t>PERÍODO DE SUBSTITUIÇÃO: 06 de junho a 25 de junho</w:t>
            </w:r>
          </w:p>
        </w:tc>
      </w:tr>
      <w:tr w:rsidR="0072101D">
        <w:trPr>
          <w:trHeight w:val="311"/>
        </w:trPr>
        <w:tc>
          <w:tcPr>
            <w:tcW w:w="9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01D" w:rsidRDefault="00D7043A">
            <w:pPr>
              <w:pStyle w:val="TableParagraph"/>
              <w:ind w:left="113"/>
              <w:rPr>
                <w:sz w:val="21"/>
              </w:rPr>
            </w:pPr>
            <w:r>
              <w:rPr>
                <w:color w:val="2D2D2D"/>
                <w:sz w:val="21"/>
              </w:rPr>
              <w:t>GRATIFICAÇÃO:</w:t>
            </w:r>
          </w:p>
        </w:tc>
      </w:tr>
      <w:tr w:rsidR="0072101D" w:rsidRPr="00D7043A">
        <w:trPr>
          <w:trHeight w:val="537"/>
        </w:trPr>
        <w:tc>
          <w:tcPr>
            <w:tcW w:w="9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01D" w:rsidRPr="00D7043A" w:rsidRDefault="00D7043A">
            <w:pPr>
              <w:pStyle w:val="TableParagraph"/>
              <w:tabs>
                <w:tab w:val="left" w:pos="611"/>
              </w:tabs>
              <w:spacing w:before="48"/>
              <w:ind w:left="124"/>
              <w:rPr>
                <w:sz w:val="21"/>
              </w:rPr>
            </w:pPr>
            <w:r w:rsidRPr="00D7043A">
              <w:rPr>
                <w:color w:val="2D2D2D"/>
                <w:w w:val="105"/>
                <w:sz w:val="21"/>
              </w:rPr>
              <w:t>[X]</w:t>
            </w:r>
            <w:r w:rsidRPr="00D7043A">
              <w:rPr>
                <w:color w:val="2D2D2D"/>
                <w:w w:val="105"/>
                <w:sz w:val="21"/>
              </w:rPr>
              <w:tab/>
              <w:t>15% (quinze por cento) do salário base do</w:t>
            </w:r>
            <w:r w:rsidRPr="00D7043A">
              <w:rPr>
                <w:color w:val="2D2D2D"/>
                <w:spacing w:val="-16"/>
                <w:w w:val="105"/>
                <w:sz w:val="21"/>
              </w:rPr>
              <w:t xml:space="preserve"> </w:t>
            </w:r>
            <w:r w:rsidRPr="00D7043A">
              <w:rPr>
                <w:color w:val="2D2D2D"/>
                <w:w w:val="105"/>
                <w:sz w:val="21"/>
              </w:rPr>
              <w:t>substituído</w:t>
            </w:r>
          </w:p>
          <w:p w:rsidR="0072101D" w:rsidRPr="00D7043A" w:rsidRDefault="00D7043A">
            <w:pPr>
              <w:pStyle w:val="TableParagraph"/>
              <w:spacing w:before="41" w:line="187" w:lineRule="exact"/>
              <w:rPr>
                <w:rFonts w:ascii="Times New Roman" w:hAnsi="Times New Roman"/>
                <w:sz w:val="18"/>
              </w:rPr>
            </w:pPr>
            <w:r w:rsidRPr="00D7043A">
              <w:rPr>
                <w:color w:val="2D2D2D"/>
                <w:sz w:val="18"/>
              </w:rPr>
              <w:t xml:space="preserve">(Portaria Normativa nº 33, de 17 de abril de 2015, art. 3º, inciso </w:t>
            </w:r>
            <w:r w:rsidRPr="00D7043A">
              <w:rPr>
                <w:rFonts w:ascii="Times New Roman" w:hAnsi="Times New Roman"/>
                <w:color w:val="2D2D2D"/>
                <w:sz w:val="18"/>
              </w:rPr>
              <w:t>1)</w:t>
            </w:r>
          </w:p>
        </w:tc>
      </w:tr>
      <w:tr w:rsidR="0072101D" w:rsidRPr="00D7043A">
        <w:trPr>
          <w:trHeight w:val="657"/>
        </w:trPr>
        <w:tc>
          <w:tcPr>
            <w:tcW w:w="9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01D" w:rsidRPr="00D7043A" w:rsidRDefault="00D7043A">
            <w:pPr>
              <w:pStyle w:val="TableParagraph"/>
              <w:tabs>
                <w:tab w:val="left" w:pos="418"/>
              </w:tabs>
              <w:spacing w:before="39"/>
              <w:ind w:left="121"/>
              <w:rPr>
                <w:sz w:val="21"/>
              </w:rPr>
            </w:pPr>
            <w:r w:rsidRPr="00D7043A">
              <w:rPr>
                <w:rFonts w:ascii="Times New Roman" w:hAnsi="Times New Roman"/>
                <w:color w:val="2D2D2D"/>
                <w:w w:val="105"/>
              </w:rPr>
              <w:t>[</w:t>
            </w:r>
            <w:r w:rsidRPr="00D7043A">
              <w:rPr>
                <w:rFonts w:ascii="Times New Roman" w:hAnsi="Times New Roman"/>
                <w:color w:val="2D2D2D"/>
                <w:w w:val="105"/>
              </w:rPr>
              <w:tab/>
            </w:r>
            <w:r w:rsidRPr="00D7043A">
              <w:rPr>
                <w:color w:val="2D2D2D"/>
                <w:w w:val="105"/>
                <w:sz w:val="21"/>
              </w:rPr>
              <w:t>] 30% (trinta por cento) do salário base do substituído</w:t>
            </w:r>
          </w:p>
          <w:p w:rsidR="0072101D" w:rsidRPr="00D7043A" w:rsidRDefault="00D7043A">
            <w:pPr>
              <w:pStyle w:val="TableParagraph"/>
              <w:spacing w:before="35"/>
              <w:rPr>
                <w:rFonts w:ascii="Times New Roman" w:hAnsi="Times New Roman"/>
                <w:sz w:val="19"/>
              </w:rPr>
            </w:pPr>
            <w:r w:rsidRPr="00D7043A">
              <w:rPr>
                <w:color w:val="2D2D2D"/>
                <w:w w:val="105"/>
                <w:sz w:val="18"/>
              </w:rPr>
              <w:t xml:space="preserve">(Portaria Normativa nº 33, de 17 de abril de 2015, art. 3º, inciso </w:t>
            </w:r>
            <w:r w:rsidRPr="00D7043A">
              <w:rPr>
                <w:rFonts w:ascii="Times New Roman" w:hAnsi="Times New Roman"/>
                <w:color w:val="2D2D2D"/>
                <w:w w:val="105"/>
                <w:sz w:val="19"/>
              </w:rPr>
              <w:t>li)</w:t>
            </w:r>
          </w:p>
        </w:tc>
      </w:tr>
      <w:tr w:rsidR="0072101D" w:rsidRPr="00D7043A">
        <w:trPr>
          <w:trHeight w:val="528"/>
        </w:trPr>
        <w:tc>
          <w:tcPr>
            <w:tcW w:w="9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01D" w:rsidRPr="00D7043A" w:rsidRDefault="00D7043A">
            <w:pPr>
              <w:pStyle w:val="TableParagraph"/>
              <w:tabs>
                <w:tab w:val="left" w:pos="418"/>
              </w:tabs>
              <w:spacing w:before="20"/>
              <w:ind w:left="125"/>
              <w:rPr>
                <w:sz w:val="21"/>
              </w:rPr>
            </w:pPr>
            <w:r w:rsidRPr="00D7043A">
              <w:rPr>
                <w:rFonts w:ascii="Times New Roman" w:hAnsi="Times New Roman"/>
                <w:color w:val="2D2D2D"/>
                <w:w w:val="105"/>
                <w:position w:val="1"/>
              </w:rPr>
              <w:t>[</w:t>
            </w:r>
            <w:r w:rsidRPr="00D7043A">
              <w:rPr>
                <w:rFonts w:ascii="Times New Roman" w:hAnsi="Times New Roman"/>
                <w:color w:val="2D2D2D"/>
                <w:w w:val="105"/>
                <w:position w:val="1"/>
              </w:rPr>
              <w:tab/>
            </w:r>
            <w:r w:rsidRPr="00D7043A">
              <w:rPr>
                <w:color w:val="2D2D2D"/>
                <w:w w:val="105"/>
                <w:sz w:val="21"/>
              </w:rPr>
              <w:t>] 30% (trinta por cento) do salário base do próprio empregado</w:t>
            </w:r>
          </w:p>
          <w:p w:rsidR="0072101D" w:rsidRPr="00D7043A" w:rsidRDefault="00D7043A">
            <w:pPr>
              <w:pStyle w:val="TableParagraph"/>
              <w:spacing w:before="32" w:line="196" w:lineRule="exact"/>
              <w:ind w:left="123"/>
              <w:rPr>
                <w:rFonts w:ascii="Times New Roman" w:hAnsi="Times New Roman"/>
                <w:sz w:val="19"/>
              </w:rPr>
            </w:pPr>
            <w:r w:rsidRPr="00D7043A">
              <w:rPr>
                <w:color w:val="2D2D2D"/>
                <w:w w:val="105"/>
                <w:sz w:val="18"/>
              </w:rPr>
              <w:t xml:space="preserve">(Portaria Normativa nº 33, de 17 de abril de 2015, art. 3º, inciso </w:t>
            </w:r>
            <w:r w:rsidRPr="00D7043A">
              <w:rPr>
                <w:rFonts w:ascii="Times New Roman" w:hAnsi="Times New Roman"/>
                <w:color w:val="2D2D2D"/>
                <w:w w:val="105"/>
                <w:sz w:val="19"/>
              </w:rPr>
              <w:t>li)</w:t>
            </w:r>
            <w:bookmarkStart w:id="0" w:name="_GoBack"/>
            <w:bookmarkEnd w:id="0"/>
          </w:p>
        </w:tc>
      </w:tr>
    </w:tbl>
    <w:p w:rsidR="00D7043A" w:rsidRPr="00D7043A" w:rsidRDefault="00D7043A">
      <w:pPr>
        <w:pStyle w:val="Corpodetexto"/>
        <w:spacing w:before="2"/>
        <w:rPr>
          <w:b/>
          <w:sz w:val="29"/>
        </w:rPr>
      </w:pPr>
    </w:p>
    <w:p w:rsidR="0072101D" w:rsidRDefault="00D7043A">
      <w:pPr>
        <w:pStyle w:val="Corpodetexto"/>
        <w:spacing w:before="1"/>
        <w:ind w:left="1024"/>
        <w:jc w:val="both"/>
        <w:rPr>
          <w:color w:val="2D2D2D"/>
          <w:w w:val="105"/>
        </w:rPr>
      </w:pPr>
      <w:r w:rsidRPr="00D7043A">
        <w:rPr>
          <w:color w:val="2D2D2D"/>
          <w:w w:val="105"/>
        </w:rPr>
        <w:t>Art. 2º Esta Portaria entra em vigor nesta data.</w:t>
      </w:r>
    </w:p>
    <w:p w:rsidR="00D7043A" w:rsidRDefault="00D7043A">
      <w:pPr>
        <w:pStyle w:val="Corpodetexto"/>
        <w:spacing w:before="1"/>
        <w:ind w:left="1024"/>
        <w:jc w:val="both"/>
        <w:rPr>
          <w:color w:val="2D2D2D"/>
          <w:w w:val="105"/>
        </w:rPr>
      </w:pPr>
    </w:p>
    <w:p w:rsidR="00D7043A" w:rsidRDefault="00D7043A">
      <w:pPr>
        <w:pStyle w:val="Corpodetexto"/>
        <w:spacing w:before="1"/>
        <w:ind w:left="1024"/>
        <w:jc w:val="both"/>
        <w:rPr>
          <w:color w:val="2D2D2D"/>
          <w:w w:val="105"/>
        </w:rPr>
      </w:pPr>
    </w:p>
    <w:p w:rsidR="00D7043A" w:rsidRDefault="00D7043A">
      <w:pPr>
        <w:pStyle w:val="Corpodetexto"/>
        <w:spacing w:before="1"/>
        <w:ind w:left="1024"/>
        <w:jc w:val="both"/>
        <w:rPr>
          <w:color w:val="2D2D2D"/>
          <w:w w:val="105"/>
        </w:rPr>
      </w:pPr>
    </w:p>
    <w:p w:rsidR="00D7043A" w:rsidRDefault="00D7043A">
      <w:pPr>
        <w:pStyle w:val="Corpodetexto"/>
        <w:spacing w:before="1"/>
        <w:ind w:left="1024"/>
        <w:jc w:val="both"/>
        <w:rPr>
          <w:color w:val="2D2D2D"/>
          <w:w w:val="105"/>
        </w:rPr>
      </w:pPr>
    </w:p>
    <w:p w:rsidR="00D7043A" w:rsidRDefault="00D7043A">
      <w:pPr>
        <w:pStyle w:val="Corpodetexto"/>
        <w:spacing w:before="1"/>
        <w:ind w:left="1024"/>
        <w:jc w:val="both"/>
        <w:rPr>
          <w:color w:val="2D2D2D"/>
          <w:w w:val="105"/>
        </w:rPr>
      </w:pPr>
    </w:p>
    <w:p w:rsidR="00D7043A" w:rsidRDefault="00D7043A" w:rsidP="00D7043A">
      <w:pPr>
        <w:pStyle w:val="Corpodetexto"/>
        <w:spacing w:before="1"/>
        <w:ind w:left="1024"/>
        <w:jc w:val="center"/>
        <w:rPr>
          <w:color w:val="2D2D2D"/>
          <w:w w:val="105"/>
        </w:rPr>
      </w:pPr>
      <w:r>
        <w:rPr>
          <w:color w:val="2D2D2D"/>
          <w:w w:val="105"/>
        </w:rPr>
        <w:t>Brasília, 06 de junho de 2016</w:t>
      </w:r>
    </w:p>
    <w:p w:rsidR="00D7043A" w:rsidRDefault="00D7043A" w:rsidP="00D7043A">
      <w:pPr>
        <w:pStyle w:val="Corpodetexto"/>
        <w:spacing w:before="1"/>
        <w:ind w:left="1024"/>
        <w:jc w:val="center"/>
        <w:rPr>
          <w:color w:val="2D2D2D"/>
          <w:w w:val="105"/>
        </w:rPr>
      </w:pPr>
    </w:p>
    <w:p w:rsidR="00D7043A" w:rsidRDefault="00D7043A" w:rsidP="00D7043A">
      <w:pPr>
        <w:pStyle w:val="Corpodetexto"/>
        <w:spacing w:before="1"/>
        <w:ind w:left="1024"/>
        <w:jc w:val="center"/>
        <w:rPr>
          <w:color w:val="2D2D2D"/>
          <w:w w:val="105"/>
        </w:rPr>
      </w:pPr>
    </w:p>
    <w:p w:rsidR="00D7043A" w:rsidRDefault="00D7043A" w:rsidP="00D7043A">
      <w:pPr>
        <w:pStyle w:val="Corpodetexto"/>
        <w:spacing w:before="1"/>
        <w:ind w:left="1024"/>
        <w:jc w:val="center"/>
        <w:rPr>
          <w:color w:val="2D2D2D"/>
          <w:w w:val="105"/>
        </w:rPr>
      </w:pPr>
    </w:p>
    <w:p w:rsidR="00D7043A" w:rsidRDefault="00D7043A" w:rsidP="00D7043A">
      <w:pPr>
        <w:pStyle w:val="Corpodetexto"/>
        <w:spacing w:before="1"/>
        <w:ind w:left="1024"/>
        <w:jc w:val="center"/>
        <w:rPr>
          <w:color w:val="2D2D2D"/>
          <w:w w:val="105"/>
        </w:rPr>
      </w:pPr>
    </w:p>
    <w:p w:rsidR="00D7043A" w:rsidRDefault="00D7043A" w:rsidP="00D7043A">
      <w:pPr>
        <w:pStyle w:val="Corpodetexto"/>
        <w:spacing w:before="1"/>
        <w:ind w:left="1024"/>
        <w:jc w:val="center"/>
        <w:rPr>
          <w:color w:val="2D2D2D"/>
          <w:w w:val="105"/>
        </w:rPr>
      </w:pPr>
    </w:p>
    <w:p w:rsidR="00D7043A" w:rsidRDefault="00D7043A" w:rsidP="00D7043A">
      <w:pPr>
        <w:pStyle w:val="Corpodetexto"/>
        <w:spacing w:before="1"/>
        <w:ind w:left="1024"/>
        <w:jc w:val="center"/>
        <w:rPr>
          <w:color w:val="2D2D2D"/>
          <w:w w:val="105"/>
        </w:rPr>
      </w:pPr>
    </w:p>
    <w:p w:rsidR="00D7043A" w:rsidRDefault="00D7043A" w:rsidP="00D7043A">
      <w:pPr>
        <w:pStyle w:val="Corpodetexto"/>
        <w:spacing w:before="1"/>
        <w:ind w:left="1024"/>
        <w:jc w:val="center"/>
        <w:rPr>
          <w:b/>
          <w:color w:val="2D2D2D"/>
          <w:w w:val="105"/>
        </w:rPr>
      </w:pPr>
      <w:r>
        <w:rPr>
          <w:b/>
          <w:color w:val="2D2D2D"/>
          <w:w w:val="105"/>
        </w:rPr>
        <w:t>ANDREI CANDIOTA DA SILVA</w:t>
      </w:r>
    </w:p>
    <w:p w:rsidR="0072101D" w:rsidRDefault="00D7043A" w:rsidP="00D7043A">
      <w:pPr>
        <w:pStyle w:val="Corpodetexto"/>
        <w:spacing w:before="1"/>
        <w:ind w:left="1024"/>
        <w:jc w:val="center"/>
        <w:rPr>
          <w:rFonts w:ascii="Times New Roman"/>
          <w:b/>
          <w:sz w:val="25"/>
        </w:rPr>
      </w:pPr>
      <w:r>
        <w:rPr>
          <w:color w:val="2D2D2D"/>
          <w:w w:val="105"/>
        </w:rPr>
        <w:t>Gerente Geral do CAU/BR</w:t>
      </w:r>
    </w:p>
    <w:sectPr w:rsidR="0072101D" w:rsidSect="00D7043A">
      <w:type w:val="continuous"/>
      <w:pgSz w:w="11910" w:h="16840"/>
      <w:pgMar w:top="580" w:right="80" w:bottom="709" w:left="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72101D"/>
    <w:rsid w:val="0072101D"/>
    <w:rsid w:val="00D70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65D524-FB9B-431D-B673-B554C6139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BR"/>
    </w:rPr>
  </w:style>
  <w:style w:type="paragraph" w:styleId="Ttulo1">
    <w:name w:val="heading 1"/>
    <w:basedOn w:val="Normal"/>
    <w:uiPriority w:val="1"/>
    <w:qFormat/>
    <w:pPr>
      <w:ind w:left="1007"/>
      <w:jc w:val="both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1"/>
      <w:szCs w:val="21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3"/>
      <w:ind w:left="11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Alessandra Telles Bellomo de Farias</cp:lastModifiedBy>
  <cp:revision>2</cp:revision>
  <dcterms:created xsi:type="dcterms:W3CDTF">2019-06-07T16:34:00Z</dcterms:created>
  <dcterms:modified xsi:type="dcterms:W3CDTF">2019-06-07T18:15:00Z</dcterms:modified>
</cp:coreProperties>
</file>