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1300" w:right="580"/>
        </w:sectPr>
      </w:pPr>
    </w:p>
    <w:p>
      <w:pPr>
        <w:spacing w:before="46"/>
        <w:ind w:left="118" w:right="0" w:firstLine="0"/>
        <w:jc w:val="left"/>
        <w:rPr>
          <w:b/>
          <w:sz w:val="22"/>
        </w:rPr>
      </w:pPr>
      <w:r>
        <w:rPr>
          <w:b/>
          <w:color w:val="205768"/>
          <w:sz w:val="22"/>
        </w:rPr>
        <w:t>CONSELHO</w:t>
      </w:r>
      <w:r>
        <w:rPr>
          <w:b/>
          <w:color w:val="205768"/>
          <w:spacing w:val="-8"/>
          <w:sz w:val="22"/>
        </w:rPr>
        <w:t> </w:t>
      </w:r>
      <w:r>
        <w:rPr>
          <w:b/>
          <w:color w:val="205768"/>
          <w:sz w:val="22"/>
        </w:rPr>
        <w:t>DE</w:t>
      </w:r>
      <w:r>
        <w:rPr>
          <w:b/>
          <w:color w:val="205768"/>
          <w:spacing w:val="-8"/>
          <w:sz w:val="22"/>
        </w:rPr>
        <w:t> </w:t>
      </w:r>
      <w:r>
        <w:rPr>
          <w:b/>
          <w:color w:val="205768"/>
          <w:sz w:val="22"/>
        </w:rPr>
        <w:t>ARQUITETURA</w:t>
      </w:r>
      <w:r>
        <w:rPr>
          <w:b/>
          <w:color w:val="205768"/>
          <w:spacing w:val="-9"/>
          <w:sz w:val="22"/>
        </w:rPr>
        <w:t> </w:t>
      </w:r>
      <w:r>
        <w:rPr>
          <w:b/>
          <w:color w:val="205768"/>
          <w:sz w:val="22"/>
        </w:rPr>
        <w:t>E</w:t>
      </w:r>
      <w:r>
        <w:rPr>
          <w:b/>
          <w:color w:val="205768"/>
          <w:spacing w:val="-7"/>
          <w:sz w:val="22"/>
        </w:rPr>
        <w:t> </w:t>
      </w:r>
      <w:r>
        <w:rPr>
          <w:b/>
          <w:color w:val="205768"/>
          <w:sz w:val="22"/>
        </w:rPr>
        <w:t>URBANISMO</w:t>
      </w:r>
      <w:r>
        <w:rPr>
          <w:b/>
          <w:color w:val="205768"/>
          <w:spacing w:val="-9"/>
          <w:sz w:val="22"/>
        </w:rPr>
        <w:t> </w:t>
      </w:r>
      <w:r>
        <w:rPr>
          <w:b/>
          <w:color w:val="205768"/>
          <w:sz w:val="22"/>
        </w:rPr>
        <w:t>DO</w:t>
      </w:r>
      <w:r>
        <w:rPr>
          <w:b/>
          <w:color w:val="205768"/>
          <w:spacing w:val="-8"/>
          <w:sz w:val="22"/>
        </w:rPr>
        <w:t> </w:t>
      </w:r>
      <w:r>
        <w:rPr>
          <w:b/>
          <w:color w:val="205768"/>
          <w:sz w:val="22"/>
        </w:rPr>
        <w:t>BRASIL</w:t>
      </w:r>
      <w:r>
        <w:rPr>
          <w:b/>
          <w:color w:val="205768"/>
          <w:spacing w:val="-8"/>
          <w:sz w:val="22"/>
        </w:rPr>
        <w:t> </w:t>
      </w:r>
      <w:r>
        <w:rPr>
          <w:b/>
          <w:color w:val="205768"/>
          <w:spacing w:val="-2"/>
          <w:sz w:val="22"/>
        </w:rPr>
        <w:t>CAU/BR</w:t>
      </w:r>
    </w:p>
    <w:p>
      <w:pPr>
        <w:pStyle w:val="BodyText"/>
        <w:rPr>
          <w:b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sz w:val="22"/>
        </w:rPr>
        <w:t>SGAN</w:t>
      </w:r>
      <w:r>
        <w:rPr>
          <w:spacing w:val="-7"/>
          <w:sz w:val="22"/>
        </w:rPr>
        <w:t> </w:t>
      </w:r>
      <w:r>
        <w:rPr>
          <w:sz w:val="22"/>
        </w:rPr>
        <w:t>Q</w:t>
      </w:r>
      <w:r>
        <w:rPr>
          <w:spacing w:val="-6"/>
          <w:sz w:val="22"/>
        </w:rPr>
        <w:t> </w:t>
      </w:r>
      <w:r>
        <w:rPr>
          <w:sz w:val="22"/>
        </w:rPr>
        <w:t>702/902</w:t>
      </w:r>
      <w:r>
        <w:rPr>
          <w:spacing w:val="-6"/>
          <w:sz w:val="22"/>
        </w:rPr>
        <w:t> </w:t>
      </w:r>
      <w:r>
        <w:rPr>
          <w:sz w:val="22"/>
        </w:rPr>
        <w:t>Ed.</w:t>
      </w:r>
      <w:r>
        <w:rPr>
          <w:spacing w:val="-6"/>
          <w:sz w:val="22"/>
        </w:rPr>
        <w:t> </w:t>
      </w:r>
      <w:r>
        <w:rPr>
          <w:sz w:val="22"/>
        </w:rPr>
        <w:t>General</w:t>
      </w:r>
      <w:r>
        <w:rPr>
          <w:spacing w:val="-6"/>
          <w:sz w:val="22"/>
        </w:rPr>
        <w:t> </w:t>
      </w:r>
      <w:r>
        <w:rPr>
          <w:sz w:val="22"/>
        </w:rPr>
        <w:t>Alencastro</w:t>
      </w:r>
      <w:r>
        <w:rPr>
          <w:spacing w:val="-6"/>
          <w:sz w:val="22"/>
        </w:rPr>
        <w:t> </w:t>
      </w:r>
      <w:r>
        <w:rPr>
          <w:sz w:val="22"/>
        </w:rPr>
        <w:t>2º</w:t>
      </w:r>
      <w:r>
        <w:rPr>
          <w:spacing w:val="-7"/>
          <w:sz w:val="22"/>
        </w:rPr>
        <w:t> </w:t>
      </w:r>
      <w:r>
        <w:rPr>
          <w:sz w:val="22"/>
        </w:rPr>
        <w:t>Andar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Asa</w:t>
      </w:r>
      <w:r>
        <w:rPr>
          <w:spacing w:val="-6"/>
          <w:sz w:val="22"/>
        </w:rPr>
        <w:t> </w:t>
      </w:r>
      <w:r>
        <w:rPr>
          <w:sz w:val="22"/>
        </w:rPr>
        <w:t>Sul,</w:t>
      </w:r>
      <w:r>
        <w:rPr>
          <w:spacing w:val="-7"/>
          <w:sz w:val="22"/>
        </w:rPr>
        <w:t> </w:t>
      </w:r>
      <w:r>
        <w:rPr>
          <w:sz w:val="22"/>
        </w:rPr>
        <w:t>Brasília/DF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CEP:</w:t>
      </w:r>
      <w:r>
        <w:rPr>
          <w:spacing w:val="-6"/>
          <w:sz w:val="22"/>
        </w:rPr>
        <w:t> </w:t>
      </w:r>
      <w:r>
        <w:rPr>
          <w:sz w:val="22"/>
        </w:rPr>
        <w:t>70.297-</w:t>
      </w:r>
      <w:r>
        <w:rPr>
          <w:spacing w:val="-5"/>
          <w:sz w:val="22"/>
        </w:rPr>
        <w:t>400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6"/>
        <w:tabs>
          <w:tab w:pos="4374" w:val="left" w:leader="none"/>
        </w:tabs>
        <w:spacing w:line="369" w:lineRule="auto"/>
        <w:ind w:right="4411"/>
      </w:pPr>
      <w:r>
        <w:rPr/>
        <w:t>Antônio Luciano de Lima Guimarães</w:t>
        <w:tab/>
        <w:t>|</w:t>
      </w:r>
      <w:r>
        <w:rPr>
          <w:spacing w:val="-14"/>
        </w:rPr>
        <w:t> </w:t>
      </w:r>
      <w:r>
        <w:rPr/>
        <w:t>Presidente Conselho Diretor</w:t>
      </w:r>
    </w:p>
    <w:p>
      <w:pPr>
        <w:pStyle w:val="BodyText"/>
        <w:tabs>
          <w:tab w:pos="3523" w:val="left" w:leader="none"/>
        </w:tabs>
        <w:spacing w:line="369" w:lineRule="auto" w:before="4"/>
        <w:ind w:left="118" w:right="2502"/>
      </w:pPr>
      <w:r>
        <w:rPr/>
        <w:t>Andrea Lucia Vilella Arruda</w:t>
        <w:tab/>
        <w:t>|</w:t>
      </w:r>
      <w:r>
        <w:rPr>
          <w:spacing w:val="-6"/>
        </w:rPr>
        <w:t> </w:t>
      </w:r>
      <w:r>
        <w:rPr/>
        <w:t>Coord.</w:t>
      </w:r>
      <w:r>
        <w:rPr>
          <w:spacing w:val="-5"/>
        </w:rPr>
        <w:t> </w:t>
      </w:r>
      <w:r>
        <w:rPr/>
        <w:t>Comissão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Ensino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Formação Guivaldo D’Alexandria Baptista</w:t>
        <w:tab/>
        <w:t>| Coord. Comissão de Ética e Disciplina</w:t>
      </w:r>
    </w:p>
    <w:p>
      <w:pPr>
        <w:pStyle w:val="BodyText"/>
        <w:tabs>
          <w:tab w:pos="3523" w:val="left" w:leader="none"/>
        </w:tabs>
        <w:spacing w:line="369" w:lineRule="auto" w:before="3"/>
        <w:ind w:left="118" w:right="1501"/>
      </w:pPr>
      <w:r>
        <w:rPr/>
        <w:t>Jeferson Dantas Navolar</w:t>
        <w:tab/>
        <w:t>|</w:t>
      </w:r>
      <w:r>
        <w:rPr>
          <w:spacing w:val="-6"/>
        </w:rPr>
        <w:t> </w:t>
      </w:r>
      <w:r>
        <w:rPr/>
        <w:t>Coord.</w:t>
      </w:r>
      <w:r>
        <w:rPr>
          <w:spacing w:val="-5"/>
        </w:rPr>
        <w:t> </w:t>
      </w:r>
      <w:r>
        <w:rPr/>
        <w:t>Comissão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Organização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Administração Patrícia Silva Luz de Macedo</w:t>
        <w:tab/>
        <w:t>| Coord. da Comissão de Exercício Profissional</w:t>
      </w:r>
    </w:p>
    <w:p>
      <w:pPr>
        <w:pStyle w:val="BodyText"/>
        <w:tabs>
          <w:tab w:pos="3523" w:val="left" w:leader="none"/>
        </w:tabs>
        <w:spacing w:before="4"/>
        <w:ind w:left="118"/>
      </w:pPr>
      <w:r>
        <w:rPr/>
        <w:t>Raul</w:t>
      </w:r>
      <w:r>
        <w:rPr>
          <w:spacing w:val="-4"/>
        </w:rPr>
        <w:t> </w:t>
      </w:r>
      <w:r>
        <w:rPr/>
        <w:t>Wanderley </w:t>
      </w:r>
      <w:r>
        <w:rPr>
          <w:spacing w:val="-2"/>
        </w:rPr>
        <w:t>Gradim</w:t>
      </w:r>
      <w:r>
        <w:rPr/>
        <w:tab/>
        <w:t>|</w:t>
      </w:r>
      <w:r>
        <w:rPr>
          <w:spacing w:val="-5"/>
        </w:rPr>
        <w:t> </w:t>
      </w:r>
      <w:r>
        <w:rPr/>
        <w:t>Coord.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Comissão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Finanças</w:t>
      </w: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Heading6"/>
        <w:spacing w:before="1"/>
      </w:pPr>
      <w:r>
        <w:rPr/>
        <w:t>Comissão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Planejamento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Finanças</w:t>
      </w:r>
    </w:p>
    <w:p>
      <w:pPr>
        <w:pStyle w:val="BodyText"/>
        <w:tabs>
          <w:tab w:pos="3523" w:val="left" w:leader="none"/>
        </w:tabs>
        <w:spacing w:line="372" w:lineRule="auto" w:before="159"/>
        <w:ind w:left="118" w:right="4212"/>
      </w:pPr>
      <w:r>
        <w:rPr/>
        <w:t>Raul Wanderley Gradim</w:t>
        <w:tab/>
        <w:t>| Coordenador</w:t>
      </w:r>
      <w:r>
        <w:rPr>
          <w:spacing w:val="80"/>
        </w:rPr>
        <w:t> </w:t>
      </w:r>
      <w:r>
        <w:rPr/>
        <w:t>Osvaldo Abrão de Souza</w:t>
        <w:tab/>
        <w:t>|</w:t>
      </w:r>
      <w:r>
        <w:rPr>
          <w:spacing w:val="-14"/>
        </w:rPr>
        <w:t> </w:t>
      </w:r>
      <w:r>
        <w:rPr/>
        <w:t>Coordenador</w:t>
      </w:r>
      <w:r>
        <w:rPr>
          <w:spacing w:val="-14"/>
        </w:rPr>
        <w:t> </w:t>
      </w:r>
      <w:r>
        <w:rPr/>
        <w:t>Adjunto Eduardo Pasquinelli Rocio</w:t>
      </w:r>
    </w:p>
    <w:p>
      <w:pPr>
        <w:pStyle w:val="BodyText"/>
        <w:spacing w:line="291" w:lineRule="exact"/>
        <w:ind w:left="118"/>
      </w:pPr>
      <w:r>
        <w:rPr/>
        <w:t>Nádia </w:t>
      </w:r>
      <w:r>
        <w:rPr>
          <w:spacing w:val="-2"/>
        </w:rPr>
        <w:t>Somekh</w:t>
      </w:r>
    </w:p>
    <w:p>
      <w:pPr>
        <w:pStyle w:val="BodyText"/>
        <w:spacing w:before="159"/>
        <w:ind w:left="118"/>
      </w:pPr>
      <w:r>
        <w:rPr/>
        <w:t>Wilson</w:t>
      </w:r>
      <w:r>
        <w:rPr>
          <w:spacing w:val="-4"/>
        </w:rPr>
        <w:t> </w:t>
      </w:r>
      <w:r>
        <w:rPr/>
        <w:t>Fernando</w:t>
      </w:r>
      <w:r>
        <w:rPr>
          <w:spacing w:val="-3"/>
        </w:rPr>
        <w:t> </w:t>
      </w:r>
      <w:r>
        <w:rPr/>
        <w:t>Vargas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Andrade</w:t>
      </w: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pStyle w:val="Heading6"/>
        <w:spacing w:line="369" w:lineRule="auto"/>
        <w:ind w:right="5401"/>
      </w:pPr>
      <w:r>
        <w:rPr/>
        <w:t>Eduardo</w:t>
      </w:r>
      <w:r>
        <w:rPr>
          <w:spacing w:val="-12"/>
        </w:rPr>
        <w:t> </w:t>
      </w:r>
      <w:r>
        <w:rPr/>
        <w:t>Pereira</w:t>
      </w:r>
      <w:r>
        <w:rPr>
          <w:spacing w:val="-13"/>
        </w:rPr>
        <w:t> </w:t>
      </w:r>
      <w:r>
        <w:rPr/>
        <w:t>|</w:t>
      </w:r>
      <w:r>
        <w:rPr>
          <w:spacing w:val="-13"/>
        </w:rPr>
        <w:t> </w:t>
      </w:r>
      <w:r>
        <w:rPr/>
        <w:t>Gerente-Geral Coordenação e Elaboração</w:t>
      </w:r>
    </w:p>
    <w:p>
      <w:pPr>
        <w:pStyle w:val="BodyText"/>
        <w:spacing w:before="4"/>
        <w:ind w:left="118"/>
      </w:pPr>
      <w:r>
        <w:rPr/>
        <w:t>Gerência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Gestão </w:t>
      </w:r>
      <w:r>
        <w:rPr>
          <w:spacing w:val="-2"/>
        </w:rPr>
        <w:t>Estratégica</w:t>
      </w:r>
    </w:p>
    <w:p>
      <w:pPr>
        <w:pStyle w:val="Heading6"/>
        <w:spacing w:before="159"/>
      </w:pP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Elaboração</w:t>
      </w:r>
    </w:p>
    <w:p>
      <w:pPr>
        <w:pStyle w:val="BodyText"/>
        <w:tabs>
          <w:tab w:pos="3523" w:val="left" w:leader="none"/>
        </w:tabs>
        <w:spacing w:line="369" w:lineRule="auto" w:before="161"/>
        <w:ind w:left="118" w:right="1785"/>
      </w:pPr>
      <w:r>
        <w:rPr/>
        <w:t>Tania Mara C. Daldegan</w:t>
        <w:tab/>
        <w:t>|</w:t>
      </w:r>
      <w:r>
        <w:rPr>
          <w:spacing w:val="-7"/>
        </w:rPr>
        <w:t> </w:t>
      </w:r>
      <w:r>
        <w:rPr/>
        <w:t>Gerente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Planejamento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Gestão</w:t>
      </w:r>
      <w:r>
        <w:rPr>
          <w:spacing w:val="-7"/>
        </w:rPr>
        <w:t> </w:t>
      </w:r>
      <w:r>
        <w:rPr/>
        <w:t>Estratégica Flávia Rios Costa</w:t>
        <w:tab/>
        <w:t>| Analista Técnica</w:t>
      </w:r>
    </w:p>
    <w:p>
      <w:pPr>
        <w:pStyle w:val="BodyText"/>
        <w:tabs>
          <w:tab w:pos="3523" w:val="left" w:leader="none"/>
        </w:tabs>
        <w:spacing w:line="372" w:lineRule="auto" w:before="3"/>
        <w:ind w:left="118" w:right="4632"/>
      </w:pPr>
      <w:r>
        <w:rPr/>
        <w:t>Marcos Cristino de Oliveira</w:t>
        <w:tab/>
        <w:t>| Analista Técnico Zaíle Sousa das Chagas</w:t>
        <w:tab/>
        <w:t>| Analista Técnica Fabiana Pereira Siqueira</w:t>
        <w:tab/>
        <w:t>|</w:t>
      </w:r>
      <w:r>
        <w:rPr>
          <w:spacing w:val="-12"/>
        </w:rPr>
        <w:t> </w:t>
      </w:r>
      <w:r>
        <w:rPr/>
        <w:t>Profissional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RPA Lyzandra Dias Teixeira de Paula</w:t>
        <w:tab/>
        <w:t>| Estagiária</w:t>
      </w:r>
    </w:p>
    <w:p>
      <w:pPr>
        <w:spacing w:line="264" w:lineRule="exact" w:before="0"/>
        <w:ind w:left="118" w:right="0" w:firstLine="0"/>
        <w:jc w:val="left"/>
        <w:rPr>
          <w:sz w:val="22"/>
        </w:rPr>
      </w:pPr>
      <w:r>
        <w:rPr>
          <w:sz w:val="22"/>
        </w:rPr>
        <w:t>*Capa</w:t>
      </w:r>
      <w:r>
        <w:rPr>
          <w:spacing w:val="-11"/>
          <w:sz w:val="22"/>
        </w:rPr>
        <w:t> </w:t>
      </w:r>
      <w:r>
        <w:rPr>
          <w:sz w:val="22"/>
        </w:rPr>
        <w:t>|Ponte</w:t>
      </w:r>
      <w:r>
        <w:rPr>
          <w:spacing w:val="-8"/>
          <w:sz w:val="22"/>
        </w:rPr>
        <w:t> </w:t>
      </w:r>
      <w:r>
        <w:rPr>
          <w:sz w:val="22"/>
        </w:rPr>
        <w:t>JK</w:t>
      </w:r>
      <w:r>
        <w:rPr>
          <w:spacing w:val="-8"/>
          <w:sz w:val="22"/>
        </w:rPr>
        <w:t> </w:t>
      </w:r>
      <w:r>
        <w:rPr>
          <w:sz w:val="22"/>
        </w:rPr>
        <w:t>em</w:t>
      </w:r>
      <w:r>
        <w:rPr>
          <w:spacing w:val="-8"/>
          <w:sz w:val="22"/>
        </w:rPr>
        <w:t> </w:t>
      </w:r>
      <w:r>
        <w:rPr>
          <w:sz w:val="22"/>
        </w:rPr>
        <w:t>Brasília,</w:t>
      </w:r>
      <w:r>
        <w:rPr>
          <w:spacing w:val="-8"/>
          <w:sz w:val="22"/>
        </w:rPr>
        <w:t> </w:t>
      </w:r>
      <w:r>
        <w:rPr>
          <w:sz w:val="22"/>
        </w:rPr>
        <w:t>DF</w:t>
      </w:r>
      <w:r>
        <w:rPr>
          <w:spacing w:val="-8"/>
          <w:sz w:val="22"/>
        </w:rPr>
        <w:t> </w:t>
      </w: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Foto</w:t>
      </w:r>
      <w:r>
        <w:rPr>
          <w:spacing w:val="-8"/>
          <w:sz w:val="22"/>
        </w:rPr>
        <w:t> </w:t>
      </w:r>
      <w:r>
        <w:rPr>
          <w:sz w:val="22"/>
        </w:rPr>
        <w:t>por</w:t>
      </w:r>
      <w:r>
        <w:rPr>
          <w:spacing w:val="-8"/>
          <w:sz w:val="22"/>
        </w:rPr>
        <w:t> </w:t>
      </w:r>
      <w:r>
        <w:rPr>
          <w:sz w:val="22"/>
        </w:rPr>
        <w:t>Mugnatto/Wikimedia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Commons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6"/>
        </w:rPr>
      </w:pPr>
    </w:p>
    <w:p>
      <w:pPr>
        <w:spacing w:line="384" w:lineRule="auto" w:before="0"/>
        <w:ind w:left="3397" w:right="3547" w:hanging="2"/>
        <w:jc w:val="center"/>
        <w:rPr>
          <w:b/>
          <w:sz w:val="22"/>
        </w:rPr>
      </w:pPr>
      <w:r>
        <w:rPr>
          <w:b/>
          <w:sz w:val="22"/>
        </w:rPr>
        <w:t>107ª Reunião Plenária Ordinária Brasília,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16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dezembro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2020.</w:t>
      </w:r>
    </w:p>
    <w:p>
      <w:pPr>
        <w:spacing w:after="0" w:line="384" w:lineRule="auto"/>
        <w:jc w:val="center"/>
        <w:rPr>
          <w:sz w:val="22"/>
        </w:rPr>
        <w:sectPr>
          <w:headerReference w:type="default" r:id="rId6"/>
          <w:footerReference w:type="default" r:id="rId7"/>
          <w:pgSz w:w="11910" w:h="16840"/>
          <w:pgMar w:header="516" w:footer="442" w:top="1540" w:bottom="640" w:left="1300" w:right="580"/>
          <w:pgNumType w:start="2"/>
        </w:sectPr>
      </w:pPr>
    </w:p>
    <w:p>
      <w:pPr>
        <w:spacing w:before="44"/>
        <w:ind w:left="4466" w:right="4608" w:firstLine="0"/>
        <w:jc w:val="center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pacing w:val="-2"/>
          <w:sz w:val="28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46" w:val="left" w:leader="dot"/>
            </w:tabs>
            <w:spacing w:before="616"/>
            <w:ind w:left="544" w:firstLine="0"/>
          </w:pPr>
          <w:hyperlink w:history="true" w:anchor="_bookmark0">
            <w:r>
              <w:rPr>
                <w:color w:val="006666"/>
              </w:rPr>
              <w:t>ÍNDICE</w:t>
            </w:r>
            <w:r>
              <w:rPr>
                <w:color w:val="006666"/>
                <w:spacing w:val="-7"/>
              </w:rPr>
              <w:t> </w:t>
            </w:r>
            <w:r>
              <w:rPr>
                <w:color w:val="006666"/>
              </w:rPr>
              <w:t>DE</w:t>
            </w:r>
            <w:r>
              <w:rPr>
                <w:color w:val="006666"/>
                <w:spacing w:val="-7"/>
              </w:rPr>
              <w:t> </w:t>
            </w:r>
            <w:r>
              <w:rPr>
                <w:color w:val="006666"/>
              </w:rPr>
              <w:t>FIGURA,</w:t>
            </w:r>
            <w:r>
              <w:rPr>
                <w:color w:val="006666"/>
                <w:spacing w:val="-7"/>
              </w:rPr>
              <w:t> </w:t>
            </w:r>
            <w:r>
              <w:rPr>
                <w:color w:val="006666"/>
              </w:rPr>
              <w:t>MAPA,</w:t>
            </w:r>
            <w:r>
              <w:rPr>
                <w:color w:val="006666"/>
                <w:spacing w:val="-7"/>
              </w:rPr>
              <w:t> </w:t>
            </w:r>
            <w:r>
              <w:rPr>
                <w:color w:val="006666"/>
              </w:rPr>
              <w:t>QUADROS</w:t>
            </w:r>
            <w:r>
              <w:rPr>
                <w:color w:val="006666"/>
                <w:spacing w:val="-6"/>
              </w:rPr>
              <w:t> </w:t>
            </w:r>
            <w:r>
              <w:rPr>
                <w:color w:val="006666"/>
              </w:rPr>
              <w:t>E</w:t>
            </w:r>
            <w:r>
              <w:rPr>
                <w:color w:val="006666"/>
                <w:spacing w:val="-5"/>
              </w:rPr>
              <w:t> </w:t>
            </w:r>
            <w:r>
              <w:rPr>
                <w:color w:val="006666"/>
                <w:spacing w:val="-2"/>
              </w:rPr>
              <w:t>GRÁFICOS</w:t>
            </w:r>
            <w:r>
              <w:rPr>
                <w:color w:val="006666"/>
              </w:rPr>
              <w:tab/>
            </w:r>
            <w:r>
              <w:rPr>
                <w:color w:val="006666"/>
                <w:spacing w:val="-10"/>
              </w:rPr>
              <w:t>4</w:t>
            </w:r>
          </w:hyperlink>
        </w:p>
        <w:p>
          <w:pPr>
            <w:pStyle w:val="TOC1"/>
            <w:tabs>
              <w:tab w:pos="9646" w:val="left" w:leader="dot"/>
            </w:tabs>
            <w:ind w:left="544" w:firstLine="0"/>
          </w:pPr>
          <w:hyperlink w:history="true" w:anchor="_bookmark1">
            <w:r>
              <w:rPr>
                <w:color w:val="006666"/>
                <w:spacing w:val="-2"/>
              </w:rPr>
              <w:t>INTRODUÇÃO</w:t>
            </w:r>
            <w:r>
              <w:rPr>
                <w:color w:val="006666"/>
              </w:rPr>
              <w:tab/>
            </w:r>
            <w:r>
              <w:rPr>
                <w:color w:val="006666"/>
                <w:spacing w:val="-1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16" w:val="left" w:leader="none"/>
              <w:tab w:pos="9534" w:val="left" w:leader="dot"/>
            </w:tabs>
            <w:spacing w:line="240" w:lineRule="auto" w:before="294" w:after="0"/>
            <w:ind w:left="715" w:right="0" w:hanging="172"/>
            <w:jc w:val="left"/>
          </w:pPr>
          <w:hyperlink w:history="true" w:anchor="_bookmark4">
            <w:r>
              <w:rPr>
                <w:color w:val="006666"/>
              </w:rPr>
              <w:t>ORIGEM</w:t>
            </w:r>
            <w:r>
              <w:rPr>
                <w:color w:val="006666"/>
                <w:spacing w:val="-8"/>
              </w:rPr>
              <w:t> </w:t>
            </w:r>
            <w:r>
              <w:rPr>
                <w:color w:val="006666"/>
              </w:rPr>
              <w:t>DOS</w:t>
            </w:r>
            <w:r>
              <w:rPr>
                <w:color w:val="006666"/>
                <w:spacing w:val="-6"/>
              </w:rPr>
              <w:t> </w:t>
            </w:r>
            <w:r>
              <w:rPr>
                <w:color w:val="006666"/>
                <w:spacing w:val="-2"/>
              </w:rPr>
              <w:t>RECURSOS.</w:t>
            </w:r>
            <w:r>
              <w:rPr>
                <w:color w:val="006666"/>
              </w:rPr>
              <w:tab/>
            </w:r>
            <w:r>
              <w:rPr>
                <w:color w:val="006666"/>
                <w:spacing w:val="-5"/>
              </w:rPr>
              <w:t>12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0" w:val="left" w:leader="none"/>
              <w:tab w:pos="9534" w:val="left" w:leader="dot"/>
            </w:tabs>
            <w:spacing w:line="240" w:lineRule="auto" w:before="295" w:after="0"/>
            <w:ind w:left="969" w:right="0" w:hanging="284"/>
            <w:jc w:val="left"/>
          </w:pPr>
          <w:hyperlink w:history="true" w:anchor="_bookmark9">
            <w:r>
              <w:rPr/>
              <w:t>Dos</w:t>
            </w:r>
            <w:r>
              <w:rPr>
                <w:spacing w:val="-7"/>
              </w:rPr>
              <w:t> </w:t>
            </w:r>
            <w:r>
              <w:rPr/>
              <w:t>Recursos</w:t>
            </w:r>
            <w:r>
              <w:rPr>
                <w:spacing w:val="-7"/>
              </w:rPr>
              <w:t> </w:t>
            </w:r>
            <w:r>
              <w:rPr/>
              <w:t>do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CAU/BR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0" w:val="left" w:leader="none"/>
              <w:tab w:pos="9534" w:val="left" w:leader="dot"/>
            </w:tabs>
            <w:spacing w:line="240" w:lineRule="auto" w:before="234" w:after="0"/>
            <w:ind w:left="969" w:right="0" w:hanging="284"/>
            <w:jc w:val="left"/>
          </w:pPr>
          <w:hyperlink w:history="true" w:anchor="_bookmark13">
            <w:r>
              <w:rPr/>
              <w:t>Dos</w:t>
            </w:r>
            <w:r>
              <w:rPr>
                <w:spacing w:val="-8"/>
              </w:rPr>
              <w:t> </w:t>
            </w:r>
            <w:r>
              <w:rPr/>
              <w:t>Recursos</w:t>
            </w:r>
            <w:r>
              <w:rPr>
                <w:spacing w:val="-7"/>
              </w:rPr>
              <w:t> </w:t>
            </w:r>
            <w:r>
              <w:rPr/>
              <w:t>dos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CAU/UF.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5" w:val="left" w:leader="none"/>
              <w:tab w:pos="9534" w:val="left" w:leader="dot"/>
            </w:tabs>
            <w:spacing w:line="240" w:lineRule="auto" w:before="234" w:after="0"/>
            <w:ind w:left="764" w:right="0" w:hanging="221"/>
            <w:jc w:val="left"/>
          </w:pPr>
          <w:hyperlink w:history="true" w:anchor="_bookmark21">
            <w:r>
              <w:rPr>
                <w:color w:val="006666"/>
              </w:rPr>
              <w:t>APLICAÇÃO</w:t>
            </w:r>
            <w:r>
              <w:rPr>
                <w:color w:val="006666"/>
                <w:spacing w:val="-9"/>
              </w:rPr>
              <w:t> </w:t>
            </w:r>
            <w:r>
              <w:rPr>
                <w:color w:val="006666"/>
              </w:rPr>
              <w:t>DOS</w:t>
            </w:r>
            <w:r>
              <w:rPr>
                <w:color w:val="006666"/>
                <w:spacing w:val="-9"/>
              </w:rPr>
              <w:t> </w:t>
            </w:r>
            <w:r>
              <w:rPr>
                <w:color w:val="006666"/>
                <w:spacing w:val="-2"/>
              </w:rPr>
              <w:t>RECURSOS</w:t>
            </w:r>
            <w:r>
              <w:rPr>
                <w:color w:val="006666"/>
              </w:rPr>
              <w:tab/>
            </w:r>
            <w:r>
              <w:rPr>
                <w:color w:val="006666"/>
                <w:spacing w:val="-5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5" w:val="left" w:leader="none"/>
              <w:tab w:pos="9534" w:val="left" w:leader="dot"/>
            </w:tabs>
            <w:spacing w:line="240" w:lineRule="auto" w:before="294" w:after="0"/>
            <w:ind w:left="764" w:right="0" w:hanging="221"/>
            <w:jc w:val="left"/>
          </w:pPr>
          <w:hyperlink w:history="true" w:anchor="_bookmark29">
            <w:r>
              <w:rPr>
                <w:color w:val="006666"/>
              </w:rPr>
              <w:t>APLICAÇÃO</w:t>
            </w:r>
            <w:r>
              <w:rPr>
                <w:color w:val="006666"/>
                <w:spacing w:val="-10"/>
              </w:rPr>
              <w:t> </w:t>
            </w:r>
            <w:r>
              <w:rPr>
                <w:color w:val="006666"/>
              </w:rPr>
              <w:t>DOS</w:t>
            </w:r>
            <w:r>
              <w:rPr>
                <w:color w:val="006666"/>
                <w:spacing w:val="-9"/>
              </w:rPr>
              <w:t> </w:t>
            </w:r>
            <w:r>
              <w:rPr>
                <w:color w:val="006666"/>
              </w:rPr>
              <w:t>RECURSOS</w:t>
            </w:r>
            <w:r>
              <w:rPr>
                <w:color w:val="006666"/>
                <w:spacing w:val="-8"/>
              </w:rPr>
              <w:t> </w:t>
            </w:r>
            <w:r>
              <w:rPr>
                <w:color w:val="006666"/>
              </w:rPr>
              <w:t>POR</w:t>
            </w:r>
            <w:r>
              <w:rPr>
                <w:color w:val="006666"/>
                <w:spacing w:val="-9"/>
              </w:rPr>
              <w:t> </w:t>
            </w:r>
            <w:r>
              <w:rPr>
                <w:color w:val="006666"/>
              </w:rPr>
              <w:t>OBJETIVOS</w:t>
            </w:r>
            <w:r>
              <w:rPr>
                <w:color w:val="006666"/>
                <w:spacing w:val="-9"/>
              </w:rPr>
              <w:t> </w:t>
            </w:r>
            <w:r>
              <w:rPr>
                <w:color w:val="006666"/>
                <w:spacing w:val="-2"/>
              </w:rPr>
              <w:t>ESTRATÉGICOS.</w:t>
            </w:r>
            <w:r>
              <w:rPr>
                <w:color w:val="006666"/>
              </w:rPr>
              <w:tab/>
            </w:r>
            <w:r>
              <w:rPr>
                <w:color w:val="006666"/>
                <w:spacing w:val="-5"/>
              </w:rPr>
              <w:t>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5" w:val="left" w:leader="none"/>
              <w:tab w:pos="9534" w:val="left" w:leader="dot"/>
            </w:tabs>
            <w:spacing w:line="240" w:lineRule="auto" w:before="295" w:after="0"/>
            <w:ind w:left="764" w:right="0" w:hanging="221"/>
            <w:jc w:val="left"/>
          </w:pPr>
          <w:hyperlink w:history="true" w:anchor="_bookmark33">
            <w:r>
              <w:rPr>
                <w:color w:val="006666"/>
              </w:rPr>
              <w:t>APLICAÇÃO</w:t>
            </w:r>
            <w:r>
              <w:rPr>
                <w:color w:val="006666"/>
                <w:spacing w:val="-13"/>
              </w:rPr>
              <w:t> </w:t>
            </w:r>
            <w:r>
              <w:rPr>
                <w:color w:val="006666"/>
              </w:rPr>
              <w:t>ORÇAMENTÁRIA</w:t>
            </w:r>
            <w:r>
              <w:rPr>
                <w:color w:val="006666"/>
                <w:spacing w:val="-12"/>
              </w:rPr>
              <w:t> </w:t>
            </w:r>
            <w:r>
              <w:rPr>
                <w:color w:val="006666"/>
              </w:rPr>
              <w:t>DE</w:t>
            </w:r>
            <w:r>
              <w:rPr>
                <w:color w:val="006666"/>
                <w:spacing w:val="-13"/>
              </w:rPr>
              <w:t> </w:t>
            </w:r>
            <w:r>
              <w:rPr>
                <w:color w:val="006666"/>
                <w:spacing w:val="-2"/>
              </w:rPr>
              <w:t>RECURSOS</w:t>
            </w:r>
            <w:r>
              <w:rPr>
                <w:color w:val="006666"/>
              </w:rPr>
              <w:tab/>
            </w:r>
            <w:r>
              <w:rPr>
                <w:color w:val="006666"/>
                <w:spacing w:val="-5"/>
              </w:rPr>
              <w:t>31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5" w:val="left" w:leader="none"/>
              <w:tab w:pos="9534" w:val="left" w:leader="dot"/>
            </w:tabs>
            <w:spacing w:line="240" w:lineRule="auto" w:before="294" w:after="0"/>
            <w:ind w:left="764" w:right="0" w:hanging="221"/>
            <w:jc w:val="left"/>
          </w:pPr>
          <w:hyperlink w:history="true" w:anchor="_bookmark40">
            <w:r>
              <w:rPr>
                <w:color w:val="006666"/>
                <w:spacing w:val="-2"/>
              </w:rPr>
              <w:t>ANEXOS</w:t>
            </w:r>
            <w:r>
              <w:rPr>
                <w:color w:val="006666"/>
              </w:rPr>
              <w:tab/>
            </w:r>
            <w:r>
              <w:rPr>
                <w:color w:val="006666"/>
                <w:spacing w:val="-5"/>
              </w:rPr>
              <w:t>36</w:t>
            </w:r>
          </w:hyperlink>
        </w:p>
        <w:p>
          <w:pPr>
            <w:pStyle w:val="TOC2"/>
            <w:tabs>
              <w:tab w:pos="9525" w:val="left" w:leader="dot"/>
            </w:tabs>
            <w:spacing w:line="362" w:lineRule="auto" w:before="293"/>
            <w:ind w:right="270"/>
            <w:rPr>
              <w:b w:val="0"/>
            </w:rPr>
          </w:pPr>
          <w:hyperlink w:history="true" w:anchor="_bookmark41">
            <w:r>
              <w:rPr/>
              <w:t>Anexo 1. Demonstrativo Comparativo da Programação do Plano de Ação CAU 2020. (Programação</w:t>
            </w:r>
          </w:hyperlink>
          <w:r>
            <w:rPr>
              <w:spacing w:val="40"/>
            </w:rPr>
            <w:t> </w:t>
          </w:r>
          <w:hyperlink w:history="true" w:anchor="_bookmark41">
            <w:r>
              <w:rPr/>
              <w:t>2021</w:t>
            </w:r>
            <w:r>
              <w:rPr>
                <w:spacing w:val="-10"/>
              </w:rPr>
              <w:t> </w:t>
            </w:r>
            <w:r>
              <w:rPr/>
              <w:t>X</w:t>
            </w:r>
            <w:r>
              <w:rPr>
                <w:spacing w:val="-10"/>
              </w:rPr>
              <w:t> </w:t>
            </w:r>
            <w:r>
              <w:rPr/>
              <w:t>Reprogramação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2020).</w:t>
            </w:r>
            <w:r>
              <w:rPr/>
              <w:tab/>
            </w:r>
            <w:r>
              <w:rPr>
                <w:b w:val="0"/>
                <w:spacing w:val="-5"/>
              </w:rPr>
              <w:t>38</w:t>
            </w:r>
          </w:hyperlink>
        </w:p>
        <w:p>
          <w:pPr>
            <w:pStyle w:val="TOC2"/>
            <w:tabs>
              <w:tab w:pos="9525" w:val="left" w:leader="dot"/>
            </w:tabs>
            <w:spacing w:before="97"/>
            <w:rPr>
              <w:b w:val="0"/>
            </w:rPr>
          </w:pPr>
          <w:hyperlink w:history="true" w:anchor="_bookmark42">
            <w:r>
              <w:rPr/>
              <w:t>Anexo</w:t>
            </w:r>
            <w:r>
              <w:rPr>
                <w:spacing w:val="-8"/>
              </w:rPr>
              <w:t> </w:t>
            </w:r>
            <w:r>
              <w:rPr/>
              <w:t>2.</w:t>
            </w:r>
            <w:r>
              <w:rPr>
                <w:spacing w:val="-7"/>
              </w:rPr>
              <w:t> </w:t>
            </w:r>
            <w:r>
              <w:rPr/>
              <w:t>Demonstrativo</w:t>
            </w:r>
            <w:r>
              <w:rPr>
                <w:spacing w:val="-7"/>
              </w:rPr>
              <w:t> </w:t>
            </w:r>
            <w:r>
              <w:rPr/>
              <w:t>Comparativo</w:t>
            </w:r>
            <w:r>
              <w:rPr>
                <w:spacing w:val="-7"/>
              </w:rPr>
              <w:t> </w:t>
            </w:r>
            <w:r>
              <w:rPr/>
              <w:t>das</w:t>
            </w:r>
            <w:r>
              <w:rPr>
                <w:spacing w:val="-7"/>
              </w:rPr>
              <w:t> </w:t>
            </w:r>
            <w:r>
              <w:rPr/>
              <w:t>Fontes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Receitas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/>
              <w:t>CAU/UF</w:t>
            </w:r>
            <w:r>
              <w:rPr>
                <w:spacing w:val="-8"/>
              </w:rPr>
              <w:t> </w:t>
            </w:r>
            <w:r>
              <w:rPr/>
              <w:t>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CAU/BR</w:t>
            </w:r>
            <w:r>
              <w:rPr/>
              <w:tab/>
            </w:r>
            <w:r>
              <w:rPr>
                <w:b w:val="0"/>
                <w:spacing w:val="-5"/>
              </w:rPr>
              <w:t>40</w:t>
            </w:r>
          </w:hyperlink>
        </w:p>
        <w:p>
          <w:pPr>
            <w:pStyle w:val="TOC2"/>
            <w:tabs>
              <w:tab w:pos="9525" w:val="left" w:leader="dot"/>
            </w:tabs>
            <w:spacing w:before="234"/>
            <w:rPr>
              <w:b w:val="0"/>
            </w:rPr>
          </w:pPr>
          <w:hyperlink w:history="true" w:anchor="_bookmark43">
            <w:r>
              <w:rPr/>
              <w:t>Anexo</w:t>
            </w:r>
            <w:r>
              <w:rPr>
                <w:spacing w:val="-12"/>
              </w:rPr>
              <w:t> </w:t>
            </w:r>
            <w:r>
              <w:rPr/>
              <w:t>3.</w:t>
            </w:r>
            <w:r>
              <w:rPr>
                <w:spacing w:val="-8"/>
              </w:rPr>
              <w:t> </w:t>
            </w:r>
            <w:r>
              <w:rPr/>
              <w:t>Demonstrativo</w:t>
            </w:r>
            <w:r>
              <w:rPr>
                <w:spacing w:val="-7"/>
              </w:rPr>
              <w:t> </w:t>
            </w:r>
            <w:r>
              <w:rPr/>
              <w:t>das</w:t>
            </w:r>
            <w:r>
              <w:rPr>
                <w:spacing w:val="-8"/>
              </w:rPr>
              <w:t> </w:t>
            </w:r>
            <w:r>
              <w:rPr/>
              <w:t>Aplicações</w:t>
            </w:r>
            <w:r>
              <w:rPr>
                <w:spacing w:val="-10"/>
              </w:rPr>
              <w:t> </w:t>
            </w:r>
            <w:r>
              <w:rPr/>
              <w:t>Totais</w:t>
            </w:r>
            <w:r>
              <w:rPr>
                <w:spacing w:val="-8"/>
              </w:rPr>
              <w:t> </w:t>
            </w:r>
            <w:r>
              <w:rPr/>
              <w:t>por</w:t>
            </w:r>
            <w:r>
              <w:rPr>
                <w:spacing w:val="-8"/>
              </w:rPr>
              <w:t> </w:t>
            </w:r>
            <w:r>
              <w:rPr/>
              <w:t>Iniciativa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Estratégica.</w:t>
            </w:r>
            <w:r>
              <w:rPr/>
              <w:tab/>
            </w:r>
            <w:r>
              <w:rPr>
                <w:b w:val="0"/>
                <w:spacing w:val="-5"/>
              </w:rPr>
              <w:t>42</w:t>
            </w:r>
          </w:hyperlink>
        </w:p>
        <w:p>
          <w:pPr>
            <w:pStyle w:val="TOC2"/>
            <w:tabs>
              <w:tab w:pos="9525" w:val="left" w:leader="dot"/>
            </w:tabs>
            <w:spacing w:line="362" w:lineRule="auto" w:before="233"/>
            <w:ind w:right="273"/>
            <w:rPr>
              <w:b w:val="0"/>
            </w:rPr>
          </w:pPr>
          <w:hyperlink w:history="true" w:anchor="_bookmark44">
            <w:r>
              <w:rPr/>
              <w:t>Anexo</w:t>
            </w:r>
            <w:r>
              <w:rPr>
                <w:spacing w:val="40"/>
              </w:rPr>
              <w:t> </w:t>
            </w:r>
            <w:r>
              <w:rPr/>
              <w:t>4.</w:t>
            </w:r>
            <w:r>
              <w:rPr>
                <w:spacing w:val="40"/>
              </w:rPr>
              <w:t> </w:t>
            </w:r>
            <w:r>
              <w:rPr/>
              <w:t>Matriz</w:t>
            </w:r>
            <w:r>
              <w:rPr>
                <w:spacing w:val="40"/>
              </w:rPr>
              <w:t> </w:t>
            </w:r>
            <w:r>
              <w:rPr/>
              <w:t>das</w:t>
            </w:r>
            <w:r>
              <w:rPr>
                <w:spacing w:val="40"/>
              </w:rPr>
              <w:t> </w:t>
            </w:r>
            <w:r>
              <w:rPr/>
              <w:t>Iniciativas</w:t>
            </w:r>
            <w:r>
              <w:rPr>
                <w:spacing w:val="40"/>
              </w:rPr>
              <w:t> </w:t>
            </w:r>
            <w:r>
              <w:rPr/>
              <w:t>Estratégicas</w:t>
            </w:r>
            <w:r>
              <w:rPr>
                <w:spacing w:val="40"/>
              </w:rPr>
              <w:t> </w:t>
            </w:r>
            <w:r>
              <w:rPr/>
              <w:t>vinculadas</w:t>
            </w:r>
            <w:r>
              <w:rPr>
                <w:spacing w:val="40"/>
              </w:rPr>
              <w:t> </w:t>
            </w:r>
            <w:r>
              <w:rPr/>
              <w:t>aos</w:t>
            </w:r>
            <w:r>
              <w:rPr>
                <w:spacing w:val="40"/>
              </w:rPr>
              <w:t> </w:t>
            </w:r>
            <w:r>
              <w:rPr/>
              <w:t>Objetivos</w:t>
            </w:r>
            <w:r>
              <w:rPr>
                <w:spacing w:val="40"/>
              </w:rPr>
              <w:t> </w:t>
            </w:r>
            <w:r>
              <w:rPr/>
              <w:t>Estratégicos</w:t>
            </w:r>
            <w:r>
              <w:rPr>
                <w:spacing w:val="40"/>
              </w:rPr>
              <w:t> </w:t>
            </w:r>
            <w:r>
              <w:rPr/>
              <w:t>Principais</w:t>
            </w:r>
            <w:r>
              <w:rPr>
                <w:spacing w:val="40"/>
              </w:rPr>
              <w:t> </w:t>
            </w:r>
            <w:r>
              <w:rPr/>
              <w:t>por</w:t>
            </w:r>
          </w:hyperlink>
          <w:r>
            <w:rPr/>
            <w:t> </w:t>
          </w:r>
          <w:hyperlink w:history="true" w:anchor="_bookmark44">
            <w:r>
              <w:rPr/>
              <w:t>CAU/UF</w:t>
            </w:r>
            <w:r>
              <w:rPr>
                <w:spacing w:val="-8"/>
              </w:rPr>
              <w:t> </w:t>
            </w:r>
            <w:r>
              <w:rPr/>
              <w:t>e</w:t>
            </w:r>
            <w:r>
              <w:rPr>
                <w:spacing w:val="-7"/>
              </w:rPr>
              <w:t> </w:t>
            </w:r>
            <w:r>
              <w:rPr/>
              <w:t>CAU/BR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(Quantidades).</w:t>
            </w:r>
            <w:r>
              <w:rPr/>
              <w:tab/>
            </w:r>
            <w:r>
              <w:rPr>
                <w:b w:val="0"/>
                <w:spacing w:val="-5"/>
              </w:rPr>
              <w:t>49</w:t>
            </w:r>
          </w:hyperlink>
        </w:p>
        <w:p>
          <w:pPr>
            <w:pStyle w:val="TOC2"/>
            <w:tabs>
              <w:tab w:pos="9525" w:val="left" w:leader="dot"/>
            </w:tabs>
            <w:rPr>
              <w:b w:val="0"/>
            </w:rPr>
          </w:pPr>
          <w:hyperlink w:history="true" w:anchor="_bookmark45">
            <w:r>
              <w:rPr/>
              <w:t>Anexo</w:t>
            </w:r>
            <w:r>
              <w:rPr>
                <w:spacing w:val="-8"/>
              </w:rPr>
              <w:t> </w:t>
            </w:r>
            <w:r>
              <w:rPr/>
              <w:t>5.</w:t>
            </w:r>
            <w:r>
              <w:rPr>
                <w:spacing w:val="-6"/>
              </w:rPr>
              <w:t> </w:t>
            </w:r>
            <w:r>
              <w:rPr/>
              <w:t>Demonstrativo</w:t>
            </w:r>
            <w:r>
              <w:rPr>
                <w:spacing w:val="-6"/>
              </w:rPr>
              <w:t> </w:t>
            </w:r>
            <w:r>
              <w:rPr/>
              <w:t>das</w:t>
            </w:r>
            <w:r>
              <w:rPr>
                <w:spacing w:val="-6"/>
              </w:rPr>
              <w:t> </w:t>
            </w:r>
            <w:r>
              <w:rPr/>
              <w:t>Aplicações</w:t>
            </w:r>
            <w:r>
              <w:rPr>
                <w:spacing w:val="-8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/>
              <w:t>Elementos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Despesa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8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/>
              <w:t>CAU/UF</w:t>
            </w:r>
            <w:r>
              <w:rPr>
                <w:spacing w:val="-7"/>
              </w:rPr>
              <w:t> </w:t>
            </w:r>
            <w:r>
              <w:rPr/>
              <w:t>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CAU/BR</w:t>
            </w:r>
            <w:r>
              <w:rPr/>
              <w:tab/>
            </w:r>
            <w:r>
              <w:rPr>
                <w:b w:val="0"/>
                <w:spacing w:val="-5"/>
              </w:rPr>
              <w:t>55</w:t>
            </w:r>
          </w:hyperlink>
        </w:p>
        <w:p>
          <w:pPr>
            <w:pStyle w:val="TOC2"/>
            <w:tabs>
              <w:tab w:pos="9525" w:val="left" w:leader="dot"/>
            </w:tabs>
            <w:spacing w:line="362" w:lineRule="auto" w:before="233"/>
            <w:ind w:right="268"/>
            <w:rPr>
              <w:b w:val="0"/>
            </w:rPr>
          </w:pPr>
          <w:hyperlink w:history="true" w:anchor="_bookmark46">
            <w:r>
              <w:rPr/>
              <w:t>Anexo</w:t>
            </w:r>
            <w:r>
              <w:rPr>
                <w:spacing w:val="-4"/>
              </w:rPr>
              <w:t> </w:t>
            </w:r>
            <w:r>
              <w:rPr/>
              <w:t>6.</w:t>
            </w:r>
            <w:r>
              <w:rPr>
                <w:spacing w:val="-3"/>
              </w:rPr>
              <w:t> </w:t>
            </w:r>
            <w:r>
              <w:rPr/>
              <w:t>Demonstrativo</w:t>
            </w:r>
            <w:r>
              <w:rPr>
                <w:spacing w:val="-3"/>
              </w:rPr>
              <w:t> </w:t>
            </w:r>
            <w:r>
              <w:rPr/>
              <w:t>Comparativo</w:t>
            </w:r>
            <w:r>
              <w:rPr>
                <w:spacing w:val="-3"/>
              </w:rPr>
              <w:t> </w:t>
            </w:r>
            <w:r>
              <w:rPr/>
              <w:t>dos</w:t>
            </w:r>
            <w:r>
              <w:rPr>
                <w:spacing w:val="-3"/>
              </w:rPr>
              <w:t> </w:t>
            </w:r>
            <w:r>
              <w:rPr/>
              <w:t>Limites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Destinação</w:t>
            </w:r>
            <w:r>
              <w:rPr>
                <w:spacing w:val="-4"/>
              </w:rPr>
              <w:t> </w:t>
            </w:r>
            <w:r>
              <w:rPr/>
              <w:t>Estratégica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Recursos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CAU/UF</w:t>
            </w:r>
          </w:hyperlink>
          <w:r>
            <w:rPr/>
            <w:t> </w:t>
          </w:r>
          <w:hyperlink w:history="true" w:anchor="_bookmark46">
            <w:r>
              <w:rPr/>
              <w:t>e</w:t>
            </w:r>
            <w:r>
              <w:rPr>
                <w:spacing w:val="-8"/>
              </w:rPr>
              <w:t> </w:t>
            </w:r>
            <w:r>
              <w:rPr/>
              <w:t>CAU/BR</w:t>
            </w:r>
            <w:r>
              <w:rPr>
                <w:spacing w:val="-8"/>
              </w:rPr>
              <w:t> </w:t>
            </w:r>
            <w:r>
              <w:rPr/>
              <w:t>(Receitas</w:t>
            </w:r>
            <w:r>
              <w:rPr>
                <w:spacing w:val="-8"/>
              </w:rPr>
              <w:t> </w:t>
            </w:r>
            <w:r>
              <w:rPr/>
              <w:t>Correntes</w:t>
            </w:r>
            <w:r>
              <w:rPr>
                <w:spacing w:val="-7"/>
              </w:rPr>
              <w:t> </w:t>
            </w:r>
            <w:r>
              <w:rPr/>
              <w:t>X</w:t>
            </w:r>
            <w:r>
              <w:rPr>
                <w:spacing w:val="-8"/>
              </w:rPr>
              <w:t> </w:t>
            </w:r>
            <w:r>
              <w:rPr/>
              <w:t>Despesas</w:t>
            </w:r>
            <w:r>
              <w:rPr>
                <w:spacing w:val="-8"/>
              </w:rPr>
              <w:t> </w:t>
            </w:r>
            <w:r>
              <w:rPr/>
              <w:t>com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Pessoal).</w:t>
            </w:r>
            <w:r>
              <w:rPr/>
              <w:tab/>
            </w:r>
            <w:r>
              <w:rPr>
                <w:b w:val="0"/>
                <w:spacing w:val="-5"/>
              </w:rPr>
              <w:t>57</w:t>
            </w:r>
          </w:hyperlink>
        </w:p>
        <w:p>
          <w:pPr>
            <w:pStyle w:val="TOC2"/>
            <w:rPr>
              <w:b w:val="0"/>
            </w:rPr>
          </w:pPr>
          <w:hyperlink w:history="true" w:anchor="_bookmark47">
            <w:r>
              <w:rPr/>
              <w:t>Anexo</w:t>
            </w:r>
            <w:r>
              <w:rPr>
                <w:spacing w:val="-9"/>
              </w:rPr>
              <w:t> </w:t>
            </w:r>
            <w:r>
              <w:rPr/>
              <w:t>7.</w:t>
            </w:r>
            <w:r>
              <w:rPr>
                <w:spacing w:val="-7"/>
              </w:rPr>
              <w:t> </w:t>
            </w:r>
            <w:r>
              <w:rPr/>
              <w:t>Demonstrativo</w:t>
            </w:r>
            <w:r>
              <w:rPr>
                <w:spacing w:val="-6"/>
              </w:rPr>
              <w:t> </w:t>
            </w:r>
            <w:r>
              <w:rPr/>
              <w:t>dos</w:t>
            </w:r>
            <w:r>
              <w:rPr>
                <w:spacing w:val="-7"/>
              </w:rPr>
              <w:t> </w:t>
            </w:r>
            <w:r>
              <w:rPr/>
              <w:t>Limites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Destinação</w:t>
            </w:r>
            <w:r>
              <w:rPr>
                <w:spacing w:val="-7"/>
              </w:rPr>
              <w:t> </w:t>
            </w:r>
            <w:r>
              <w:rPr/>
              <w:t>Estratégica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Recursos</w:t>
            </w:r>
            <w:r>
              <w:rPr>
                <w:spacing w:val="-8"/>
              </w:rPr>
              <w:t> </w:t>
            </w:r>
            <w:r>
              <w:rPr/>
              <w:t>por</w:t>
            </w:r>
            <w:r>
              <w:rPr>
                <w:spacing w:val="-8"/>
              </w:rPr>
              <w:t> </w:t>
            </w:r>
            <w:r>
              <w:rPr/>
              <w:t>CAU/UF</w:t>
            </w:r>
            <w:r>
              <w:rPr>
                <w:spacing w:val="-8"/>
              </w:rPr>
              <w:t> </w:t>
            </w:r>
            <w:r>
              <w:rPr/>
              <w:t>e</w:t>
            </w:r>
            <w:r>
              <w:rPr>
                <w:spacing w:val="-6"/>
              </w:rPr>
              <w:t> </w:t>
            </w:r>
            <w:r>
              <w:rPr/>
              <w:t>CAU/BR</w:t>
            </w:r>
            <w:r>
              <w:rPr>
                <w:spacing w:val="-3"/>
              </w:rPr>
              <w:t> </w:t>
            </w:r>
            <w:r>
              <w:rPr>
                <w:b w:val="0"/>
                <w:spacing w:val="-5"/>
              </w:rPr>
              <w:t>59</w:t>
            </w:r>
          </w:hyperlink>
        </w:p>
        <w:p>
          <w:pPr>
            <w:pStyle w:val="TOC2"/>
            <w:tabs>
              <w:tab w:pos="9525" w:val="left" w:leader="dot"/>
            </w:tabs>
            <w:spacing w:before="234"/>
            <w:rPr>
              <w:b w:val="0"/>
            </w:rPr>
          </w:pPr>
          <w:hyperlink w:history="true" w:anchor="_bookmark48">
            <w:r>
              <w:rPr/>
              <w:t>Anexo</w:t>
            </w:r>
            <w:r>
              <w:rPr>
                <w:spacing w:val="-7"/>
              </w:rPr>
              <w:t> </w:t>
            </w:r>
            <w:r>
              <w:rPr/>
              <w:t>8.</w:t>
            </w:r>
            <w:r>
              <w:rPr>
                <w:spacing w:val="-6"/>
              </w:rPr>
              <w:t> </w:t>
            </w:r>
            <w:r>
              <w:rPr/>
              <w:t>Reprogramação</w:t>
            </w:r>
            <w:r>
              <w:rPr>
                <w:spacing w:val="-5"/>
              </w:rPr>
              <w:t> </w:t>
            </w:r>
            <w:r>
              <w:rPr/>
              <w:t>2020</w:t>
            </w:r>
            <w:r>
              <w:rPr>
                <w:spacing w:val="-5"/>
              </w:rPr>
              <w:t> </w:t>
            </w:r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Link</w:t>
            </w:r>
            <w:r>
              <w:rPr>
                <w:spacing w:val="-6"/>
              </w:rPr>
              <w:t> </w:t>
            </w:r>
            <w:r>
              <w:rPr/>
              <w:t>para</w:t>
            </w:r>
            <w:r>
              <w:rPr>
                <w:spacing w:val="-6"/>
              </w:rPr>
              <w:t> </w:t>
            </w:r>
            <w:r>
              <w:rPr/>
              <w:t>acesso</w:t>
            </w:r>
            <w:r>
              <w:rPr>
                <w:spacing w:val="-5"/>
              </w:rPr>
              <w:t> </w:t>
            </w:r>
            <w:r>
              <w:rPr/>
              <w:t>no</w:t>
            </w:r>
            <w:r>
              <w:rPr>
                <w:spacing w:val="-6"/>
              </w:rPr>
              <w:t> </w:t>
            </w:r>
            <w:r>
              <w:rPr/>
              <w:t>Portal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Transparência</w:t>
            </w:r>
            <w:r>
              <w:rPr/>
              <w:tab/>
            </w:r>
            <w:r>
              <w:rPr>
                <w:b w:val="0"/>
                <w:spacing w:val="-5"/>
              </w:rPr>
              <w:t>61</w:t>
            </w:r>
          </w:hyperlink>
        </w:p>
      </w:sdtContent>
    </w:sdt>
    <w:p>
      <w:pPr>
        <w:spacing w:after="0"/>
        <w:sectPr>
          <w:pgSz w:w="11910" w:h="16840"/>
          <w:pgMar w:header="516" w:footer="442" w:top="1540" w:bottom="640" w:left="1300" w:right="580"/>
        </w:sectPr>
      </w:pPr>
    </w:p>
    <w:p>
      <w:pPr>
        <w:pStyle w:val="Heading3"/>
        <w:ind w:left="2063" w:firstLine="0"/>
      </w:pPr>
      <w:bookmarkStart w:name="_bookmark0" w:id="1"/>
      <w:bookmarkEnd w:id="1"/>
      <w:r>
        <w:rPr>
          <w:b w:val="0"/>
        </w:rPr>
      </w:r>
      <w:r>
        <w:rPr/>
        <w:t>ÍNDICE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FIGURA,</w:t>
      </w:r>
      <w:r>
        <w:rPr>
          <w:spacing w:val="-2"/>
        </w:rPr>
        <w:t> </w:t>
      </w:r>
      <w:r>
        <w:rPr/>
        <w:t>MAPA,</w:t>
      </w:r>
      <w:r>
        <w:rPr>
          <w:spacing w:val="-3"/>
        </w:rPr>
        <w:t> </w:t>
      </w:r>
      <w:r>
        <w:rPr/>
        <w:t>QUADROS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GRÁFICOS</w:t>
      </w:r>
    </w:p>
    <w:p>
      <w:pPr>
        <w:tabs>
          <w:tab w:pos="9646" w:val="left" w:leader="dot"/>
        </w:tabs>
        <w:spacing w:before="196"/>
        <w:ind w:left="544" w:right="0" w:firstLine="0"/>
        <w:jc w:val="left"/>
        <w:rPr>
          <w:b/>
          <w:sz w:val="22"/>
        </w:rPr>
      </w:pPr>
      <w:hyperlink w:history="true" w:anchor="_bookmark2">
        <w:r>
          <w:rPr>
            <w:b/>
            <w:sz w:val="22"/>
          </w:rPr>
          <w:t>Figura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1.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Mapa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Estratégico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CAU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2020.</w:t>
        </w:r>
        <w:r>
          <w:rPr>
            <w:b/>
            <w:sz w:val="22"/>
          </w:rPr>
          <w:tab/>
        </w:r>
        <w:r>
          <w:rPr>
            <w:b/>
            <w:spacing w:val="-10"/>
            <w:sz w:val="22"/>
          </w:rPr>
          <w:t>7</w:t>
        </w:r>
      </w:hyperlink>
    </w:p>
    <w:p>
      <w:pPr>
        <w:pStyle w:val="BodyText"/>
        <w:spacing w:before="2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3">
        <w:r>
          <w:rPr>
            <w:b/>
            <w:sz w:val="22"/>
          </w:rPr>
          <w:t>Figura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2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Objetivos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Desenvolvimento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Sustentável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11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5">
        <w:r>
          <w:rPr>
            <w:b/>
            <w:sz w:val="22"/>
          </w:rPr>
          <w:t>Quadro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1.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9"/>
            <w:sz w:val="22"/>
          </w:rPr>
          <w:t> </w:t>
        </w:r>
        <w:r>
          <w:rPr>
            <w:b/>
            <w:spacing w:val="-4"/>
            <w:sz w:val="22"/>
          </w:rPr>
          <w:t>CAU.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12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10">
        <w:r>
          <w:rPr>
            <w:b/>
            <w:sz w:val="22"/>
          </w:rPr>
          <w:t>Quadro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2.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9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15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1"/>
        <w:ind w:left="544" w:right="0" w:firstLine="0"/>
        <w:jc w:val="left"/>
        <w:rPr>
          <w:b/>
          <w:sz w:val="22"/>
        </w:rPr>
      </w:pPr>
      <w:hyperlink w:history="true" w:anchor="_bookmark14">
        <w:r>
          <w:rPr>
            <w:b/>
            <w:sz w:val="22"/>
          </w:rPr>
          <w:t>Quadro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3.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10"/>
            <w:sz w:val="22"/>
          </w:rPr>
          <w:t> </w:t>
        </w:r>
        <w:r>
          <w:rPr>
            <w:b/>
            <w:spacing w:val="-2"/>
            <w:sz w:val="22"/>
          </w:rPr>
          <w:t>CAU/UF.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17</w:t>
        </w:r>
      </w:hyperlink>
    </w:p>
    <w:p>
      <w:pPr>
        <w:pStyle w:val="BodyText"/>
        <w:spacing w:before="12"/>
        <w:rPr>
          <w:b/>
          <w:sz w:val="23"/>
        </w:rPr>
      </w:pPr>
    </w:p>
    <w:p>
      <w:pPr>
        <w:tabs>
          <w:tab w:pos="9534" w:val="left" w:leader="dot"/>
        </w:tabs>
        <w:spacing w:line="362" w:lineRule="auto" w:before="0"/>
        <w:ind w:left="544" w:right="266" w:firstLine="0"/>
        <w:jc w:val="left"/>
        <w:rPr>
          <w:b/>
          <w:sz w:val="22"/>
        </w:rPr>
      </w:pPr>
      <w:hyperlink w:history="true" w:anchor="_bookmark17">
        <w:r>
          <w:rPr>
            <w:b/>
            <w:sz w:val="22"/>
          </w:rPr>
          <w:t>Quadro 4. Demonstrativo da Programação dos CAU Básicos e Utilização dos Recursos do Fundo de</w:t>
        </w:r>
      </w:hyperlink>
      <w:r>
        <w:rPr>
          <w:b/>
          <w:spacing w:val="40"/>
          <w:sz w:val="22"/>
        </w:rPr>
        <w:t> </w:t>
      </w:r>
      <w:hyperlink w:history="true" w:anchor="_bookmark17">
        <w:r>
          <w:rPr>
            <w:b/>
            <w:spacing w:val="-2"/>
            <w:sz w:val="22"/>
          </w:rPr>
          <w:t>Apoio.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19</w:t>
        </w:r>
      </w:hyperlink>
    </w:p>
    <w:p>
      <w:pPr>
        <w:tabs>
          <w:tab w:pos="9534" w:val="left" w:leader="dot"/>
        </w:tabs>
        <w:spacing w:before="156"/>
        <w:ind w:left="544" w:right="0" w:firstLine="0"/>
        <w:jc w:val="left"/>
        <w:rPr>
          <w:b/>
          <w:sz w:val="22"/>
        </w:rPr>
      </w:pPr>
      <w:hyperlink w:history="true" w:anchor="_bookmark18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5.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Distribuição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Comparativa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Região.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19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22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6.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Aplicação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4"/>
            <w:sz w:val="22"/>
          </w:rPr>
          <w:t> </w:t>
        </w:r>
        <w:r>
          <w:rPr>
            <w:b/>
            <w:spacing w:val="-2"/>
            <w:sz w:val="22"/>
          </w:rPr>
          <w:t>Projetos/Atividade.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22</w:t>
        </w:r>
      </w:hyperlink>
    </w:p>
    <w:p>
      <w:pPr>
        <w:pStyle w:val="BodyText"/>
        <w:rPr>
          <w:b/>
        </w:rPr>
      </w:pPr>
    </w:p>
    <w:p>
      <w:pPr>
        <w:tabs>
          <w:tab w:pos="9534" w:val="left" w:leader="dot"/>
        </w:tabs>
        <w:spacing w:line="362" w:lineRule="auto" w:before="0"/>
        <w:ind w:left="544" w:right="266" w:firstLine="0"/>
        <w:jc w:val="left"/>
        <w:rPr>
          <w:b/>
          <w:sz w:val="22"/>
        </w:rPr>
      </w:pPr>
      <w:hyperlink w:history="true" w:anchor="_bookmark23">
        <w:r>
          <w:rPr>
            <w:b/>
            <w:sz w:val="22"/>
          </w:rPr>
          <w:t>Quadro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7.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Aplicação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Projetos/Atividade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(Programação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Operacional,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Fundo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Apoio,</w:t>
        </w:r>
      </w:hyperlink>
      <w:r>
        <w:rPr>
          <w:b/>
          <w:sz w:val="22"/>
        </w:rPr>
        <w:t> </w:t>
      </w:r>
      <w:hyperlink w:history="true" w:anchor="_bookmark23">
        <w:r>
          <w:rPr>
            <w:b/>
            <w:sz w:val="22"/>
          </w:rPr>
          <w:t>CSC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Reserva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4"/>
            <w:sz w:val="22"/>
          </w:rPr>
          <w:t> </w:t>
        </w:r>
        <w:r>
          <w:rPr>
            <w:b/>
            <w:spacing w:val="-2"/>
            <w:sz w:val="22"/>
          </w:rPr>
          <w:t>Contingência).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22</w:t>
        </w:r>
      </w:hyperlink>
    </w:p>
    <w:p>
      <w:pPr>
        <w:tabs>
          <w:tab w:pos="9534" w:val="left" w:leader="dot"/>
        </w:tabs>
        <w:spacing w:before="157"/>
        <w:ind w:left="544" w:right="0" w:firstLine="0"/>
        <w:jc w:val="left"/>
        <w:rPr>
          <w:b/>
          <w:sz w:val="22"/>
        </w:rPr>
      </w:pPr>
      <w:hyperlink w:history="true" w:anchor="_bookmark26">
        <w:r>
          <w:rPr>
            <w:b/>
            <w:sz w:val="22"/>
          </w:rPr>
          <w:t>Quadro</w:t>
        </w:r>
        <w:r>
          <w:rPr>
            <w:b/>
            <w:spacing w:val="-11"/>
            <w:sz w:val="22"/>
          </w:rPr>
          <w:t> </w:t>
        </w:r>
        <w:r>
          <w:rPr>
            <w:b/>
            <w:sz w:val="22"/>
          </w:rPr>
          <w:t>8.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10"/>
            <w:sz w:val="22"/>
          </w:rPr>
          <w:t> </w:t>
        </w:r>
        <w:r>
          <w:rPr>
            <w:b/>
            <w:spacing w:val="-2"/>
            <w:sz w:val="22"/>
          </w:rPr>
          <w:t>Atividades.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24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28">
        <w:r>
          <w:rPr>
            <w:b/>
            <w:sz w:val="22"/>
          </w:rPr>
          <w:t>Quadro</w:t>
        </w:r>
        <w:r>
          <w:rPr>
            <w:b/>
            <w:spacing w:val="-11"/>
            <w:sz w:val="22"/>
          </w:rPr>
          <w:t> </w:t>
        </w:r>
        <w:r>
          <w:rPr>
            <w:b/>
            <w:sz w:val="22"/>
          </w:rPr>
          <w:t>9.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10"/>
            <w:sz w:val="22"/>
          </w:rPr>
          <w:t> </w:t>
        </w:r>
        <w:r>
          <w:rPr>
            <w:b/>
            <w:spacing w:val="-2"/>
            <w:sz w:val="22"/>
          </w:rPr>
          <w:t>Projetos.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25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1"/>
        <w:ind w:left="544" w:right="0" w:firstLine="0"/>
        <w:jc w:val="left"/>
        <w:rPr>
          <w:b/>
          <w:sz w:val="22"/>
        </w:rPr>
      </w:pPr>
      <w:hyperlink w:history="true" w:anchor="_bookmark30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10.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Objetivos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Estratégicos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7"/>
            <w:sz w:val="22"/>
          </w:rPr>
          <w:t> </w:t>
        </w:r>
        <w:r>
          <w:rPr>
            <w:b/>
            <w:spacing w:val="-5"/>
            <w:sz w:val="22"/>
          </w:rPr>
          <w:t>CAU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28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31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10.1.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Objetivos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Estratégicos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8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29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32">
        <w:r>
          <w:rPr>
            <w:b/>
            <w:sz w:val="22"/>
          </w:rPr>
          <w:t>Quadro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10.2.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Objetivos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Estratégicos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7"/>
            <w:sz w:val="22"/>
          </w:rPr>
          <w:t> </w:t>
        </w:r>
        <w:r>
          <w:rPr>
            <w:b/>
            <w:spacing w:val="-2"/>
            <w:sz w:val="22"/>
          </w:rPr>
          <w:t>CAU/UF.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30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34">
        <w:r>
          <w:rPr>
            <w:b/>
            <w:sz w:val="22"/>
          </w:rPr>
          <w:t>Quadro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11.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Aplicação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CAU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7"/>
            <w:sz w:val="22"/>
          </w:rPr>
          <w:t> </w:t>
        </w:r>
        <w:r>
          <w:rPr>
            <w:b/>
            <w:spacing w:val="-2"/>
            <w:sz w:val="22"/>
          </w:rPr>
          <w:t>CAU/BR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32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1"/>
        <w:ind w:left="544" w:right="0" w:firstLine="0"/>
        <w:jc w:val="left"/>
        <w:rPr>
          <w:b/>
          <w:sz w:val="22"/>
        </w:rPr>
      </w:pPr>
      <w:hyperlink w:history="true" w:anchor="_bookmark38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11.1.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Região.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34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39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11.2.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4"/>
            <w:sz w:val="22"/>
          </w:rPr>
          <w:t> </w:t>
        </w:r>
        <w:r>
          <w:rPr>
            <w:b/>
            <w:spacing w:val="-2"/>
            <w:sz w:val="22"/>
          </w:rPr>
          <w:t>CAU/UF.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35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6">
        <w:r>
          <w:rPr>
            <w:b/>
            <w:sz w:val="22"/>
          </w:rPr>
          <w:t>Gráfico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1.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8"/>
            <w:sz w:val="22"/>
          </w:rPr>
          <w:t> </w:t>
        </w:r>
        <w:r>
          <w:rPr>
            <w:b/>
            <w:spacing w:val="-4"/>
            <w:sz w:val="22"/>
          </w:rPr>
          <w:t>CAU.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13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7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2.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Composição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7"/>
            <w:sz w:val="22"/>
          </w:rPr>
          <w:t> </w:t>
        </w:r>
        <w:r>
          <w:rPr>
            <w:b/>
            <w:spacing w:val="-4"/>
            <w:sz w:val="22"/>
          </w:rPr>
          <w:t>CAU.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13</w:t>
        </w:r>
      </w:hyperlink>
    </w:p>
    <w:p>
      <w:pPr>
        <w:pStyle w:val="BodyText"/>
        <w:spacing w:before="2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8">
        <w:r>
          <w:rPr>
            <w:b/>
            <w:sz w:val="22"/>
          </w:rPr>
          <w:t>Gráfico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3.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Distribuição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CAU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CAU/BR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14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11">
        <w:r>
          <w:rPr>
            <w:b/>
            <w:sz w:val="22"/>
          </w:rPr>
          <w:t>Gráfico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4.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10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15</w:t>
        </w:r>
      </w:hyperlink>
    </w:p>
    <w:p>
      <w:pPr>
        <w:pStyle w:val="BodyText"/>
        <w:spacing w:before="2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12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5.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Composição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7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16</w:t>
        </w:r>
      </w:hyperlink>
    </w:p>
    <w:p>
      <w:pPr>
        <w:pStyle w:val="BodyText"/>
        <w:spacing w:before="1"/>
        <w:rPr>
          <w:b/>
        </w:rPr>
      </w:pPr>
    </w:p>
    <w:p>
      <w:pPr>
        <w:tabs>
          <w:tab w:pos="9534" w:val="left" w:leader="dot"/>
        </w:tabs>
        <w:spacing w:before="0"/>
        <w:ind w:left="544" w:right="0" w:firstLine="0"/>
        <w:jc w:val="left"/>
        <w:rPr>
          <w:b/>
          <w:sz w:val="22"/>
        </w:rPr>
      </w:pPr>
      <w:hyperlink w:history="true" w:anchor="_bookmark15">
        <w:r>
          <w:rPr>
            <w:b/>
            <w:sz w:val="22"/>
          </w:rPr>
          <w:t>Gráfico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6.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9"/>
            <w:sz w:val="22"/>
          </w:rPr>
          <w:t> </w:t>
        </w:r>
        <w:r>
          <w:rPr>
            <w:b/>
            <w:spacing w:val="-2"/>
            <w:sz w:val="22"/>
          </w:rPr>
          <w:t>CAU/UF.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17</w:t>
        </w:r>
      </w:hyperlink>
    </w:p>
    <w:p>
      <w:pPr>
        <w:spacing w:after="0"/>
        <w:jc w:val="left"/>
        <w:rPr>
          <w:sz w:val="22"/>
        </w:rPr>
        <w:sectPr>
          <w:pgSz w:w="11910" w:h="16840"/>
          <w:pgMar w:header="516" w:footer="442" w:top="1540" w:bottom="640" w:left="1300" w:right="580"/>
        </w:sectPr>
      </w:pPr>
    </w:p>
    <w:p>
      <w:pPr>
        <w:tabs>
          <w:tab w:pos="9757" w:val="right" w:leader="dot"/>
        </w:tabs>
        <w:spacing w:before="46"/>
        <w:ind w:left="544" w:right="0" w:firstLine="0"/>
        <w:jc w:val="left"/>
        <w:rPr>
          <w:b/>
          <w:sz w:val="22"/>
        </w:rPr>
      </w:pPr>
      <w:hyperlink w:history="true" w:anchor="_bookmark16">
        <w:r>
          <w:rPr>
            <w:b/>
            <w:sz w:val="22"/>
          </w:rPr>
          <w:t>Gráfico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7.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Composição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8"/>
            <w:sz w:val="22"/>
          </w:rPr>
          <w:t> </w:t>
        </w:r>
        <w:r>
          <w:rPr>
            <w:b/>
            <w:spacing w:val="-2"/>
            <w:sz w:val="22"/>
          </w:rPr>
          <w:t>CAU/UF.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18</w:t>
        </w:r>
      </w:hyperlink>
    </w:p>
    <w:p>
      <w:pPr>
        <w:tabs>
          <w:tab w:pos="9757" w:val="right" w:leader="dot"/>
        </w:tabs>
        <w:spacing w:before="294"/>
        <w:ind w:left="544" w:right="0" w:firstLine="0"/>
        <w:jc w:val="left"/>
        <w:rPr>
          <w:b/>
          <w:sz w:val="22"/>
        </w:rPr>
      </w:pPr>
      <w:hyperlink w:history="true" w:anchor="_bookmark19">
        <w:r>
          <w:rPr>
            <w:b/>
            <w:sz w:val="22"/>
          </w:rPr>
          <w:t>Gráfico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8.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Distribuição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7"/>
            <w:sz w:val="22"/>
          </w:rPr>
          <w:t> </w:t>
        </w:r>
        <w:r>
          <w:rPr>
            <w:b/>
            <w:spacing w:val="-2"/>
            <w:sz w:val="22"/>
          </w:rPr>
          <w:t>Região.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20</w:t>
        </w:r>
      </w:hyperlink>
    </w:p>
    <w:p>
      <w:pPr>
        <w:tabs>
          <w:tab w:pos="9757" w:val="right" w:leader="dot"/>
        </w:tabs>
        <w:spacing w:before="295"/>
        <w:ind w:left="544" w:right="0" w:firstLine="0"/>
        <w:jc w:val="left"/>
        <w:rPr>
          <w:b/>
          <w:sz w:val="22"/>
        </w:rPr>
      </w:pPr>
      <w:hyperlink w:history="true" w:anchor="_bookmark20">
        <w:r>
          <w:rPr>
            <w:b/>
            <w:sz w:val="22"/>
          </w:rPr>
          <w:t>Gráfico</w:t>
        </w:r>
        <w:r>
          <w:rPr>
            <w:b/>
            <w:spacing w:val="-11"/>
            <w:sz w:val="22"/>
          </w:rPr>
          <w:t> </w:t>
        </w:r>
        <w:r>
          <w:rPr>
            <w:b/>
            <w:sz w:val="22"/>
          </w:rPr>
          <w:t>9.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7"/>
            <w:sz w:val="22"/>
          </w:rPr>
          <w:t> </w:t>
        </w:r>
        <w:r>
          <w:rPr>
            <w:b/>
            <w:spacing w:val="-2"/>
            <w:sz w:val="22"/>
          </w:rPr>
          <w:t>Região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20</w:t>
        </w:r>
      </w:hyperlink>
    </w:p>
    <w:p>
      <w:pPr>
        <w:tabs>
          <w:tab w:pos="9757" w:val="right" w:leader="dot"/>
        </w:tabs>
        <w:spacing w:before="294"/>
        <w:ind w:left="544" w:right="0" w:firstLine="0"/>
        <w:jc w:val="left"/>
        <w:rPr>
          <w:b/>
          <w:sz w:val="22"/>
        </w:rPr>
      </w:pPr>
      <w:hyperlink w:history="true" w:anchor="_bookmark24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10.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Aplicação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Totais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5"/>
            <w:sz w:val="22"/>
          </w:rPr>
          <w:t> </w:t>
        </w:r>
        <w:r>
          <w:rPr>
            <w:b/>
            <w:spacing w:val="-2"/>
            <w:sz w:val="22"/>
          </w:rPr>
          <w:t>Projeto/Atividade.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23</w:t>
        </w:r>
      </w:hyperlink>
    </w:p>
    <w:p>
      <w:pPr>
        <w:tabs>
          <w:tab w:pos="9757" w:val="right" w:leader="dot"/>
        </w:tabs>
        <w:spacing w:before="295"/>
        <w:ind w:left="544" w:right="0" w:firstLine="0"/>
        <w:jc w:val="left"/>
        <w:rPr>
          <w:b/>
          <w:sz w:val="22"/>
        </w:rPr>
      </w:pPr>
      <w:hyperlink w:history="true" w:anchor="_bookmark25">
        <w:r>
          <w:rPr>
            <w:b/>
            <w:sz w:val="22"/>
          </w:rPr>
          <w:t>Gráfico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11.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9"/>
            <w:sz w:val="22"/>
          </w:rPr>
          <w:t> </w:t>
        </w:r>
        <w:r>
          <w:rPr>
            <w:b/>
            <w:spacing w:val="-2"/>
            <w:sz w:val="22"/>
          </w:rPr>
          <w:t>Atividades.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23</w:t>
        </w:r>
      </w:hyperlink>
    </w:p>
    <w:p>
      <w:pPr>
        <w:tabs>
          <w:tab w:pos="9757" w:val="right" w:leader="dot"/>
        </w:tabs>
        <w:spacing w:before="294"/>
        <w:ind w:left="544" w:right="0" w:firstLine="0"/>
        <w:jc w:val="left"/>
        <w:rPr>
          <w:b/>
          <w:sz w:val="22"/>
        </w:rPr>
      </w:pPr>
      <w:hyperlink w:history="true" w:anchor="_bookmark27">
        <w:r>
          <w:rPr>
            <w:b/>
            <w:sz w:val="22"/>
          </w:rPr>
          <w:t>Gráfico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12.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9"/>
            <w:sz w:val="22"/>
          </w:rPr>
          <w:t> </w:t>
        </w:r>
        <w:r>
          <w:rPr>
            <w:b/>
            <w:spacing w:val="-2"/>
            <w:sz w:val="22"/>
          </w:rPr>
          <w:t>Projetos.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25</w:t>
        </w:r>
      </w:hyperlink>
    </w:p>
    <w:p>
      <w:pPr>
        <w:tabs>
          <w:tab w:pos="9757" w:val="right" w:leader="dot"/>
        </w:tabs>
        <w:spacing w:before="294"/>
        <w:ind w:left="544" w:right="0" w:firstLine="0"/>
        <w:jc w:val="left"/>
        <w:rPr>
          <w:b/>
          <w:sz w:val="22"/>
        </w:rPr>
      </w:pPr>
      <w:hyperlink w:history="true" w:anchor="_bookmark35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13.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7"/>
            <w:sz w:val="22"/>
          </w:rPr>
          <w:t> </w:t>
        </w:r>
        <w:r>
          <w:rPr>
            <w:b/>
            <w:spacing w:val="-4"/>
            <w:sz w:val="22"/>
          </w:rPr>
          <w:t>CAU.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32</w:t>
        </w:r>
      </w:hyperlink>
    </w:p>
    <w:p>
      <w:pPr>
        <w:tabs>
          <w:tab w:pos="9757" w:val="right" w:leader="dot"/>
        </w:tabs>
        <w:spacing w:before="294"/>
        <w:ind w:left="544" w:right="0" w:firstLine="0"/>
        <w:jc w:val="left"/>
        <w:rPr>
          <w:b/>
          <w:sz w:val="22"/>
        </w:rPr>
      </w:pPr>
      <w:hyperlink w:history="true" w:anchor="_bookmark36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13.1.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8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33</w:t>
        </w:r>
      </w:hyperlink>
    </w:p>
    <w:p>
      <w:pPr>
        <w:tabs>
          <w:tab w:pos="9757" w:val="right" w:leader="dot"/>
        </w:tabs>
        <w:spacing w:before="294"/>
        <w:ind w:left="544" w:right="0" w:firstLine="0"/>
        <w:jc w:val="left"/>
        <w:rPr>
          <w:b/>
          <w:sz w:val="22"/>
        </w:rPr>
      </w:pPr>
      <w:hyperlink w:history="true" w:anchor="_bookmark37">
        <w:r>
          <w:rPr>
            <w:b/>
            <w:sz w:val="22"/>
          </w:rPr>
          <w:t>Gráfico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13.2.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7"/>
            <w:sz w:val="22"/>
          </w:rPr>
          <w:t> </w:t>
        </w:r>
        <w:r>
          <w:rPr>
            <w:b/>
            <w:spacing w:val="-2"/>
            <w:sz w:val="22"/>
          </w:rPr>
          <w:t>CAU/UF.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33</w:t>
        </w:r>
      </w:hyperlink>
    </w:p>
    <w:p>
      <w:pPr>
        <w:spacing w:after="0"/>
        <w:jc w:val="left"/>
        <w:rPr>
          <w:sz w:val="22"/>
        </w:rPr>
        <w:sectPr>
          <w:pgSz w:w="11910" w:h="16840"/>
          <w:pgMar w:header="516" w:footer="442" w:top="1540" w:bottom="640" w:left="1300" w:right="580"/>
        </w:sectPr>
      </w:pPr>
    </w:p>
    <w:p>
      <w:pPr>
        <w:pStyle w:val="Heading3"/>
        <w:ind w:left="118" w:firstLine="0"/>
      </w:pPr>
      <w:bookmarkStart w:name="_bookmark1" w:id="2"/>
      <w:bookmarkEnd w:id="2"/>
      <w:r>
        <w:rPr>
          <w:b w:val="0"/>
        </w:rPr>
      </w:r>
      <w:r>
        <w:rPr>
          <w:color w:val="006666"/>
          <w:spacing w:val="-2"/>
        </w:rPr>
        <w:t>INTRODUÇÃO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spacing w:line="360" w:lineRule="auto"/>
        <w:ind w:left="118" w:right="267" w:firstLine="851"/>
        <w:jc w:val="both"/>
      </w:pPr>
      <w:r>
        <w:rPr/>
        <w:t>O</w:t>
      </w:r>
      <w:r>
        <w:rPr>
          <w:spacing w:val="-4"/>
        </w:rPr>
        <w:t> </w:t>
      </w:r>
      <w:r>
        <w:rPr/>
        <w:t>processo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planejamento</w:t>
      </w:r>
      <w:r>
        <w:rPr>
          <w:spacing w:val="-3"/>
        </w:rPr>
        <w:t> </w:t>
      </w:r>
      <w:r>
        <w:rPr/>
        <w:t>caracteriza-se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uma</w:t>
      </w:r>
      <w:r>
        <w:rPr>
          <w:spacing w:val="-2"/>
        </w:rPr>
        <w:t> </w:t>
      </w:r>
      <w:r>
        <w:rPr/>
        <w:t>atividade</w:t>
      </w:r>
      <w:r>
        <w:rPr>
          <w:spacing w:val="-2"/>
        </w:rPr>
        <w:t> </w:t>
      </w:r>
      <w:r>
        <w:rPr/>
        <w:t>contínua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sistematizada, que objetiva implementar as prioridades, políticas e estratégias definidas para o Conselho, e sistematizadas no Planejamento Estratégico do CAU - 2023.</w:t>
      </w:r>
    </w:p>
    <w:p>
      <w:pPr>
        <w:pStyle w:val="BodyText"/>
        <w:spacing w:line="360" w:lineRule="auto" w:before="160"/>
        <w:ind w:left="118" w:right="267" w:firstLine="851"/>
        <w:jc w:val="both"/>
      </w:pPr>
      <w:r>
        <w:rPr/>
        <w:t>Considerando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planejamento</w:t>
      </w:r>
      <w:r>
        <w:rPr>
          <w:spacing w:val="-4"/>
        </w:rPr>
        <w:t> </w:t>
      </w:r>
      <w:r>
        <w:rPr/>
        <w:t>estratégico</w:t>
      </w:r>
      <w:r>
        <w:rPr>
          <w:spacing w:val="-5"/>
        </w:rPr>
        <w:t> </w:t>
      </w:r>
      <w:r>
        <w:rPr/>
        <w:t>é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visão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longo</w:t>
      </w:r>
      <w:r>
        <w:rPr>
          <w:spacing w:val="-3"/>
        </w:rPr>
        <w:t> </w:t>
      </w:r>
      <w:r>
        <w:rPr/>
        <w:t>prazo,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programação anual objetiva avaliar e aprimorar o processo de gestão da estratégia do CAU, estabelecendo uma relação</w:t>
      </w:r>
      <w:r>
        <w:rPr>
          <w:spacing w:val="-4"/>
        </w:rPr>
        <w:t> </w:t>
      </w:r>
      <w:r>
        <w:rPr/>
        <w:t>mais</w:t>
      </w:r>
      <w:r>
        <w:rPr>
          <w:spacing w:val="-5"/>
        </w:rPr>
        <w:t> </w:t>
      </w:r>
      <w:r>
        <w:rPr/>
        <w:t>direta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os</w:t>
      </w:r>
      <w:r>
        <w:rPr>
          <w:spacing w:val="-5"/>
        </w:rPr>
        <w:t> </w:t>
      </w:r>
      <w:r>
        <w:rPr/>
        <w:t>objetivos</w:t>
      </w:r>
      <w:r>
        <w:rPr>
          <w:spacing w:val="-3"/>
        </w:rPr>
        <w:t> </w:t>
      </w:r>
      <w:r>
        <w:rPr/>
        <w:t>estratégicos,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metas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Conselho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os</w:t>
      </w:r>
      <w:r>
        <w:rPr>
          <w:spacing w:val="-5"/>
        </w:rPr>
        <w:t> </w:t>
      </w:r>
      <w:r>
        <w:rPr/>
        <w:t>projetos</w:t>
      </w:r>
      <w:r>
        <w:rPr>
          <w:spacing w:val="-4"/>
        </w:rPr>
        <w:t> </w:t>
      </w:r>
      <w:r>
        <w:rPr/>
        <w:t>prioritários.</w:t>
      </w:r>
    </w:p>
    <w:p>
      <w:pPr>
        <w:spacing w:line="360" w:lineRule="auto" w:before="161"/>
        <w:ind w:left="118" w:right="264" w:firstLine="851"/>
        <w:jc w:val="both"/>
        <w:rPr>
          <w:b/>
          <w:i/>
          <w:sz w:val="24"/>
        </w:rPr>
      </w:pPr>
      <w:r>
        <w:rPr>
          <w:b/>
          <w:i/>
          <w:sz w:val="24"/>
        </w:rPr>
        <w:t>O Plano de Ação do CAU para 2021, visando ao desenvolvimento e fortalecimento da</w:t>
      </w:r>
      <w:r>
        <w:rPr>
          <w:b/>
          <w:i/>
          <w:sz w:val="24"/>
        </w:rPr>
        <w:t> arquitetura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urbanismo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da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profissão,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orienta-se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pela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missão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do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CAU,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definida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no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Planejamento Estratégico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2023,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“Promover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Arquitetura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Urbanismo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para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Todos”;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por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sua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visão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futuro, de “Ser reconhecido como referência na defesa e fomento das boas práticas da Arquitetura e </w:t>
      </w:r>
      <w:r>
        <w:rPr>
          <w:b/>
          <w:i/>
          <w:spacing w:val="-2"/>
          <w:sz w:val="24"/>
        </w:rPr>
        <w:t>Urbanismo”.</w:t>
      </w:r>
    </w:p>
    <w:p>
      <w:pPr>
        <w:pStyle w:val="BodyText"/>
        <w:spacing w:line="360" w:lineRule="auto" w:before="159"/>
        <w:ind w:left="118" w:right="266" w:firstLine="851"/>
        <w:jc w:val="both"/>
      </w:pPr>
      <w:r>
        <w:rPr/>
        <w:t>Compreende as propostas apresentadas pelos CAU/UF e pelo CAU/BR, compostas por projetos e atividades, de forma estruturada na contribuição aos objetivos estratégicos do CAU, observando no </w:t>
      </w:r>
      <w:r>
        <w:rPr>
          <w:b/>
        </w:rPr>
        <w:t>Mapa Estratégico do CAU - 2023</w:t>
      </w:r>
      <w:r>
        <w:rPr/>
        <w:t>, agrupados pelas perspectivas Sociedade, Processos Internos, Pessoas e Infraestrutura.</w:t>
      </w:r>
    </w:p>
    <w:p>
      <w:pPr>
        <w:pStyle w:val="BodyText"/>
        <w:spacing w:line="360" w:lineRule="auto" w:before="160"/>
        <w:ind w:left="118" w:right="270" w:firstLine="851"/>
        <w:jc w:val="both"/>
      </w:pPr>
      <w:r>
        <w:rPr/>
        <w:t>A estratégia de atuação do CAU orienta-se por uma leitura do cenário econômico e social do país e da arquitetura e urbanismo (pós-pandemia), e da análise do desempenho e projeções sobre a evolução do Conselho no período. Nessas estratégias foram consideradas: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60" w:lineRule="auto" w:before="160" w:after="0"/>
        <w:ind w:left="118" w:right="272" w:firstLine="851"/>
        <w:jc w:val="both"/>
        <w:rPr>
          <w:sz w:val="24"/>
        </w:rPr>
      </w:pPr>
      <w:r>
        <w:rPr>
          <w:sz w:val="24"/>
        </w:rPr>
        <w:t>ampliação da capacidade operacional decorrente da necessidade da melhoria da fiscalização profissional e do atendimento aos arquitetos e urbanistas;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61" w:after="0"/>
        <w:ind w:left="1820" w:right="0" w:hanging="852"/>
        <w:jc w:val="both"/>
        <w:rPr>
          <w:sz w:val="24"/>
        </w:rPr>
      </w:pPr>
      <w:r>
        <w:rPr>
          <w:sz w:val="24"/>
        </w:rPr>
        <w:t>recursos</w:t>
      </w:r>
      <w:r>
        <w:rPr>
          <w:spacing w:val="-5"/>
          <w:sz w:val="24"/>
        </w:rPr>
        <w:t> </w:t>
      </w:r>
      <w:r>
        <w:rPr>
          <w:sz w:val="24"/>
        </w:rPr>
        <w:t>tecnológicos;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0" w:after="0"/>
        <w:ind w:left="1820" w:right="0" w:hanging="852"/>
        <w:jc w:val="both"/>
        <w:rPr>
          <w:sz w:val="24"/>
        </w:rPr>
      </w:pPr>
      <w:r>
        <w:rPr>
          <w:sz w:val="24"/>
        </w:rPr>
        <w:t>força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trabalho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colaboradores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prestadores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serviços.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60" w:lineRule="auto"/>
        <w:ind w:left="118" w:right="266" w:firstLine="851"/>
        <w:jc w:val="both"/>
      </w:pPr>
      <w:r>
        <w:rPr/>
        <w:t>As</w:t>
      </w:r>
      <w:r>
        <w:rPr>
          <w:spacing w:val="-5"/>
        </w:rPr>
        <w:t> </w:t>
      </w:r>
      <w:r>
        <w:rPr/>
        <w:t>orientações,</w:t>
      </w:r>
      <w:r>
        <w:rPr>
          <w:spacing w:val="-4"/>
        </w:rPr>
        <w:t> </w:t>
      </w:r>
      <w:r>
        <w:rPr/>
        <w:t>políticas,</w:t>
      </w:r>
      <w:r>
        <w:rPr>
          <w:spacing w:val="-6"/>
        </w:rPr>
        <w:t> </w:t>
      </w:r>
      <w:r>
        <w:rPr/>
        <w:t>prioridades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estratégias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nortearam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elaboração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planos de ação dos CAU/UF e do CAU/BR, estão contextualizadas no Planejamento Estratégico do CAU – 2023 e nas Diretrizes para Elaboração do Plano de Ação e Orçamento do CAU – Exercício de 2021.</w:t>
      </w:r>
    </w:p>
    <w:p>
      <w:pPr>
        <w:pStyle w:val="BodyText"/>
        <w:spacing w:line="360" w:lineRule="auto" w:before="161"/>
        <w:ind w:left="118" w:right="267" w:firstLine="851"/>
        <w:jc w:val="both"/>
      </w:pPr>
      <w:r>
        <w:rPr/>
        <w:t>Na</w:t>
      </w:r>
      <w:r>
        <w:rPr>
          <w:spacing w:val="-3"/>
        </w:rPr>
        <w:t> </w:t>
      </w:r>
      <w:r>
        <w:rPr/>
        <w:t>elaboração</w:t>
      </w:r>
      <w:r>
        <w:rPr>
          <w:spacing w:val="-3"/>
        </w:rPr>
        <w:t> </w:t>
      </w:r>
      <w:r>
        <w:rPr/>
        <w:t>das</w:t>
      </w:r>
      <w:r>
        <w:rPr>
          <w:spacing w:val="-5"/>
        </w:rPr>
        <w:t> </w:t>
      </w:r>
      <w:r>
        <w:rPr/>
        <w:t>propostas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projetos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atividades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serem</w:t>
      </w:r>
      <w:r>
        <w:rPr>
          <w:spacing w:val="-3"/>
        </w:rPr>
        <w:t> </w:t>
      </w:r>
      <w:r>
        <w:rPr/>
        <w:t>desenvolvidas</w:t>
      </w:r>
      <w:r>
        <w:rPr>
          <w:spacing w:val="-3"/>
        </w:rPr>
        <w:t> </w:t>
      </w:r>
      <w:r>
        <w:rPr/>
        <w:t>pelo</w:t>
      </w:r>
      <w:r>
        <w:rPr>
          <w:spacing w:val="-4"/>
        </w:rPr>
        <w:t> </w:t>
      </w:r>
      <w:r>
        <w:rPr/>
        <w:t>CAU</w:t>
      </w:r>
      <w:r>
        <w:rPr>
          <w:spacing w:val="-3"/>
        </w:rPr>
        <w:t> </w:t>
      </w:r>
      <w:r>
        <w:rPr/>
        <w:t>em 2021, como forma de potencializar sua atuação, medir e comunicar resultados para o público-alvo</w:t>
      </w:r>
    </w:p>
    <w:p>
      <w:pPr>
        <w:spacing w:after="0" w:line="360" w:lineRule="auto"/>
        <w:jc w:val="both"/>
        <w:sectPr>
          <w:pgSz w:w="11910" w:h="16840"/>
          <w:pgMar w:header="516" w:footer="442" w:top="1540" w:bottom="640" w:left="1300" w:right="580"/>
        </w:sectPr>
      </w:pPr>
    </w:p>
    <w:p>
      <w:pPr>
        <w:pStyle w:val="BodyText"/>
        <w:spacing w:line="360" w:lineRule="auto" w:before="45"/>
        <w:ind w:left="118" w:right="266"/>
        <w:jc w:val="both"/>
      </w:pP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sociedade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geral,</w:t>
      </w:r>
      <w:r>
        <w:rPr>
          <w:spacing w:val="-12"/>
        </w:rPr>
        <w:t> </w:t>
      </w:r>
      <w:r>
        <w:rPr/>
        <w:t>também</w:t>
      </w:r>
      <w:r>
        <w:rPr>
          <w:spacing w:val="-12"/>
        </w:rPr>
        <w:t> </w:t>
      </w:r>
      <w:r>
        <w:rPr/>
        <w:t>foram</w:t>
      </w:r>
      <w:r>
        <w:rPr>
          <w:spacing w:val="-12"/>
        </w:rPr>
        <w:t> </w:t>
      </w:r>
      <w:r>
        <w:rPr/>
        <w:t>consideradas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mudanças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vem</w:t>
      </w:r>
      <w:r>
        <w:rPr>
          <w:spacing w:val="-12"/>
        </w:rPr>
        <w:t> </w:t>
      </w:r>
      <w:r>
        <w:rPr/>
        <w:t>acontecendo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cenário econômico e social do País e os resultados que o Conselho vem alcançando frente às metas estabelecidas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plano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ação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exercício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2020.</w:t>
      </w:r>
      <w:r>
        <w:rPr>
          <w:spacing w:val="-13"/>
        </w:rPr>
        <w:t> </w:t>
      </w:r>
      <w:r>
        <w:rPr/>
        <w:t>Nesse</w:t>
      </w:r>
      <w:r>
        <w:rPr>
          <w:spacing w:val="-14"/>
        </w:rPr>
        <w:t> </w:t>
      </w:r>
      <w:r>
        <w:rPr/>
        <w:t>contexto,</w:t>
      </w:r>
      <w:r>
        <w:rPr>
          <w:spacing w:val="-13"/>
        </w:rPr>
        <w:t> </w:t>
      </w:r>
      <w:r>
        <w:rPr/>
        <w:t>além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serem</w:t>
      </w:r>
      <w:r>
        <w:rPr>
          <w:spacing w:val="-14"/>
        </w:rPr>
        <w:t> </w:t>
      </w:r>
      <w:r>
        <w:rPr/>
        <w:t>observadas as</w:t>
      </w:r>
      <w:r>
        <w:rPr>
          <w:spacing w:val="-4"/>
        </w:rPr>
        <w:t> </w:t>
      </w:r>
      <w:r>
        <w:rPr/>
        <w:t>contribuições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estratégia</w:t>
      </w:r>
      <w:r>
        <w:rPr>
          <w:spacing w:val="-3"/>
        </w:rPr>
        <w:t> </w:t>
      </w:r>
      <w:r>
        <w:rPr/>
        <w:t>nacional,</w:t>
      </w:r>
      <w:r>
        <w:rPr>
          <w:spacing w:val="-4"/>
        </w:rPr>
        <w:t> </w:t>
      </w:r>
      <w:r>
        <w:rPr/>
        <w:t>também</w:t>
      </w:r>
      <w:r>
        <w:rPr>
          <w:spacing w:val="-4"/>
        </w:rPr>
        <w:t> </w:t>
      </w:r>
      <w:r>
        <w:rPr/>
        <w:t>foram</w:t>
      </w:r>
      <w:r>
        <w:rPr>
          <w:spacing w:val="-4"/>
        </w:rPr>
        <w:t> </w:t>
      </w:r>
      <w:r>
        <w:rPr/>
        <w:t>observadas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prioridades</w:t>
      </w:r>
      <w:r>
        <w:rPr>
          <w:spacing w:val="-4"/>
        </w:rPr>
        <w:t> </w:t>
      </w:r>
      <w:r>
        <w:rPr/>
        <w:t>locais,</w:t>
      </w:r>
      <w:r>
        <w:rPr>
          <w:spacing w:val="-4"/>
        </w:rPr>
        <w:t> </w:t>
      </w:r>
      <w:r>
        <w:rPr/>
        <w:t>capacidade operacional e evolução dos profissionais (Figura 1).</w:t>
      </w:r>
    </w:p>
    <w:p>
      <w:pPr>
        <w:spacing w:before="160"/>
        <w:ind w:left="6048" w:right="0" w:firstLine="0"/>
        <w:jc w:val="both"/>
        <w:rPr>
          <w:b/>
          <w:sz w:val="22"/>
        </w:rPr>
      </w:pPr>
      <w:bookmarkStart w:name="_bookmark2" w:id="3"/>
      <w:bookmarkEnd w:id="3"/>
      <w:r>
        <w:rPr/>
      </w:r>
      <w:r>
        <w:rPr>
          <w:b/>
          <w:sz w:val="22"/>
        </w:rPr>
        <w:t>Figura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Mapa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Estratégico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2020.</w:t>
      </w: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900683</wp:posOffset>
            </wp:positionH>
            <wp:positionV relativeFrom="paragraph">
              <wp:posOffset>171119</wp:posOffset>
            </wp:positionV>
            <wp:extent cx="6094815" cy="342709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1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360" w:lineRule="auto"/>
        <w:ind w:left="118" w:right="267" w:firstLine="851"/>
        <w:jc w:val="both"/>
      </w:pPr>
      <w:r>
        <w:rPr/>
        <w:t>Em 2020, os objetivos estratégicos de âmbito nacional eram: (i) Tornar a fiscalização um vetor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melhoria</w:t>
      </w:r>
      <w:r>
        <w:rPr>
          <w:spacing w:val="-9"/>
        </w:rPr>
        <w:t> </w:t>
      </w:r>
      <w:r>
        <w:rPr/>
        <w:t>do</w:t>
      </w:r>
      <w:r>
        <w:rPr>
          <w:spacing w:val="-11"/>
        </w:rPr>
        <w:t> </w:t>
      </w:r>
      <w:r>
        <w:rPr/>
        <w:t>exercício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Arquitetura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Urbanismo;</w:t>
      </w:r>
      <w:r>
        <w:rPr>
          <w:spacing w:val="-10"/>
        </w:rPr>
        <w:t> </w:t>
      </w:r>
      <w:r>
        <w:rPr/>
        <w:t>(ii)</w:t>
      </w:r>
      <w:r>
        <w:rPr>
          <w:spacing w:val="-10"/>
        </w:rPr>
        <w:t> </w:t>
      </w:r>
      <w:r>
        <w:rPr/>
        <w:t>Estimular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produção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Arquitetura e</w:t>
      </w:r>
      <w:r>
        <w:rPr>
          <w:spacing w:val="-2"/>
        </w:rPr>
        <w:t> </w:t>
      </w:r>
      <w:r>
        <w:rPr/>
        <w:t>Urbanismo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Estado; e</w:t>
      </w:r>
      <w:r>
        <w:rPr>
          <w:spacing w:val="-2"/>
        </w:rPr>
        <w:t> </w:t>
      </w:r>
      <w:r>
        <w:rPr/>
        <w:t>(iii)</w:t>
      </w:r>
      <w:r>
        <w:rPr>
          <w:spacing w:val="-2"/>
        </w:rPr>
        <w:t> </w:t>
      </w:r>
      <w:r>
        <w:rPr/>
        <w:t>Assegurar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eficácia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relacionamento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comunicação com a sociedade.</w:t>
      </w:r>
    </w:p>
    <w:p>
      <w:pPr>
        <w:spacing w:line="360" w:lineRule="auto" w:before="160"/>
        <w:ind w:left="118" w:right="262" w:firstLine="851"/>
        <w:jc w:val="both"/>
        <w:rPr>
          <w:b/>
          <w:sz w:val="23"/>
        </w:rPr>
      </w:pPr>
      <w:r>
        <w:rPr>
          <w:sz w:val="24"/>
        </w:rPr>
        <w:t>Considerando mudanças nas prioridades estratégicas nacionais do CAU, com base em pesquisas realizadas em 2020, para a programação de 2021, as iniciativas estratégicas a serem implementadas</w:t>
      </w:r>
      <w:r>
        <w:rPr>
          <w:spacing w:val="-2"/>
          <w:sz w:val="24"/>
        </w:rPr>
        <w:t> </w:t>
      </w:r>
      <w:r>
        <w:rPr>
          <w:sz w:val="24"/>
        </w:rPr>
        <w:t>pelo</w:t>
      </w:r>
      <w:r>
        <w:rPr>
          <w:spacing w:val="-2"/>
          <w:sz w:val="24"/>
        </w:rPr>
        <w:t> </w:t>
      </w:r>
      <w:r>
        <w:rPr>
          <w:sz w:val="24"/>
        </w:rPr>
        <w:t>Conselho,</w:t>
      </w:r>
      <w:r>
        <w:rPr>
          <w:spacing w:val="-2"/>
          <w:sz w:val="24"/>
        </w:rPr>
        <w:t> </w:t>
      </w:r>
      <w:r>
        <w:rPr>
          <w:sz w:val="24"/>
        </w:rPr>
        <w:t>visando</w:t>
      </w:r>
      <w:r>
        <w:rPr>
          <w:spacing w:val="-3"/>
          <w:sz w:val="24"/>
        </w:rPr>
        <w:t> </w:t>
      </w:r>
      <w:r>
        <w:rPr>
          <w:sz w:val="24"/>
        </w:rPr>
        <w:t>ao</w:t>
      </w:r>
      <w:r>
        <w:rPr>
          <w:spacing w:val="-3"/>
          <w:sz w:val="24"/>
        </w:rPr>
        <w:t> </w:t>
      </w:r>
      <w:r>
        <w:rPr>
          <w:sz w:val="24"/>
        </w:rPr>
        <w:t>alcance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resultados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façam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diferença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atuação dos</w:t>
      </w:r>
      <w:r>
        <w:rPr>
          <w:spacing w:val="-4"/>
          <w:sz w:val="24"/>
        </w:rPr>
        <w:t> </w:t>
      </w:r>
      <w:r>
        <w:rPr>
          <w:sz w:val="24"/>
        </w:rPr>
        <w:t>arquitetos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urbanistas</w:t>
      </w:r>
      <w:r>
        <w:rPr>
          <w:spacing w:val="-4"/>
          <w:sz w:val="24"/>
        </w:rPr>
        <w:t> </w:t>
      </w:r>
      <w:r>
        <w:rPr>
          <w:sz w:val="24"/>
        </w:rPr>
        <w:t>brasileiros,</w:t>
      </w:r>
      <w:r>
        <w:rPr>
          <w:spacing w:val="-3"/>
          <w:sz w:val="24"/>
        </w:rPr>
        <w:t> </w:t>
      </w:r>
      <w:r>
        <w:rPr>
          <w:sz w:val="24"/>
        </w:rPr>
        <w:t>focam</w:t>
      </w:r>
      <w:r>
        <w:rPr>
          <w:spacing w:val="-3"/>
          <w:sz w:val="24"/>
        </w:rPr>
        <w:t> </w:t>
      </w:r>
      <w:r>
        <w:rPr>
          <w:sz w:val="24"/>
        </w:rPr>
        <w:t>prioritariamente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Objetivos</w:t>
      </w:r>
      <w:r>
        <w:rPr>
          <w:spacing w:val="-4"/>
          <w:sz w:val="24"/>
        </w:rPr>
        <w:t> </w:t>
      </w:r>
      <w:r>
        <w:rPr>
          <w:sz w:val="24"/>
        </w:rPr>
        <w:t>Estratégicos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âmbito nacional que são:</w:t>
      </w:r>
      <w:r>
        <w:rPr>
          <w:spacing w:val="40"/>
          <w:sz w:val="24"/>
        </w:rPr>
        <w:t> </w:t>
      </w:r>
      <w:r>
        <w:rPr>
          <w:b/>
          <w:sz w:val="24"/>
        </w:rPr>
        <w:t>(i) Tornar a fiscalização um vetor de melhoria do exercício da Arquitetura e Urbanismo; (ii) Estimular a produção da Arquitetura e Urbanismo como política de Estado; e (iii) </w:t>
      </w:r>
      <w:r>
        <w:rPr>
          <w:b/>
          <w:sz w:val="23"/>
        </w:rPr>
        <w:t>Fomentar o acesso da sociedade à Arquitetura e Urbanismo.</w:t>
      </w:r>
    </w:p>
    <w:p>
      <w:pPr>
        <w:spacing w:after="0" w:line="360" w:lineRule="auto"/>
        <w:jc w:val="both"/>
        <w:rPr>
          <w:sz w:val="23"/>
        </w:rPr>
        <w:sectPr>
          <w:pgSz w:w="11910" w:h="16840"/>
          <w:pgMar w:header="516" w:footer="442" w:top="1540" w:bottom="640" w:left="1300" w:right="580"/>
        </w:sectPr>
      </w:pPr>
    </w:p>
    <w:p>
      <w:pPr>
        <w:pStyle w:val="BodyText"/>
        <w:spacing w:line="360" w:lineRule="auto" w:before="45"/>
        <w:ind w:left="118" w:right="267" w:firstLine="851"/>
        <w:jc w:val="both"/>
      </w:pPr>
      <w:r>
        <w:rPr/>
        <w:t>Também na busca de levar a arquitetura e urbanismo para todos os segmentos da sociedade brasileira, em 2021, uma das prioridades de atuação do Conselho, está voltada para incrementar a atuação da profissão junto às classes menos favorecidas.</w:t>
      </w:r>
    </w:p>
    <w:p>
      <w:pPr>
        <w:spacing w:line="360" w:lineRule="auto" w:before="161"/>
        <w:ind w:left="118" w:right="266" w:firstLine="851"/>
        <w:jc w:val="both"/>
        <w:rPr>
          <w:sz w:val="24"/>
        </w:rPr>
      </w:pPr>
      <w:r>
        <w:rPr>
          <w:sz w:val="24"/>
        </w:rPr>
        <w:t>Essas ações, visando ao alcance da Missão do Conselho </w:t>
      </w:r>
      <w:r>
        <w:rPr>
          <w:b/>
          <w:sz w:val="24"/>
        </w:rPr>
        <w:t>“Arquitetura e Urbanismo para Todos”</w:t>
      </w:r>
      <w:r>
        <w:rPr>
          <w:sz w:val="24"/>
        </w:rPr>
        <w:t>, no âmbito do Objetivo Estratégico “</w:t>
      </w:r>
      <w:r>
        <w:rPr>
          <w:b/>
          <w:sz w:val="24"/>
        </w:rPr>
        <w:t>Fomentar o acesso da sociedade à Arquitetura e Urbanismo</w:t>
      </w:r>
      <w:r>
        <w:rPr>
          <w:sz w:val="24"/>
        </w:rPr>
        <w:t>” serão implementadas por meio de projetos estratégicos em </w:t>
      </w:r>
      <w:r>
        <w:rPr>
          <w:b/>
          <w:sz w:val="24"/>
        </w:rPr>
        <w:t>Assistência Técnica em Habitações de Interesse Social – ATHIS</w:t>
      </w:r>
      <w:r>
        <w:rPr>
          <w:sz w:val="24"/>
        </w:rPr>
        <w:t>, que devem observar aspectos relevantes para a melhoria da qualidade de vida da população brasileira, em acordo com a Resolução CAU/BR nº 94, de 07 de novembro de 2014, e os princípios da Lei n° 11.888/2008 “que assegura às famílias de baixa renda assistência técnica pública e gratuita para o projeto e a construção de habitação de interesse </w:t>
      </w:r>
      <w:r>
        <w:rPr>
          <w:spacing w:val="-2"/>
          <w:sz w:val="24"/>
        </w:rPr>
        <w:t>social...”.</w:t>
      </w:r>
    </w:p>
    <w:p>
      <w:pPr>
        <w:pStyle w:val="BodyText"/>
        <w:spacing w:line="360" w:lineRule="auto" w:before="160"/>
        <w:ind w:left="118" w:right="269" w:firstLine="851"/>
        <w:jc w:val="both"/>
      </w:pPr>
      <w:r>
        <w:rPr/>
        <w:t>No</w:t>
      </w:r>
      <w:r>
        <w:rPr>
          <w:spacing w:val="-14"/>
        </w:rPr>
        <w:t> </w:t>
      </w:r>
      <w:r>
        <w:rPr/>
        <w:t>contexto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Plano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Ação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2021,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CAU/UF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CAU/BR</w:t>
      </w:r>
      <w:r>
        <w:rPr>
          <w:spacing w:val="-14"/>
        </w:rPr>
        <w:t> </w:t>
      </w:r>
      <w:r>
        <w:rPr/>
        <w:t>também</w:t>
      </w:r>
      <w:r>
        <w:rPr>
          <w:spacing w:val="-13"/>
        </w:rPr>
        <w:t> </w:t>
      </w:r>
      <w:r>
        <w:rPr/>
        <w:t>elencaram</w:t>
      </w:r>
      <w:r>
        <w:rPr>
          <w:spacing w:val="-14"/>
        </w:rPr>
        <w:t> </w:t>
      </w:r>
      <w:r>
        <w:rPr/>
        <w:t>outros objetivos estratégicos que melhor atendam às suas prioridades de atuação local, e retratados em seus próprios mapas estratégicos.</w:t>
      </w:r>
    </w:p>
    <w:p>
      <w:pPr>
        <w:pStyle w:val="BodyText"/>
        <w:spacing w:line="360" w:lineRule="auto" w:before="160"/>
        <w:ind w:left="118" w:right="264" w:firstLine="851"/>
        <w:jc w:val="both"/>
      </w:pPr>
      <w:r>
        <w:rPr/>
        <w:t>Para 2021, os indicadores dos CAU/UF e CAU/BR serão mensurados e monitorados com o apoio da Plataforma de Gestão Integrada (SGI), em especial, pelo módulo “Gestão Estratégica e de Indicadores”. Serão mensuados e acompanhados 44 indicadores comuns aos CAU/UF e 46 indicadores do CAU/BR. As metas dos indicadores foram projetadas com base em suas séries </w:t>
      </w:r>
      <w:r>
        <w:rPr>
          <w:spacing w:val="-2"/>
        </w:rPr>
        <w:t>históricas.</w:t>
      </w:r>
    </w:p>
    <w:p>
      <w:pPr>
        <w:pStyle w:val="BodyText"/>
        <w:spacing w:line="360" w:lineRule="auto" w:before="159"/>
        <w:ind w:left="118" w:right="265" w:firstLine="851"/>
        <w:jc w:val="both"/>
      </w:pPr>
      <w:r>
        <w:rPr/>
        <w:t>As</w:t>
      </w:r>
      <w:r>
        <w:rPr>
          <w:spacing w:val="-5"/>
        </w:rPr>
        <w:t> </w:t>
      </w:r>
      <w:r>
        <w:rPr/>
        <w:t>ações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CAU,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2021,</w:t>
      </w:r>
      <w:r>
        <w:rPr>
          <w:spacing w:val="-5"/>
        </w:rPr>
        <w:t> </w:t>
      </w:r>
      <w:r>
        <w:rPr/>
        <w:t>estão</w:t>
      </w:r>
      <w:r>
        <w:rPr>
          <w:spacing w:val="-5"/>
        </w:rPr>
        <w:t> </w:t>
      </w:r>
      <w:r>
        <w:rPr/>
        <w:t>voltadas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um</w:t>
      </w:r>
      <w:r>
        <w:rPr>
          <w:spacing w:val="-5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alvo</w:t>
      </w:r>
      <w:r>
        <w:rPr>
          <w:spacing w:val="-6"/>
        </w:rPr>
        <w:t> </w:t>
      </w:r>
      <w:r>
        <w:rPr/>
        <w:t>composto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202.230</w:t>
      </w:r>
      <w:r>
        <w:rPr>
          <w:spacing w:val="-5"/>
        </w:rPr>
        <w:t> </w:t>
      </w:r>
      <w:r>
        <w:rPr/>
        <w:t>mil arquitetos, 28.482 mil empresas de arquitetura e urbanismo, com atividades profissionais representadas por 889.979 mil RRT. No tocante às Instituições de Ensino Superior (IES), que respondem por cursos de Arquitetura e Urbanismo, constata-se, no país, um total de 643 IES, de acordo com as informações disponibilizadas no IGEO.</w:t>
      </w:r>
    </w:p>
    <w:p>
      <w:pPr>
        <w:pStyle w:val="BodyText"/>
        <w:spacing w:line="360" w:lineRule="auto" w:before="160"/>
        <w:ind w:left="118" w:right="265" w:firstLine="851"/>
        <w:jc w:val="both"/>
      </w:pPr>
      <w:r>
        <w:rPr/>
        <w:t>Considerando as informações do Sistema de Inteligência Geográfica do CAU – IGEO, verifica-se arquitetos e urbanistas presentes em 62,5% dos munícipios brasileiros (total de </w:t>
      </w:r>
      <w:r>
        <w:rPr>
          <w:sz w:val="22"/>
        </w:rPr>
        <w:t>5.570 municípios)</w:t>
      </w:r>
      <w:r>
        <w:rPr>
          <w:spacing w:val="-1"/>
          <w:sz w:val="22"/>
        </w:rPr>
        <w:t> </w:t>
      </w:r>
      <w:r>
        <w:rPr/>
        <w:t>enquanto</w:t>
      </w:r>
      <w:r>
        <w:rPr>
          <w:spacing w:val="-2"/>
        </w:rPr>
        <w:t> </w:t>
      </w:r>
      <w:r>
        <w:rPr/>
        <w:t>as empresas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arquitetura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urbanismo</w:t>
      </w:r>
      <w:r>
        <w:rPr>
          <w:spacing w:val="-2"/>
        </w:rPr>
        <w:t> </w:t>
      </w:r>
      <w:r>
        <w:rPr/>
        <w:t>em 37,1%.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tocante</w:t>
      </w:r>
      <w:r>
        <w:rPr>
          <w:spacing w:val="-1"/>
        </w:rPr>
        <w:t> </w:t>
      </w:r>
      <w:r>
        <w:rPr/>
        <w:t>aos</w:t>
      </w:r>
      <w:r>
        <w:rPr>
          <w:spacing w:val="-2"/>
        </w:rPr>
        <w:t> </w:t>
      </w:r>
      <w:r>
        <w:rPr/>
        <w:t>trabalhos profissionais</w:t>
      </w:r>
      <w:r>
        <w:rPr>
          <w:spacing w:val="-3"/>
        </w:rPr>
        <w:t> </w:t>
      </w:r>
      <w:r>
        <w:rPr/>
        <w:t>realizados,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RRT</w:t>
      </w:r>
      <w:r>
        <w:rPr>
          <w:spacing w:val="-4"/>
        </w:rPr>
        <w:t> </w:t>
      </w:r>
      <w:r>
        <w:rPr/>
        <w:t>emitidos</w:t>
      </w:r>
      <w:r>
        <w:rPr>
          <w:spacing w:val="-4"/>
        </w:rPr>
        <w:t> </w:t>
      </w:r>
      <w:r>
        <w:rPr/>
        <w:t>apresentam-se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87,6%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municípios.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Instituições de</w:t>
      </w:r>
      <w:r>
        <w:rPr>
          <w:spacing w:val="-5"/>
        </w:rPr>
        <w:t> </w:t>
      </w:r>
      <w:r>
        <w:rPr/>
        <w:t>Ensino</w:t>
      </w:r>
      <w:r>
        <w:rPr>
          <w:spacing w:val="-5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em</w:t>
      </w:r>
      <w:r>
        <w:rPr>
          <w:spacing w:val="-5"/>
        </w:rPr>
        <w:t> </w:t>
      </w:r>
      <w:r>
        <w:rPr/>
        <w:t>4,5%</w:t>
      </w:r>
      <w:r>
        <w:rPr>
          <w:spacing w:val="-5"/>
        </w:rPr>
        <w:t> </w:t>
      </w:r>
      <w:r>
        <w:rPr/>
        <w:t>dos</w:t>
      </w:r>
      <w:r>
        <w:rPr>
          <w:spacing w:val="-6"/>
        </w:rPr>
        <w:t> </w:t>
      </w:r>
      <w:r>
        <w:rPr/>
        <w:t>municípios</w:t>
      </w:r>
      <w:r>
        <w:rPr>
          <w:spacing w:val="-5"/>
        </w:rPr>
        <w:t> </w:t>
      </w:r>
      <w:r>
        <w:rPr/>
        <w:t>brasileiros.</w:t>
      </w:r>
      <w:r>
        <w:rPr>
          <w:spacing w:val="-3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mencionar</w:t>
      </w:r>
      <w:r>
        <w:rPr>
          <w:spacing w:val="-5"/>
        </w:rPr>
        <w:t> </w:t>
      </w:r>
      <w:r>
        <w:rPr/>
        <w:t>que,</w:t>
      </w:r>
      <w:r>
        <w:rPr>
          <w:spacing w:val="-6"/>
        </w:rPr>
        <w:t> </w:t>
      </w:r>
      <w:r>
        <w:rPr/>
        <w:t>considerando</w:t>
      </w:r>
      <w:r>
        <w:rPr>
          <w:spacing w:val="-6"/>
        </w:rPr>
        <w:t> </w:t>
      </w:r>
      <w:r>
        <w:rPr/>
        <w:t>a atuação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arquitetos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urbanistas</w:t>
      </w:r>
      <w:r>
        <w:rPr>
          <w:spacing w:val="-3"/>
        </w:rPr>
        <w:t> </w:t>
      </w:r>
      <w:r>
        <w:rPr/>
        <w:t>desde</w:t>
      </w:r>
      <w:r>
        <w:rPr>
          <w:spacing w:val="-3"/>
        </w:rPr>
        <w:t> </w:t>
      </w:r>
      <w:r>
        <w:rPr/>
        <w:t>2012,</w:t>
      </w:r>
      <w:r>
        <w:rPr>
          <w:spacing w:val="-3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informações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IGEO,</w:t>
      </w:r>
      <w:r>
        <w:rPr>
          <w:spacing w:val="-3"/>
        </w:rPr>
        <w:t> </w:t>
      </w:r>
      <w:r>
        <w:rPr/>
        <w:t>já</w:t>
      </w:r>
      <w:r>
        <w:rPr>
          <w:spacing w:val="-3"/>
        </w:rPr>
        <w:t> </w:t>
      </w:r>
      <w:r>
        <w:rPr/>
        <w:t>houve</w:t>
      </w:r>
      <w:r>
        <w:rPr>
          <w:spacing w:val="-3"/>
        </w:rPr>
        <w:t> </w:t>
      </w:r>
      <w:r>
        <w:rPr/>
        <w:t>emissão de RRT em praticamente todos os municípios brasileiros.</w:t>
      </w:r>
    </w:p>
    <w:p>
      <w:pPr>
        <w:spacing w:after="0" w:line="360" w:lineRule="auto"/>
        <w:jc w:val="both"/>
        <w:sectPr>
          <w:pgSz w:w="11910" w:h="16840"/>
          <w:pgMar w:header="516" w:footer="442" w:top="1540" w:bottom="640" w:left="1300" w:right="580"/>
        </w:sectPr>
      </w:pPr>
    </w:p>
    <w:p>
      <w:pPr>
        <w:pStyle w:val="BodyText"/>
        <w:spacing w:line="360" w:lineRule="auto" w:before="45"/>
        <w:ind w:left="118" w:right="267" w:firstLine="851"/>
        <w:jc w:val="both"/>
      </w:pPr>
      <w:r>
        <w:rPr/>
        <w:t>No cenário sócio-econômico-financeiro, a atuação dos arquitetos e urbanistas contribui para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melhoria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população</w:t>
      </w:r>
      <w:r>
        <w:rPr>
          <w:vertAlign w:val="super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-3"/>
          <w:vertAlign w:val="baseline"/>
        </w:rPr>
        <w:t> </w:t>
      </w:r>
      <w:r>
        <w:rPr>
          <w:vertAlign w:val="baseline"/>
        </w:rPr>
        <w:t>Brasil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representada</w:t>
      </w:r>
      <w:r>
        <w:rPr>
          <w:spacing w:val="-1"/>
          <w:vertAlign w:val="baseline"/>
        </w:rPr>
        <w:t> </w:t>
      </w:r>
      <w:r>
        <w:rPr>
          <w:vertAlign w:val="baseline"/>
        </w:rPr>
        <w:t>por 210,147 milhões de pessoas, com um PIB</w:t>
      </w:r>
      <w:r>
        <w:rPr>
          <w:vertAlign w:val="superscript"/>
        </w:rPr>
        <w:t>2</w:t>
      </w:r>
      <w:r>
        <w:rPr>
          <w:vertAlign w:val="baseline"/>
        </w:rPr>
        <w:t> de R$ 5,996 trilhões, uma Renda Per capita</w:t>
      </w:r>
      <w:r>
        <w:rPr>
          <w:vertAlign w:val="superscript"/>
        </w:rPr>
        <w:t>2</w:t>
      </w:r>
      <w:r>
        <w:rPr>
          <w:vertAlign w:val="baseline"/>
        </w:rPr>
        <w:t> de R$13.356,00 e um IDH ² de 0,70.</w:t>
      </w:r>
    </w:p>
    <w:p>
      <w:pPr>
        <w:pStyle w:val="BodyText"/>
        <w:spacing w:line="360" w:lineRule="auto" w:before="160"/>
        <w:ind w:left="118" w:right="265" w:firstLine="851"/>
        <w:jc w:val="both"/>
      </w:pPr>
      <w:r>
        <w:rPr/>
        <w:t>Nesse</w:t>
      </w:r>
      <w:r>
        <w:rPr>
          <w:spacing w:val="-7"/>
        </w:rPr>
        <w:t> </w:t>
      </w:r>
      <w:r>
        <w:rPr/>
        <w:t>contexto,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atuação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CAU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2021,</w:t>
      </w:r>
      <w:r>
        <w:rPr>
          <w:spacing w:val="-7"/>
        </w:rPr>
        <w:t> </w:t>
      </w:r>
      <w:r>
        <w:rPr/>
        <w:t>em</w:t>
      </w:r>
      <w:r>
        <w:rPr>
          <w:spacing w:val="-7"/>
        </w:rPr>
        <w:t> </w:t>
      </w:r>
      <w:r>
        <w:rPr/>
        <w:t>prol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desenvolvimento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fortalecimento dos arquitetos e urbanistas e da arquitetura brasileira, compreende 713 iniciativas estratégicas sendo: 233 projetos e 480 atividades, das quais 28 estão direcionadas ao aporte de recursos ao Fundo de Apoio Financeiro; 27 ao aporte de recursos ao Centro de Serviços Compartilhados – CSC; e 26 à Reserva de Contingência.</w:t>
      </w:r>
    </w:p>
    <w:p>
      <w:pPr>
        <w:pStyle w:val="BodyText"/>
        <w:spacing w:line="360" w:lineRule="auto" w:before="160"/>
        <w:ind w:left="118" w:right="267" w:firstLine="851"/>
        <w:jc w:val="both"/>
      </w:pPr>
      <w:r>
        <w:rPr/>
        <w:t>Para o desenvolvimento dessas iniciativas, os recursos direcionados totalizam R$ 252,13 milhões,</w:t>
      </w:r>
      <w:r>
        <w:rPr>
          <w:spacing w:val="-12"/>
        </w:rPr>
        <w:t> </w:t>
      </w:r>
      <w:r>
        <w:rPr/>
        <w:t>dos</w:t>
      </w:r>
      <w:r>
        <w:rPr>
          <w:spacing w:val="-13"/>
        </w:rPr>
        <w:t> </w:t>
      </w:r>
      <w:r>
        <w:rPr/>
        <w:t>quais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CAU/UF</w:t>
      </w:r>
      <w:r>
        <w:rPr>
          <w:spacing w:val="-13"/>
        </w:rPr>
        <w:t> </w:t>
      </w:r>
      <w:r>
        <w:rPr/>
        <w:t>respondem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R$</w:t>
      </w:r>
      <w:r>
        <w:rPr>
          <w:spacing w:val="-10"/>
        </w:rPr>
        <w:t> </w:t>
      </w:r>
      <w:r>
        <w:rPr/>
        <w:t>187,32</w:t>
      </w:r>
      <w:r>
        <w:rPr>
          <w:spacing w:val="-13"/>
        </w:rPr>
        <w:t> </w:t>
      </w:r>
      <w:r>
        <w:rPr/>
        <w:t>milhões,</w:t>
      </w:r>
      <w:r>
        <w:rPr>
          <w:spacing w:val="-12"/>
        </w:rPr>
        <w:t> </w:t>
      </w:r>
      <w:r>
        <w:rPr/>
        <w:t>ou</w:t>
      </w:r>
      <w:r>
        <w:rPr>
          <w:spacing w:val="-13"/>
        </w:rPr>
        <w:t> </w:t>
      </w:r>
      <w:r>
        <w:rPr/>
        <w:t>74,3%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CAU/BR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R$</w:t>
      </w:r>
      <w:r>
        <w:rPr>
          <w:spacing w:val="-12"/>
        </w:rPr>
        <w:t> </w:t>
      </w:r>
      <w:r>
        <w:rPr/>
        <w:t>64,81 milhões, ou 25,7%.</w:t>
      </w:r>
    </w:p>
    <w:p>
      <w:pPr>
        <w:pStyle w:val="BodyText"/>
        <w:spacing w:line="360" w:lineRule="auto" w:before="160"/>
        <w:ind w:left="118" w:right="267" w:firstLine="851"/>
        <w:jc w:val="both"/>
      </w:pPr>
      <w:r>
        <w:rPr/>
        <w:t>Os</w:t>
      </w:r>
      <w:r>
        <w:rPr>
          <w:spacing w:val="-3"/>
        </w:rPr>
        <w:t> </w:t>
      </w:r>
      <w:r>
        <w:rPr/>
        <w:t>direcionadores</w:t>
      </w:r>
      <w:r>
        <w:rPr>
          <w:spacing w:val="-1"/>
        </w:rPr>
        <w:t> </w:t>
      </w:r>
      <w:r>
        <w:rPr/>
        <w:t>estratégicos,</w:t>
      </w:r>
      <w:r>
        <w:rPr>
          <w:spacing w:val="-2"/>
        </w:rPr>
        <w:t> </w:t>
      </w:r>
      <w:r>
        <w:rPr/>
        <w:t>objeto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todo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processo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CAU</w:t>
      </w:r>
      <w:r>
        <w:rPr>
          <w:spacing w:val="-1"/>
        </w:rPr>
        <w:t> </w:t>
      </w:r>
      <w:r>
        <w:rPr/>
        <w:t>2023, e as programações dos CAU/UF e o CAU/BR, na forma dos projetos e atividades estruturados nos Planos de Ação e Orçamento, apontam que a programação do Plano de Ação 2021 enfatiza a </w:t>
      </w:r>
      <w:r>
        <w:rPr>
          <w:b/>
          <w:i/>
        </w:rPr>
        <w:t>alocação estratégica de recursos </w:t>
      </w:r>
      <w:r>
        <w:rPr/>
        <w:t>como forma de garantir a implementação do planejamento do CAU e o alcance dos resultados institucionais da Visão de Futuro 2023, focando:</w:t>
      </w:r>
    </w:p>
    <w:p>
      <w:pPr>
        <w:pStyle w:val="ListParagraph"/>
        <w:numPr>
          <w:ilvl w:val="0"/>
          <w:numId w:val="3"/>
        </w:numPr>
        <w:tabs>
          <w:tab w:pos="828" w:val="left" w:leader="none"/>
        </w:tabs>
        <w:spacing w:line="360" w:lineRule="auto" w:before="160" w:after="0"/>
        <w:ind w:left="828" w:right="264" w:hanging="360"/>
        <w:jc w:val="both"/>
        <w:rPr>
          <w:sz w:val="24"/>
        </w:rPr>
      </w:pPr>
      <w:r>
        <w:rPr>
          <w:b/>
          <w:sz w:val="24"/>
        </w:rPr>
        <w:t>Fiscalização - mínimo de 15% </w:t>
      </w:r>
      <w:r>
        <w:rPr>
          <w:sz w:val="24"/>
        </w:rPr>
        <w:t>(quinze por cento) do total das receitas de arrecadação (anuidades do exercício e exercícios anteriores, RRT e taxas e multas) mais os recursos oriundos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Fundo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Apoio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caso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7"/>
          <w:sz w:val="24"/>
        </w:rPr>
        <w:t> </w:t>
      </w:r>
      <w:r>
        <w:rPr>
          <w:sz w:val="24"/>
        </w:rPr>
        <w:t>CAU</w:t>
      </w:r>
      <w:r>
        <w:rPr>
          <w:spacing w:val="-7"/>
          <w:sz w:val="24"/>
        </w:rPr>
        <w:t> </w:t>
      </w:r>
      <w:r>
        <w:rPr>
          <w:sz w:val="24"/>
        </w:rPr>
        <w:t>Básicos,</w:t>
      </w:r>
      <w:r>
        <w:rPr>
          <w:spacing w:val="-6"/>
          <w:sz w:val="24"/>
        </w:rPr>
        <w:t> </w:t>
      </w:r>
      <w:r>
        <w:rPr>
          <w:sz w:val="24"/>
        </w:rPr>
        <w:t>deduzido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valor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aporte</w:t>
      </w:r>
      <w:r>
        <w:rPr>
          <w:spacing w:val="-6"/>
          <w:sz w:val="24"/>
        </w:rPr>
        <w:t> </w:t>
      </w:r>
      <w:r>
        <w:rPr>
          <w:sz w:val="24"/>
        </w:rPr>
        <w:t>destinado ao Fundo de Apoio, deve ser alocado em iniciativas estratégicas para atender ao objetivo estratégico </w:t>
      </w:r>
      <w:r>
        <w:rPr>
          <w:b/>
          <w:sz w:val="24"/>
        </w:rPr>
        <w:t>"Tornar a fiscalização um vetor de melhoria do exercício da Arquitetura e </w:t>
      </w:r>
      <w:r>
        <w:rPr>
          <w:b/>
          <w:spacing w:val="-2"/>
          <w:sz w:val="24"/>
        </w:rPr>
        <w:t>Urbanismo"</w:t>
      </w:r>
      <w:r>
        <w:rPr>
          <w:spacing w:val="-2"/>
          <w:sz w:val="24"/>
        </w:rPr>
        <w:t>;</w:t>
      </w:r>
    </w:p>
    <w:p>
      <w:pPr>
        <w:pStyle w:val="ListParagraph"/>
        <w:numPr>
          <w:ilvl w:val="0"/>
          <w:numId w:val="3"/>
        </w:numPr>
        <w:tabs>
          <w:tab w:pos="828" w:val="left" w:leader="none"/>
        </w:tabs>
        <w:spacing w:line="360" w:lineRule="auto" w:before="0" w:after="0"/>
        <w:ind w:left="828" w:right="265" w:hanging="360"/>
        <w:jc w:val="both"/>
        <w:rPr>
          <w:sz w:val="24"/>
        </w:rPr>
      </w:pPr>
      <w:r>
        <w:rPr>
          <w:b/>
          <w:sz w:val="24"/>
        </w:rPr>
        <w:t>Atendimento - mínimo de 10% </w:t>
      </w:r>
      <w:r>
        <w:rPr>
          <w:sz w:val="24"/>
        </w:rPr>
        <w:t>(dez por cento) do total das receitas de arrecadação (anuidades do exercício e exercícios anteriores, RRT e taxas e multas) mais os recursos oriundos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Fundo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apoio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CAU</w:t>
      </w:r>
      <w:r>
        <w:rPr>
          <w:spacing w:val="-5"/>
          <w:sz w:val="24"/>
        </w:rPr>
        <w:t> </w:t>
      </w:r>
      <w:r>
        <w:rPr>
          <w:sz w:val="24"/>
        </w:rPr>
        <w:t>Básicos,</w:t>
      </w:r>
      <w:r>
        <w:rPr>
          <w:spacing w:val="-5"/>
          <w:sz w:val="24"/>
        </w:rPr>
        <w:t> </w:t>
      </w:r>
      <w:r>
        <w:rPr>
          <w:sz w:val="24"/>
        </w:rPr>
        <w:t>deduzido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valor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aporte</w:t>
      </w:r>
      <w:r>
        <w:rPr>
          <w:spacing w:val="-5"/>
          <w:sz w:val="24"/>
        </w:rPr>
        <w:t> </w:t>
      </w:r>
      <w:r>
        <w:rPr>
          <w:sz w:val="24"/>
        </w:rPr>
        <w:t>destinado ao Fundo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Apoio,</w:t>
      </w:r>
      <w:r>
        <w:rPr>
          <w:spacing w:val="16"/>
          <w:sz w:val="24"/>
        </w:rPr>
        <w:t> </w:t>
      </w:r>
      <w:r>
        <w:rPr>
          <w:sz w:val="24"/>
        </w:rPr>
        <w:t>pode</w:t>
      </w:r>
      <w:r>
        <w:rPr>
          <w:spacing w:val="17"/>
          <w:sz w:val="24"/>
        </w:rPr>
        <w:t> </w:t>
      </w:r>
      <w:r>
        <w:rPr>
          <w:sz w:val="24"/>
        </w:rPr>
        <w:t>ser alocado em</w:t>
      </w:r>
      <w:r>
        <w:rPr>
          <w:spacing w:val="17"/>
          <w:sz w:val="24"/>
        </w:rPr>
        <w:t> </w:t>
      </w:r>
      <w:r>
        <w:rPr>
          <w:sz w:val="24"/>
        </w:rPr>
        <w:t>iniciativas estratégicas para atender ao objetivo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113.480003pt;margin-top:12.639111pt;width:144.020pt;height:.72003pt;mso-position-horizontal-relative:page;mso-position-vertical-relative:paragraph;z-index:-15727616;mso-wrap-distance-left:0;mso-wrap-distance-right:0" id="docshape2" filled="true" fillcolor="#000000" stroked="false">
            <v:fill type="solid"/>
            <w10:wrap type="topAndBottom"/>
          </v:rect>
        </w:pict>
      </w:r>
    </w:p>
    <w:p>
      <w:pPr>
        <w:spacing w:before="101"/>
        <w:ind w:left="969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Dados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extraídos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do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site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IBGE/IGEO-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Censo</w:t>
      </w:r>
      <w:r>
        <w:rPr>
          <w:spacing w:val="-3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2010.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118" w:right="1501" w:firstLine="851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Dados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extraídos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do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site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do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IBGE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até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2015-</w:t>
      </w:r>
      <w:r>
        <w:rPr>
          <w:spacing w:val="-4"/>
          <w:sz w:val="18"/>
          <w:vertAlign w:val="baseline"/>
        </w:rPr>
        <w:t> </w:t>
      </w:r>
      <w:hyperlink r:id="rId9">
        <w:r>
          <w:rPr>
            <w:color w:val="0462C1"/>
            <w:sz w:val="18"/>
            <w:u w:val="single" w:color="0462C1"/>
            <w:vertAlign w:val="baseline"/>
          </w:rPr>
          <w:t>ftp://ftp.ibge.gov.br/Pib_Municipios/2015/base/</w:t>
        </w:r>
      </w:hyperlink>
      <w:r>
        <w:rPr>
          <w:color w:val="0462C1"/>
          <w:sz w:val="18"/>
          <w:vertAlign w:val="baseline"/>
        </w:rPr>
        <w:t> </w:t>
      </w:r>
      <w:hyperlink r:id="rId9">
        <w:r>
          <w:rPr>
            <w:color w:val="0462C1"/>
            <w:spacing w:val="-2"/>
            <w:sz w:val="18"/>
            <w:u w:val="single" w:color="0462C1"/>
            <w:vertAlign w:val="baseline"/>
          </w:rPr>
          <w:t>base_de_dados_2010_2015_xls.zip</w:t>
        </w:r>
      </w:hyperlink>
    </w:p>
    <w:p>
      <w:pPr>
        <w:spacing w:after="0"/>
        <w:jc w:val="left"/>
        <w:rPr>
          <w:sz w:val="18"/>
        </w:rPr>
        <w:sectPr>
          <w:pgSz w:w="11910" w:h="16840"/>
          <w:pgMar w:header="516" w:footer="442" w:top="1540" w:bottom="640" w:left="1300" w:right="580"/>
        </w:sectPr>
      </w:pPr>
    </w:p>
    <w:p>
      <w:pPr>
        <w:pStyle w:val="Heading6"/>
        <w:spacing w:line="360" w:lineRule="auto" w:before="45"/>
        <w:ind w:left="828" w:right="273"/>
        <w:jc w:val="both"/>
        <w:rPr>
          <w:b w:val="0"/>
        </w:rPr>
      </w:pPr>
      <w:r>
        <w:rPr>
          <w:b w:val="0"/>
        </w:rPr>
        <w:t>estratégico </w:t>
      </w:r>
      <w:r>
        <w:rPr/>
        <w:t>"Assegurar a eficácia no atendimento e no relacionamento com os arquitetos e urbanistas e a sociedade"</w:t>
      </w:r>
      <w:r>
        <w:rPr>
          <w:b w:val="0"/>
        </w:rPr>
        <w:t>;</w:t>
      </w:r>
    </w:p>
    <w:p>
      <w:pPr>
        <w:pStyle w:val="ListParagraph"/>
        <w:numPr>
          <w:ilvl w:val="0"/>
          <w:numId w:val="3"/>
        </w:numPr>
        <w:tabs>
          <w:tab w:pos="828" w:val="left" w:leader="none"/>
        </w:tabs>
        <w:spacing w:line="360" w:lineRule="auto" w:before="0" w:after="0"/>
        <w:ind w:left="828" w:right="269" w:hanging="360"/>
        <w:jc w:val="both"/>
        <w:rPr>
          <w:sz w:val="24"/>
        </w:rPr>
      </w:pPr>
      <w:r>
        <w:rPr>
          <w:b/>
          <w:sz w:val="24"/>
        </w:rPr>
        <w:t>Comunicação - mínimo de 3% </w:t>
      </w:r>
      <w:r>
        <w:rPr>
          <w:sz w:val="24"/>
        </w:rPr>
        <w:t>(três por cento) do total das receitas de arrecadação (anuidades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exercício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exercícios</w:t>
      </w:r>
      <w:r>
        <w:rPr>
          <w:spacing w:val="-11"/>
          <w:sz w:val="24"/>
        </w:rPr>
        <w:t> </w:t>
      </w:r>
      <w:r>
        <w:rPr>
          <w:sz w:val="24"/>
        </w:rPr>
        <w:t>anteriores,</w:t>
      </w:r>
      <w:r>
        <w:rPr>
          <w:spacing w:val="-13"/>
          <w:sz w:val="24"/>
        </w:rPr>
        <w:t> </w:t>
      </w:r>
      <w:r>
        <w:rPr>
          <w:sz w:val="24"/>
        </w:rPr>
        <w:t>RRT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taxas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multas)</w:t>
      </w:r>
      <w:r>
        <w:rPr>
          <w:spacing w:val="-12"/>
          <w:sz w:val="24"/>
        </w:rPr>
        <w:t> </w:t>
      </w:r>
      <w:r>
        <w:rPr>
          <w:sz w:val="24"/>
        </w:rPr>
        <w:t>mais</w:t>
      </w:r>
      <w:r>
        <w:rPr>
          <w:spacing w:val="-12"/>
          <w:sz w:val="24"/>
        </w:rPr>
        <w:t> </w:t>
      </w:r>
      <w:r>
        <w:rPr>
          <w:sz w:val="24"/>
        </w:rPr>
        <w:t>recursos</w:t>
      </w:r>
      <w:r>
        <w:rPr>
          <w:spacing w:val="-13"/>
          <w:sz w:val="24"/>
        </w:rPr>
        <w:t> </w:t>
      </w:r>
      <w:r>
        <w:rPr>
          <w:sz w:val="24"/>
        </w:rPr>
        <w:t>oriundos do Fundo de Apoio no caso dos CAU Básicos, deduzindo o valor do aporte destinado ao Fundo de Apoio, pode ser alocado em iniciativas estratégicas para atender o objetivo estratégico </w:t>
      </w:r>
      <w:r>
        <w:rPr>
          <w:b/>
          <w:sz w:val="24"/>
        </w:rPr>
        <w:t>"Assegurar a eficácia no relacionamento e comunicação com a sociedade"</w:t>
      </w:r>
      <w:r>
        <w:rPr>
          <w:sz w:val="24"/>
        </w:rPr>
        <w:t>;</w:t>
      </w:r>
    </w:p>
    <w:p>
      <w:pPr>
        <w:pStyle w:val="ListParagraph"/>
        <w:numPr>
          <w:ilvl w:val="0"/>
          <w:numId w:val="3"/>
        </w:numPr>
        <w:tabs>
          <w:tab w:pos="828" w:val="left" w:leader="none"/>
        </w:tabs>
        <w:spacing w:line="357" w:lineRule="auto" w:before="0" w:after="0"/>
        <w:ind w:left="828" w:right="264" w:hanging="360"/>
        <w:jc w:val="both"/>
        <w:rPr>
          <w:sz w:val="24"/>
        </w:rPr>
      </w:pPr>
      <w:r>
        <w:rPr>
          <w:b/>
          <w:sz w:val="24"/>
        </w:rPr>
        <w:t>Objetivos Estratégicos Locais - mínimo de 6% </w:t>
      </w:r>
      <w:r>
        <w:rPr>
          <w:sz w:val="24"/>
        </w:rPr>
        <w:t>(seis por cento) do total das receitas de arrecadação (anuidades do exercício e exercícios anteriores, RRT e taxas e multas) mais os recursos oriundos do Fundo de Apoio no caso dos CAU Básicos, deduzido o valor do aporte destinado</w:t>
      </w:r>
      <w:r>
        <w:rPr>
          <w:spacing w:val="-10"/>
          <w:sz w:val="24"/>
        </w:rPr>
        <w:t> </w:t>
      </w:r>
      <w:r>
        <w:rPr>
          <w:sz w:val="24"/>
        </w:rPr>
        <w:t>ao</w:t>
      </w:r>
      <w:r>
        <w:rPr>
          <w:spacing w:val="-10"/>
          <w:sz w:val="24"/>
        </w:rPr>
        <w:t> </w:t>
      </w:r>
      <w:r>
        <w:rPr>
          <w:sz w:val="24"/>
        </w:rPr>
        <w:t>Fundo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Apoio,</w:t>
      </w:r>
      <w:r>
        <w:rPr>
          <w:spacing w:val="-10"/>
          <w:sz w:val="24"/>
        </w:rPr>
        <w:t> </w:t>
      </w:r>
      <w:r>
        <w:rPr>
          <w:sz w:val="24"/>
        </w:rPr>
        <w:t>pode</w:t>
      </w:r>
      <w:r>
        <w:rPr>
          <w:spacing w:val="-9"/>
          <w:sz w:val="24"/>
        </w:rPr>
        <w:t> </w:t>
      </w:r>
      <w:r>
        <w:rPr>
          <w:sz w:val="24"/>
        </w:rPr>
        <w:t>ser</w:t>
      </w:r>
      <w:r>
        <w:rPr>
          <w:spacing w:val="-10"/>
          <w:sz w:val="24"/>
        </w:rPr>
        <w:t> </w:t>
      </w:r>
      <w:r>
        <w:rPr>
          <w:sz w:val="24"/>
        </w:rPr>
        <w:t>alocado</w:t>
      </w:r>
      <w:r>
        <w:rPr>
          <w:spacing w:val="-10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iniciativas</w:t>
      </w:r>
      <w:r>
        <w:rPr>
          <w:spacing w:val="-11"/>
          <w:sz w:val="24"/>
        </w:rPr>
        <w:t> </w:t>
      </w:r>
      <w:r>
        <w:rPr>
          <w:sz w:val="24"/>
        </w:rPr>
        <w:t>estratégicas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atender</w:t>
      </w:r>
      <w:r>
        <w:rPr>
          <w:spacing w:val="-9"/>
          <w:sz w:val="24"/>
        </w:rPr>
        <w:t> </w:t>
      </w:r>
      <w:r>
        <w:rPr>
          <w:sz w:val="24"/>
        </w:rPr>
        <w:t>dois ou três </w:t>
      </w:r>
      <w:r>
        <w:rPr>
          <w:b/>
          <w:sz w:val="24"/>
        </w:rPr>
        <w:t>objetivos estratégicos selecionados pelo CAU/BR e pelos CAU/UF</w:t>
      </w:r>
      <w:r>
        <w:rPr>
          <w:sz w:val="24"/>
        </w:rPr>
        <w:t>;</w:t>
      </w:r>
    </w:p>
    <w:p>
      <w:pPr>
        <w:pStyle w:val="ListParagraph"/>
        <w:numPr>
          <w:ilvl w:val="0"/>
          <w:numId w:val="3"/>
        </w:numPr>
        <w:tabs>
          <w:tab w:pos="828" w:val="left" w:leader="none"/>
        </w:tabs>
        <w:spacing w:line="360" w:lineRule="auto" w:before="12" w:after="0"/>
        <w:ind w:left="828" w:right="266" w:hanging="360"/>
        <w:jc w:val="both"/>
        <w:rPr>
          <w:b/>
          <w:sz w:val="24"/>
        </w:rPr>
      </w:pPr>
      <w:r>
        <w:rPr>
          <w:b/>
          <w:sz w:val="24"/>
        </w:rPr>
        <w:t>Patrocínios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máximo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5%</w:t>
      </w:r>
      <w:r>
        <w:rPr>
          <w:b/>
          <w:spacing w:val="-7"/>
          <w:sz w:val="24"/>
        </w:rPr>
        <w:t> </w:t>
      </w:r>
      <w:r>
        <w:rPr>
          <w:sz w:val="24"/>
        </w:rPr>
        <w:t>(cinco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cento)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total</w:t>
      </w:r>
      <w:r>
        <w:rPr>
          <w:spacing w:val="-8"/>
          <w:sz w:val="24"/>
        </w:rPr>
        <w:t> </w:t>
      </w:r>
      <w:r>
        <w:rPr>
          <w:sz w:val="24"/>
        </w:rPr>
        <w:t>dos</w:t>
      </w:r>
      <w:r>
        <w:rPr>
          <w:spacing w:val="-8"/>
          <w:sz w:val="24"/>
        </w:rPr>
        <w:t> </w:t>
      </w:r>
      <w:r>
        <w:rPr>
          <w:sz w:val="24"/>
        </w:rPr>
        <w:t>recursos</w:t>
      </w:r>
      <w:r>
        <w:rPr>
          <w:spacing w:val="-8"/>
          <w:sz w:val="24"/>
        </w:rPr>
        <w:t> </w:t>
      </w:r>
      <w:r>
        <w:rPr>
          <w:sz w:val="24"/>
        </w:rPr>
        <w:t>oriundos</w:t>
      </w:r>
      <w:r>
        <w:rPr>
          <w:spacing w:val="-8"/>
          <w:sz w:val="24"/>
        </w:rPr>
        <w:t> </w:t>
      </w:r>
      <w:r>
        <w:rPr>
          <w:sz w:val="24"/>
        </w:rPr>
        <w:t>das</w:t>
      </w:r>
      <w:r>
        <w:rPr>
          <w:spacing w:val="-8"/>
          <w:sz w:val="24"/>
        </w:rPr>
        <w:t> </w:t>
      </w:r>
      <w:r>
        <w:rPr>
          <w:sz w:val="24"/>
        </w:rPr>
        <w:t>receitas</w:t>
      </w:r>
      <w:r>
        <w:rPr>
          <w:spacing w:val="-7"/>
          <w:sz w:val="24"/>
        </w:rPr>
        <w:t> </w:t>
      </w:r>
      <w:r>
        <w:rPr>
          <w:sz w:val="24"/>
        </w:rPr>
        <w:t>de arrecadação (anuidades exercício e exercício anteriores, RRT e taxas e multas) mais os recursos oriundos do Fundo de Apoio no caso dos CAU Básicos, deduzido o valor do aporte destinado ao Fundo de Apoio, pode ser </w:t>
      </w:r>
      <w:r>
        <w:rPr>
          <w:b/>
          <w:sz w:val="24"/>
        </w:rPr>
        <w:t>alocado em patrocínios </w:t>
      </w:r>
      <w:r>
        <w:rPr>
          <w:sz w:val="24"/>
        </w:rPr>
        <w:t>para atender ao objetivo estratégico </w:t>
      </w:r>
      <w:r>
        <w:rPr>
          <w:b/>
          <w:sz w:val="24"/>
        </w:rPr>
        <w:t>"Estimular o conhecimento, o uso de processos criativos e a difusão das melhores práticas em Arquitetura e Urbanismo";</w:t>
      </w:r>
    </w:p>
    <w:p>
      <w:pPr>
        <w:pStyle w:val="ListParagraph"/>
        <w:numPr>
          <w:ilvl w:val="0"/>
          <w:numId w:val="3"/>
        </w:numPr>
        <w:tabs>
          <w:tab w:pos="828" w:val="left" w:leader="none"/>
        </w:tabs>
        <w:spacing w:line="360" w:lineRule="auto" w:before="0" w:after="0"/>
        <w:ind w:left="828" w:right="266" w:hanging="360"/>
        <w:jc w:val="both"/>
        <w:rPr>
          <w:sz w:val="24"/>
        </w:rPr>
      </w:pPr>
      <w:r>
        <w:rPr>
          <w:b/>
          <w:sz w:val="24"/>
        </w:rPr>
        <w:t>ATHIS - mínimo de 2% </w:t>
      </w:r>
      <w:r>
        <w:rPr>
          <w:sz w:val="24"/>
        </w:rPr>
        <w:t>(dois por cento) do total das receitas de arrecadação (anuidades do exercício e exercícios anteriores, RRT e taxas e multas) mais os recursos oriundos do Fundo de Apoio no caso dos CAU Básicos, deduzindo o valor do aporte destinado ao Fundo de Apoio, pode ser alocado em projetos estratégicos de Assistência Técnica em Habitações de Interesse Social ATHIS, para atender ao objetivo Estratégico </w:t>
      </w:r>
      <w:r>
        <w:rPr>
          <w:b/>
          <w:sz w:val="24"/>
        </w:rPr>
        <w:t>“Fomentar o acesso da sociedade à arquitetura e urbanismo”</w:t>
      </w:r>
      <w:r>
        <w:rPr>
          <w:sz w:val="24"/>
        </w:rPr>
        <w:t>; e</w:t>
      </w:r>
    </w:p>
    <w:p>
      <w:pPr>
        <w:pStyle w:val="ListParagraph"/>
        <w:numPr>
          <w:ilvl w:val="0"/>
          <w:numId w:val="3"/>
        </w:numPr>
        <w:tabs>
          <w:tab w:pos="828" w:val="left" w:leader="none"/>
        </w:tabs>
        <w:spacing w:line="360" w:lineRule="auto" w:before="0" w:after="0"/>
        <w:ind w:left="828" w:right="265" w:hanging="360"/>
        <w:jc w:val="both"/>
        <w:rPr>
          <w:b/>
          <w:sz w:val="24"/>
        </w:rPr>
      </w:pPr>
      <w:r>
        <w:rPr>
          <w:b/>
          <w:sz w:val="24"/>
        </w:rPr>
        <w:t>Capacitação - mínimo de 2% </w:t>
      </w:r>
      <w:r>
        <w:rPr>
          <w:sz w:val="24"/>
        </w:rPr>
        <w:t>(dois por cento) e </w:t>
      </w:r>
      <w:r>
        <w:rPr>
          <w:b/>
          <w:sz w:val="24"/>
        </w:rPr>
        <w:t>máximo de 4% </w:t>
      </w:r>
      <w:r>
        <w:rPr>
          <w:sz w:val="24"/>
        </w:rPr>
        <w:t>(quatro por cento) do valor total</w:t>
      </w:r>
      <w:r>
        <w:rPr>
          <w:spacing w:val="-8"/>
          <w:sz w:val="24"/>
        </w:rPr>
        <w:t> </w:t>
      </w:r>
      <w:r>
        <w:rPr>
          <w:sz w:val="24"/>
        </w:rPr>
        <w:t>das</w:t>
      </w:r>
      <w:r>
        <w:rPr>
          <w:spacing w:val="-8"/>
          <w:sz w:val="24"/>
        </w:rPr>
        <w:t> </w:t>
      </w:r>
      <w:r>
        <w:rPr>
          <w:sz w:val="24"/>
        </w:rPr>
        <w:t>respectivas</w:t>
      </w:r>
      <w:r>
        <w:rPr>
          <w:spacing w:val="-8"/>
          <w:sz w:val="24"/>
        </w:rPr>
        <w:t> </w:t>
      </w:r>
      <w:r>
        <w:rPr>
          <w:sz w:val="24"/>
        </w:rPr>
        <w:t>folhas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pagamento</w:t>
      </w:r>
      <w:r>
        <w:rPr>
          <w:spacing w:val="-7"/>
          <w:sz w:val="24"/>
        </w:rPr>
        <w:t> </w:t>
      </w:r>
      <w:r>
        <w:rPr>
          <w:sz w:val="24"/>
        </w:rPr>
        <w:t>(com</w:t>
      </w:r>
      <w:r>
        <w:rPr>
          <w:spacing w:val="-7"/>
          <w:sz w:val="24"/>
        </w:rPr>
        <w:t> </w:t>
      </w:r>
      <w:r>
        <w:rPr>
          <w:sz w:val="24"/>
        </w:rPr>
        <w:t>os</w:t>
      </w:r>
      <w:r>
        <w:rPr>
          <w:spacing w:val="-7"/>
          <w:sz w:val="24"/>
        </w:rPr>
        <w:t> </w:t>
      </w:r>
      <w:r>
        <w:rPr>
          <w:sz w:val="24"/>
        </w:rPr>
        <w:t>valores</w:t>
      </w:r>
      <w:r>
        <w:rPr>
          <w:spacing w:val="-8"/>
          <w:sz w:val="24"/>
        </w:rPr>
        <w:t> </w:t>
      </w:r>
      <w:r>
        <w:rPr>
          <w:sz w:val="24"/>
        </w:rPr>
        <w:t>dos</w:t>
      </w:r>
      <w:r>
        <w:rPr>
          <w:spacing w:val="-8"/>
          <w:sz w:val="24"/>
        </w:rPr>
        <w:t> </w:t>
      </w:r>
      <w:r>
        <w:rPr>
          <w:sz w:val="24"/>
        </w:rPr>
        <w:t>salários,</w:t>
      </w:r>
      <w:r>
        <w:rPr>
          <w:spacing w:val="-6"/>
          <w:sz w:val="24"/>
        </w:rPr>
        <w:t> </w:t>
      </w:r>
      <w:r>
        <w:rPr>
          <w:sz w:val="24"/>
        </w:rPr>
        <w:t>encargos,</w:t>
      </w:r>
      <w:r>
        <w:rPr>
          <w:spacing w:val="-7"/>
          <w:sz w:val="24"/>
        </w:rPr>
        <w:t> </w:t>
      </w:r>
      <w:r>
        <w:rPr>
          <w:sz w:val="24"/>
        </w:rPr>
        <w:t>benefícios e rescisões) dos CAU/UF e do CAU/BR, pode ser </w:t>
      </w:r>
      <w:r>
        <w:rPr>
          <w:b/>
          <w:sz w:val="24"/>
        </w:rPr>
        <w:t>alocado em iniciativas de capacitação dos conselheiros e colaboradores</w:t>
      </w:r>
      <w:r>
        <w:rPr>
          <w:sz w:val="24"/>
        </w:rPr>
        <w:t>, para atender ao </w:t>
      </w:r>
      <w:r>
        <w:rPr>
          <w:b/>
          <w:sz w:val="24"/>
        </w:rPr>
        <w:t>objetivo estratégico "Desenvolver competências de dirigentes e colaboradores".</w:t>
      </w:r>
    </w:p>
    <w:p>
      <w:pPr>
        <w:pStyle w:val="BodyText"/>
        <w:spacing w:line="360" w:lineRule="auto" w:before="1"/>
        <w:ind w:left="118" w:right="265" w:firstLine="851"/>
        <w:jc w:val="both"/>
      </w:pPr>
      <w:r>
        <w:rPr/>
        <w:t>Esta programação do Plano de Ação CAU – 2021, também contempla orientações estratégicas</w:t>
      </w:r>
      <w:r>
        <w:rPr>
          <w:spacing w:val="-13"/>
        </w:rPr>
        <w:t> </w:t>
      </w:r>
      <w:r>
        <w:rPr/>
        <w:t>para:</w:t>
      </w:r>
      <w:r>
        <w:rPr>
          <w:spacing w:val="-11"/>
        </w:rPr>
        <w:t> </w:t>
      </w:r>
      <w:r>
        <w:rPr/>
        <w:t>(i)</w:t>
      </w:r>
      <w:r>
        <w:rPr>
          <w:spacing w:val="-12"/>
        </w:rPr>
        <w:t> </w:t>
      </w:r>
      <w:r>
        <w:rPr/>
        <w:t>destinação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“</w:t>
      </w:r>
      <w:r>
        <w:rPr>
          <w:b/>
        </w:rPr>
        <w:t>despesas</w:t>
      </w:r>
      <w:r>
        <w:rPr>
          <w:b/>
          <w:spacing w:val="-11"/>
        </w:rPr>
        <w:t> </w:t>
      </w:r>
      <w:r>
        <w:rPr>
          <w:b/>
        </w:rPr>
        <w:t>com</w:t>
      </w:r>
      <w:r>
        <w:rPr>
          <w:b/>
          <w:spacing w:val="-12"/>
        </w:rPr>
        <w:t> </w:t>
      </w:r>
      <w:r>
        <w:rPr>
          <w:b/>
        </w:rPr>
        <w:t>pessoal”</w:t>
      </w:r>
      <w:r>
        <w:rPr>
          <w:b/>
          <w:spacing w:val="-13"/>
        </w:rPr>
        <w:t> </w:t>
      </w:r>
      <w:r>
        <w:rPr/>
        <w:t>(salários</w:t>
      </w:r>
      <w:r>
        <w:rPr>
          <w:spacing w:val="-13"/>
        </w:rPr>
        <w:t> </w:t>
      </w:r>
      <w:r>
        <w:rPr/>
        <w:t>e</w:t>
      </w:r>
      <w:r>
        <w:rPr>
          <w:spacing w:val="-11"/>
        </w:rPr>
        <w:t> </w:t>
      </w:r>
      <w:r>
        <w:rPr/>
        <w:t>encargos),</w:t>
      </w:r>
      <w:r>
        <w:rPr>
          <w:spacing w:val="-12"/>
        </w:rPr>
        <w:t> </w:t>
      </w:r>
      <w:r>
        <w:rPr>
          <w:b/>
        </w:rPr>
        <w:t>no</w:t>
      </w:r>
      <w:r>
        <w:rPr>
          <w:b/>
          <w:spacing w:val="-12"/>
        </w:rPr>
        <w:t> </w:t>
      </w:r>
      <w:r>
        <w:rPr>
          <w:b/>
        </w:rPr>
        <w:t>limite</w:t>
      </w:r>
      <w:r>
        <w:rPr>
          <w:b/>
          <w:spacing w:val="-12"/>
        </w:rPr>
        <w:t> </w:t>
      </w:r>
      <w:r>
        <w:rPr>
          <w:b/>
        </w:rPr>
        <w:t>máximo de</w:t>
      </w:r>
      <w:r>
        <w:rPr>
          <w:b/>
          <w:spacing w:val="-11"/>
        </w:rPr>
        <w:t> </w:t>
      </w:r>
      <w:r>
        <w:rPr>
          <w:b/>
        </w:rPr>
        <w:t>55%</w:t>
      </w:r>
      <w:r>
        <w:rPr>
          <w:b/>
          <w:spacing w:val="-11"/>
        </w:rPr>
        <w:t> </w:t>
      </w:r>
      <w:r>
        <w:rPr/>
        <w:t>das</w:t>
      </w:r>
      <w:r>
        <w:rPr>
          <w:spacing w:val="-11"/>
        </w:rPr>
        <w:t> </w:t>
      </w:r>
      <w:r>
        <w:rPr/>
        <w:t>receitas</w:t>
      </w:r>
      <w:r>
        <w:rPr>
          <w:spacing w:val="-11"/>
        </w:rPr>
        <w:t> </w:t>
      </w:r>
      <w:r>
        <w:rPr/>
        <w:t>correntes;</w:t>
      </w:r>
      <w:r>
        <w:rPr>
          <w:spacing w:val="-12"/>
        </w:rPr>
        <w:t> </w:t>
      </w:r>
      <w:r>
        <w:rPr/>
        <w:t>(ii)</w:t>
      </w:r>
      <w:r>
        <w:rPr>
          <w:spacing w:val="-9"/>
        </w:rPr>
        <w:t> </w:t>
      </w:r>
      <w:r>
        <w:rPr>
          <w:b/>
        </w:rPr>
        <w:t>“Reserva</w:t>
      </w:r>
      <w:r>
        <w:rPr>
          <w:b/>
          <w:spacing w:val="-11"/>
        </w:rPr>
        <w:t> </w:t>
      </w:r>
      <w:r>
        <w:rPr>
          <w:b/>
        </w:rPr>
        <w:t>de</w:t>
      </w:r>
      <w:r>
        <w:rPr>
          <w:b/>
          <w:spacing w:val="-12"/>
        </w:rPr>
        <w:t> </w:t>
      </w:r>
      <w:r>
        <w:rPr>
          <w:b/>
        </w:rPr>
        <w:t>Contingência”</w:t>
      </w:r>
      <w:r>
        <w:rPr/>
        <w:t>,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objetivo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suportar</w:t>
      </w:r>
      <w:r>
        <w:rPr>
          <w:spacing w:val="-11"/>
        </w:rPr>
        <w:t> </w:t>
      </w:r>
      <w:r>
        <w:rPr/>
        <w:t>eventuais ações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natureza</w:t>
      </w:r>
      <w:r>
        <w:rPr>
          <w:spacing w:val="7"/>
        </w:rPr>
        <w:t> </w:t>
      </w:r>
      <w:r>
        <w:rPr/>
        <w:t>estratégica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operacional</w:t>
      </w:r>
      <w:r>
        <w:rPr>
          <w:spacing w:val="8"/>
        </w:rPr>
        <w:t> </w:t>
      </w:r>
      <w:r>
        <w:rPr/>
        <w:t>não</w:t>
      </w:r>
      <w:r>
        <w:rPr>
          <w:spacing w:val="6"/>
        </w:rPr>
        <w:t> </w:t>
      </w:r>
      <w:r>
        <w:rPr/>
        <w:t>contempladas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Programação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Plano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4"/>
        </w:rPr>
        <w:t>Ação</w:t>
      </w:r>
    </w:p>
    <w:p>
      <w:pPr>
        <w:spacing w:after="0" w:line="360" w:lineRule="auto"/>
        <w:jc w:val="both"/>
        <w:sectPr>
          <w:pgSz w:w="11910" w:h="16840"/>
          <w:pgMar w:header="516" w:footer="442" w:top="1540" w:bottom="640" w:left="1300" w:right="580"/>
        </w:sectPr>
      </w:pPr>
    </w:p>
    <w:p>
      <w:pPr>
        <w:pStyle w:val="BodyText"/>
        <w:spacing w:line="360" w:lineRule="auto" w:before="45"/>
        <w:ind w:left="118" w:right="266"/>
        <w:jc w:val="both"/>
      </w:pPr>
      <w:r>
        <w:rPr/>
        <w:t>aprovada. Os recursos direcionados podem ser </w:t>
      </w:r>
      <w:r>
        <w:rPr>
          <w:b/>
        </w:rPr>
        <w:t>até 2% </w:t>
      </w:r>
      <w:r>
        <w:rPr/>
        <w:t>da receita de arrecadação (anuidades do exercício e exercícios anteriores, RRT e taxas e multas) e os recursos oriundos do Fundo de Apoio no caso dos CAU Básicos, deduzidos os valores do aporte do Fundo de Apoio.</w:t>
      </w:r>
    </w:p>
    <w:p>
      <w:pPr>
        <w:pStyle w:val="BodyText"/>
        <w:spacing w:line="360" w:lineRule="auto" w:before="161"/>
        <w:ind w:left="118" w:right="266" w:firstLine="851"/>
        <w:jc w:val="both"/>
      </w:pPr>
      <w:r>
        <w:rPr/>
        <w:t>Visando melhor atender aos anseios da sociedade por projetos e serviços alinhados aos princípios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sustentabilidade,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2020,</w:t>
      </w:r>
      <w:r>
        <w:rPr>
          <w:spacing w:val="-1"/>
        </w:rPr>
        <w:t> </w:t>
      </w:r>
      <w:r>
        <w:rPr/>
        <w:t>foi</w:t>
      </w:r>
      <w:r>
        <w:rPr>
          <w:spacing w:val="-3"/>
        </w:rPr>
        <w:t> </w:t>
      </w:r>
      <w:r>
        <w:rPr/>
        <w:t>definido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enquadramento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planos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ações às estratégias dos Objetivos de Desenvolvimento Sustentável (ODS), tornando-se facultativo o enquadramento dos projetos e atividades com os ODS em 2021.</w:t>
      </w:r>
    </w:p>
    <w:p>
      <w:pPr>
        <w:pStyle w:val="BodyText"/>
        <w:spacing w:line="360" w:lineRule="auto" w:before="159"/>
        <w:ind w:left="118" w:right="267" w:firstLine="851"/>
        <w:jc w:val="both"/>
      </w:pPr>
      <w:r>
        <w:rPr/>
        <w:t>Os Objetivos de Desenvolvimento Sustentável (ODS) são uma agenda mundial adotada durante a Cúpula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Nações Unidas</w:t>
      </w:r>
      <w:r>
        <w:rPr>
          <w:spacing w:val="-1"/>
        </w:rPr>
        <w:t> </w:t>
      </w:r>
      <w:r>
        <w:rPr/>
        <w:t>sobre o</w:t>
      </w:r>
      <w:r>
        <w:rPr>
          <w:spacing w:val="-1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Sustentável, em setembro</w:t>
      </w:r>
      <w:r>
        <w:rPr>
          <w:spacing w:val="-1"/>
        </w:rPr>
        <w:t> </w:t>
      </w:r>
      <w:r>
        <w:rPr/>
        <w:t>de 2015, composta por 17 objetivos, conforme figura 2 abaixo, e 169 metas a serem atingidos até 2030.</w:t>
      </w:r>
    </w:p>
    <w:p>
      <w:pPr>
        <w:spacing w:before="160"/>
        <w:ind w:left="4898" w:right="0" w:firstLine="0"/>
        <w:jc w:val="both"/>
        <w:rPr>
          <w:b/>
          <w:sz w:val="22"/>
        </w:rPr>
      </w:pPr>
      <w:bookmarkStart w:name="_bookmark3" w:id="4"/>
      <w:bookmarkEnd w:id="4"/>
      <w:r>
        <w:rPr/>
      </w:r>
      <w:r>
        <w:rPr>
          <w:b/>
          <w:sz w:val="22"/>
        </w:rPr>
        <w:t>Figura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Objetivos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Desenvolvimento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Sustentável</w:t>
      </w:r>
    </w:p>
    <w:p>
      <w:pPr>
        <w:pStyle w:val="BodyText"/>
        <w:ind w:left="148"/>
        <w:rPr>
          <w:sz w:val="20"/>
        </w:rPr>
      </w:pPr>
      <w:r>
        <w:rPr>
          <w:sz w:val="20"/>
        </w:rPr>
        <w:drawing>
          <wp:inline distT="0" distB="0" distL="0" distR="0">
            <wp:extent cx="6106243" cy="296198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43" cy="29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6038" w:right="0" w:firstLine="0"/>
        <w:jc w:val="left"/>
        <w:rPr>
          <w:b/>
          <w:sz w:val="18"/>
        </w:rPr>
      </w:pPr>
      <w:r>
        <w:rPr>
          <w:b/>
          <w:sz w:val="18"/>
        </w:rPr>
        <w:t>Disponível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em:</w:t>
      </w:r>
      <w:r>
        <w:rPr>
          <w:b/>
          <w:spacing w:val="-1"/>
          <w:sz w:val="18"/>
        </w:rPr>
        <w:t> </w:t>
      </w:r>
      <w:hyperlink r:id="rId11">
        <w:r>
          <w:rPr>
            <w:b/>
            <w:color w:val="0462C1"/>
            <w:spacing w:val="-2"/>
            <w:sz w:val="18"/>
            <w:u w:val="single" w:color="0462C1"/>
          </w:rPr>
          <w:t>http://www.estrategiaods.org.br/</w:t>
        </w:r>
      </w:hyperlink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spacing w:line="360" w:lineRule="auto" w:before="52"/>
        <w:ind w:left="118" w:right="267" w:firstLine="851"/>
        <w:jc w:val="both"/>
      </w:pPr>
      <w:r>
        <w:rPr/>
        <w:t>Ao firmar o compromisso de incluir os ODS à sua estratégia, o CAU abre caminho para melhorar sua atuação junto a sociedade. Desta forma, os CAU/UF que enquadraram seu plano de ação</w:t>
      </w:r>
      <w:r>
        <w:rPr>
          <w:spacing w:val="52"/>
        </w:rPr>
        <w:t> </w:t>
      </w:r>
      <w:r>
        <w:rPr/>
        <w:t>aos</w:t>
      </w:r>
      <w:r>
        <w:rPr>
          <w:spacing w:val="52"/>
        </w:rPr>
        <w:t> </w:t>
      </w:r>
      <w:r>
        <w:rPr/>
        <w:t>ODS</w:t>
      </w:r>
      <w:r>
        <w:rPr>
          <w:spacing w:val="53"/>
        </w:rPr>
        <w:t> </w:t>
      </w:r>
      <w:r>
        <w:rPr/>
        <w:t>foram:</w:t>
      </w:r>
      <w:r>
        <w:rPr>
          <w:spacing w:val="52"/>
        </w:rPr>
        <w:t> </w:t>
      </w:r>
      <w:r>
        <w:rPr/>
        <w:t>AP,</w:t>
      </w:r>
      <w:r>
        <w:rPr>
          <w:spacing w:val="55"/>
        </w:rPr>
        <w:t> </w:t>
      </w:r>
      <w:r>
        <w:rPr/>
        <w:t>RO,</w:t>
      </w:r>
      <w:r>
        <w:rPr>
          <w:spacing w:val="54"/>
        </w:rPr>
        <w:t> </w:t>
      </w:r>
      <w:r>
        <w:rPr/>
        <w:t>AL,</w:t>
      </w:r>
      <w:r>
        <w:rPr>
          <w:spacing w:val="52"/>
        </w:rPr>
        <w:t> </w:t>
      </w:r>
      <w:r>
        <w:rPr/>
        <w:t>CE,</w:t>
      </w:r>
      <w:r>
        <w:rPr>
          <w:spacing w:val="54"/>
        </w:rPr>
        <w:t> </w:t>
      </w:r>
      <w:r>
        <w:rPr/>
        <w:t>PE,</w:t>
      </w:r>
      <w:r>
        <w:rPr>
          <w:spacing w:val="53"/>
        </w:rPr>
        <w:t> </w:t>
      </w:r>
      <w:r>
        <w:rPr/>
        <w:t>SE,</w:t>
      </w:r>
      <w:r>
        <w:rPr>
          <w:spacing w:val="54"/>
        </w:rPr>
        <w:t> </w:t>
      </w:r>
      <w:r>
        <w:rPr/>
        <w:t>MG,</w:t>
      </w:r>
      <w:r>
        <w:rPr>
          <w:spacing w:val="53"/>
        </w:rPr>
        <w:t> </w:t>
      </w:r>
      <w:r>
        <w:rPr/>
        <w:t>RJ,</w:t>
      </w:r>
      <w:r>
        <w:rPr>
          <w:spacing w:val="54"/>
        </w:rPr>
        <w:t> </w:t>
      </w:r>
      <w:r>
        <w:rPr/>
        <w:t>SC,</w:t>
      </w:r>
      <w:r>
        <w:rPr>
          <w:spacing w:val="54"/>
        </w:rPr>
        <w:t> </w:t>
      </w:r>
      <w:r>
        <w:rPr/>
        <w:t>GO,</w:t>
      </w:r>
      <w:r>
        <w:rPr>
          <w:spacing w:val="54"/>
        </w:rPr>
        <w:t> </w:t>
      </w:r>
      <w:r>
        <w:rPr/>
        <w:t>MS,</w:t>
      </w:r>
      <w:r>
        <w:rPr>
          <w:spacing w:val="54"/>
        </w:rPr>
        <w:t> </w:t>
      </w:r>
      <w:r>
        <w:rPr/>
        <w:t>MT,</w:t>
      </w:r>
      <w:r>
        <w:rPr>
          <w:spacing w:val="53"/>
        </w:rPr>
        <w:t> </w:t>
      </w:r>
      <w:r>
        <w:rPr/>
        <w:t>além</w:t>
      </w:r>
      <w:r>
        <w:rPr>
          <w:spacing w:val="52"/>
        </w:rPr>
        <w:t> </w:t>
      </w:r>
      <w:r>
        <w:rPr/>
        <w:t>do</w:t>
      </w:r>
      <w:r>
        <w:rPr>
          <w:spacing w:val="52"/>
        </w:rPr>
        <w:t> </w:t>
      </w:r>
      <w:r>
        <w:rPr/>
        <w:t>CAU/BR.</w:t>
      </w:r>
      <w:r>
        <w:rPr>
          <w:spacing w:val="54"/>
        </w:rPr>
        <w:t> </w:t>
      </w:r>
      <w:r>
        <w:rPr>
          <w:spacing w:val="-10"/>
        </w:rPr>
        <w:t>O</w:t>
      </w:r>
    </w:p>
    <w:p>
      <w:pPr>
        <w:pStyle w:val="BodyText"/>
        <w:ind w:left="118"/>
      </w:pPr>
      <w:r>
        <w:rPr/>
        <w:t>enquadramento</w:t>
      </w:r>
      <w:r>
        <w:rPr>
          <w:spacing w:val="-1"/>
        </w:rPr>
        <w:t> </w:t>
      </w:r>
      <w:r>
        <w:rPr/>
        <w:t>ocorreu</w:t>
      </w:r>
      <w:r>
        <w:rPr>
          <w:spacing w:val="-2"/>
        </w:rPr>
        <w:t> </w:t>
      </w:r>
      <w:r>
        <w:rPr/>
        <w:t>com os</w:t>
      </w:r>
      <w:r>
        <w:rPr>
          <w:spacing w:val="-2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ODS: 1;</w:t>
      </w:r>
      <w:r>
        <w:rPr>
          <w:spacing w:val="-1"/>
        </w:rPr>
        <w:t> </w:t>
      </w:r>
      <w:r>
        <w:rPr/>
        <w:t>3;</w:t>
      </w:r>
      <w:r>
        <w:rPr>
          <w:spacing w:val="-1"/>
        </w:rPr>
        <w:t> </w:t>
      </w:r>
      <w:r>
        <w:rPr/>
        <w:t>4; 5;</w:t>
      </w:r>
      <w:r>
        <w:rPr>
          <w:spacing w:val="-1"/>
        </w:rPr>
        <w:t> </w:t>
      </w:r>
      <w:r>
        <w:rPr/>
        <w:t>8;</w:t>
      </w:r>
      <w:r>
        <w:rPr>
          <w:spacing w:val="-1"/>
        </w:rPr>
        <w:t> </w:t>
      </w:r>
      <w:r>
        <w:rPr/>
        <w:t>9; 10;11;</w:t>
      </w:r>
      <w:r>
        <w:rPr>
          <w:spacing w:val="-1"/>
        </w:rPr>
        <w:t> </w:t>
      </w:r>
      <w:r>
        <w:rPr/>
        <w:t>16</w:t>
      </w:r>
      <w:r>
        <w:rPr>
          <w:spacing w:val="-2"/>
        </w:rPr>
        <w:t> </w:t>
      </w:r>
      <w:r>
        <w:rPr/>
        <w:t>e </w:t>
      </w:r>
      <w:r>
        <w:rPr>
          <w:spacing w:val="-5"/>
        </w:rPr>
        <w:t>17.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/>
        <w:ind w:left="118" w:right="270" w:firstLine="851"/>
        <w:jc w:val="both"/>
      </w:pPr>
      <w:r>
        <w:rPr/>
        <w:t>Para os demais CAU/UF, foi recomendado a disseminação e discussão sobre os objetivos de desenvolvimento sustentável em seu âmbito de trabalho, interno e externo, para que futuramente sejam incluídos nos seus Planos de Ações.</w:t>
      </w:r>
    </w:p>
    <w:p>
      <w:pPr>
        <w:spacing w:after="0" w:line="360" w:lineRule="auto"/>
        <w:jc w:val="both"/>
        <w:sectPr>
          <w:pgSz w:w="11910" w:h="16840"/>
          <w:pgMar w:header="516" w:footer="442" w:top="1540" w:bottom="640" w:left="1300" w:right="580"/>
        </w:sectPr>
      </w:pPr>
    </w:p>
    <w:p>
      <w:pPr>
        <w:pStyle w:val="Heading3"/>
        <w:numPr>
          <w:ilvl w:val="0"/>
          <w:numId w:val="4"/>
        </w:numPr>
        <w:tabs>
          <w:tab w:pos="368" w:val="left" w:leader="none"/>
        </w:tabs>
        <w:spacing w:line="240" w:lineRule="auto" w:before="45" w:after="0"/>
        <w:ind w:left="367" w:right="0" w:hanging="250"/>
        <w:jc w:val="left"/>
      </w:pPr>
      <w:bookmarkStart w:name="_bookmark4" w:id="5"/>
      <w:bookmarkEnd w:id="5"/>
      <w:r>
        <w:rPr>
          <w:color w:val="006666"/>
        </w:rPr>
        <w:t>ORI</w:t>
      </w:r>
      <w:r>
        <w:rPr>
          <w:color w:val="006666"/>
        </w:rPr>
        <w:t>GEM</w:t>
      </w:r>
      <w:r>
        <w:rPr>
          <w:color w:val="006666"/>
          <w:spacing w:val="-4"/>
        </w:rPr>
        <w:t> </w:t>
      </w:r>
      <w:r>
        <w:rPr>
          <w:color w:val="006666"/>
        </w:rPr>
        <w:t>DOS</w:t>
      </w:r>
      <w:r>
        <w:rPr>
          <w:color w:val="006666"/>
          <w:spacing w:val="-2"/>
        </w:rPr>
        <w:t> RECURSOS.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spacing w:line="360" w:lineRule="auto"/>
        <w:ind w:left="118" w:right="267" w:firstLine="851"/>
        <w:jc w:val="both"/>
      </w:pPr>
      <w:r>
        <w:rPr/>
        <w:t>A Programação do Plano de Ação e Orçamento do Conselho de Arquitetura e Urbanismo para o exercício de 2021, ora submetida à aprovação do Plenário do CAU/BR, compreende as propostas apresentadas pelos 27 CAU/UF e pelo CAU/BR.</w:t>
      </w:r>
    </w:p>
    <w:p>
      <w:pPr>
        <w:pStyle w:val="BodyText"/>
        <w:spacing w:line="360" w:lineRule="auto" w:before="1"/>
        <w:ind w:left="118" w:right="267" w:firstLine="851"/>
        <w:jc w:val="both"/>
      </w:pPr>
      <w:r>
        <w:rPr/>
        <w:t>Dos recursos envolvidos, totalizando R$ 252,13 milhões, estão destinados aos CAU/UF R$187,32 milhões, aproximadamente 74,3%, e ao CAU/BR R$ 64,81 milhões, ou 25,7%.</w:t>
      </w:r>
    </w:p>
    <w:p>
      <w:pPr>
        <w:pStyle w:val="BodyText"/>
        <w:spacing w:line="360" w:lineRule="auto" w:before="159"/>
        <w:ind w:left="118" w:right="264" w:firstLine="851"/>
        <w:jc w:val="both"/>
      </w:pPr>
      <w:r>
        <w:rPr/>
        <w:t>Comparativamente</w:t>
      </w:r>
      <w:r>
        <w:rPr>
          <w:spacing w:val="-7"/>
        </w:rPr>
        <w:t> </w:t>
      </w:r>
      <w:r>
        <w:rPr/>
        <w:t>à</w:t>
      </w:r>
      <w:r>
        <w:rPr>
          <w:spacing w:val="-4"/>
        </w:rPr>
        <w:t> </w:t>
      </w:r>
      <w:r>
        <w:rPr/>
        <w:t>Reprogramação</w:t>
      </w:r>
      <w:r>
        <w:rPr>
          <w:spacing w:val="-7"/>
        </w:rPr>
        <w:t> </w:t>
      </w:r>
      <w:r>
        <w:rPr/>
        <w:t>aprovada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2020</w:t>
      </w:r>
      <w:r>
        <w:rPr>
          <w:spacing w:val="-7"/>
        </w:rPr>
        <w:t> </w:t>
      </w:r>
      <w:r>
        <w:rPr/>
        <w:t>(R$</w:t>
      </w:r>
      <w:r>
        <w:rPr>
          <w:spacing w:val="-6"/>
        </w:rPr>
        <w:t> </w:t>
      </w:r>
      <w:r>
        <w:rPr/>
        <w:t>220,62</w:t>
      </w:r>
      <w:r>
        <w:rPr>
          <w:spacing w:val="-7"/>
        </w:rPr>
        <w:t> </w:t>
      </w:r>
      <w:r>
        <w:rPr/>
        <w:t>milhões),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proposta da Programação 2021 apresenta um acréscimo médio de 14,3%, refletindo um aumento dos investimentos no montante de R$ 31,51 milhões, conforme demonstrado no Quadro 1, a seguir. A representação gráfica apresenta-se nos Gráficos 1 a 3.</w:t>
      </w:r>
    </w:p>
    <w:p>
      <w:pPr>
        <w:pStyle w:val="BodyText"/>
      </w:pPr>
    </w:p>
    <w:p>
      <w:pPr>
        <w:spacing w:before="146"/>
        <w:ind w:left="3238" w:right="0" w:firstLine="0"/>
        <w:jc w:val="left"/>
        <w:rPr>
          <w:b/>
          <w:sz w:val="22"/>
        </w:rPr>
      </w:pPr>
      <w:bookmarkStart w:name="_bookmark5" w:id="6"/>
      <w:bookmarkEnd w:id="6"/>
      <w:r>
        <w:rPr/>
      </w:r>
      <w:r>
        <w:rPr>
          <w:b/>
          <w:sz w:val="22"/>
        </w:rPr>
        <w:t>Quadro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8"/>
          <w:sz w:val="22"/>
        </w:rPr>
        <w:t> </w:t>
      </w:r>
      <w:r>
        <w:rPr>
          <w:b/>
          <w:spacing w:val="-4"/>
          <w:sz w:val="22"/>
        </w:rPr>
        <w:t>CAU.</w:t>
      </w:r>
    </w:p>
    <w:p>
      <w:pPr>
        <w:spacing w:before="1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2021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1"/>
          <w:sz w:val="18"/>
        </w:rPr>
        <w:t> </w:t>
      </w:r>
      <w:r>
        <w:rPr>
          <w:sz w:val="18"/>
        </w:rPr>
        <w:t>Reprogramação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2020).</w:t>
      </w:r>
    </w:p>
    <w:p>
      <w:pPr>
        <w:spacing w:before="161"/>
        <w:ind w:left="0" w:right="268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20776" cy="41208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76" cy="412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3270" w:right="0" w:firstLine="0"/>
        <w:jc w:val="left"/>
        <w:rPr>
          <w:b/>
          <w:sz w:val="22"/>
        </w:rPr>
      </w:pPr>
      <w:bookmarkStart w:name="_bookmark6" w:id="7"/>
      <w:bookmarkEnd w:id="7"/>
      <w:r>
        <w:rPr/>
      </w:r>
      <w:r>
        <w:rPr>
          <w:b/>
          <w:sz w:val="22"/>
        </w:rPr>
        <w:t>Gráfico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8"/>
          <w:sz w:val="22"/>
        </w:rPr>
        <w:t> </w:t>
      </w:r>
      <w:r>
        <w:rPr>
          <w:b/>
          <w:spacing w:val="-4"/>
          <w:sz w:val="22"/>
        </w:rPr>
        <w:t>CAU.</w:t>
      </w:r>
    </w:p>
    <w:p>
      <w:pPr>
        <w:spacing w:before="0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</w:t>
      </w:r>
    </w:p>
    <w:p>
      <w:pPr>
        <w:spacing w:before="161"/>
        <w:ind w:left="0" w:right="267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3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900683</wp:posOffset>
            </wp:positionH>
            <wp:positionV relativeFrom="paragraph">
              <wp:posOffset>101023</wp:posOffset>
            </wp:positionV>
            <wp:extent cx="6119023" cy="342595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023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</w:pPr>
    </w:p>
    <w:p>
      <w:pPr>
        <w:spacing w:line="268" w:lineRule="exact" w:before="0"/>
        <w:ind w:left="0" w:right="268" w:firstLine="0"/>
        <w:jc w:val="right"/>
        <w:rPr>
          <w:b/>
          <w:sz w:val="22"/>
        </w:rPr>
      </w:pPr>
      <w:bookmarkStart w:name="_bookmark7" w:id="8"/>
      <w:bookmarkEnd w:id="8"/>
      <w:r>
        <w:rPr/>
      </w: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2.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Composição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7"/>
          <w:sz w:val="22"/>
        </w:rPr>
        <w:t> </w:t>
      </w:r>
      <w:r>
        <w:rPr>
          <w:b/>
          <w:spacing w:val="-4"/>
          <w:sz w:val="22"/>
        </w:rPr>
        <w:t>CAU.</w:t>
      </w:r>
    </w:p>
    <w:p>
      <w:pPr>
        <w:spacing w:line="244" w:lineRule="exact" w:before="0"/>
        <w:ind w:left="0" w:right="264" w:firstLine="0"/>
        <w:jc w:val="right"/>
        <w:rPr>
          <w:sz w:val="20"/>
        </w:rPr>
      </w:pPr>
      <w:r>
        <w:rPr>
          <w:sz w:val="20"/>
        </w:rPr>
        <w:t>(Valores</w:t>
      </w:r>
      <w:r>
        <w:rPr>
          <w:spacing w:val="-2"/>
          <w:sz w:val="20"/>
        </w:rPr>
        <w:t> </w:t>
      </w:r>
      <w:r>
        <w:rPr>
          <w:sz w:val="20"/>
        </w:rPr>
        <w:t>em</w:t>
      </w:r>
      <w:r>
        <w:rPr>
          <w:spacing w:val="-2"/>
          <w:sz w:val="20"/>
        </w:rPr>
        <w:t> </w:t>
      </w:r>
      <w:r>
        <w:rPr>
          <w:sz w:val="20"/>
        </w:rPr>
        <w:t>R$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1,00).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900683</wp:posOffset>
            </wp:positionH>
            <wp:positionV relativeFrom="paragraph">
              <wp:posOffset>171573</wp:posOffset>
            </wp:positionV>
            <wp:extent cx="6121145" cy="365760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3812" w:right="0" w:firstLine="0"/>
        <w:jc w:val="left"/>
        <w:rPr>
          <w:b/>
          <w:sz w:val="22"/>
        </w:rPr>
      </w:pPr>
      <w:bookmarkStart w:name="_bookmark8" w:id="9"/>
      <w:bookmarkEnd w:id="9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3.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Distribuição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900683</wp:posOffset>
            </wp:positionH>
            <wp:positionV relativeFrom="paragraph">
              <wp:posOffset>170653</wp:posOffset>
            </wp:positionV>
            <wp:extent cx="6119107" cy="3651504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107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Heading5"/>
        <w:numPr>
          <w:ilvl w:val="1"/>
          <w:numId w:val="4"/>
        </w:numPr>
        <w:tabs>
          <w:tab w:pos="1420" w:val="left" w:leader="none"/>
        </w:tabs>
        <w:spacing w:line="240" w:lineRule="auto" w:before="151" w:after="0"/>
        <w:ind w:left="1419" w:right="0" w:hanging="451"/>
        <w:jc w:val="left"/>
        <w:rPr>
          <w:b w:val="0"/>
        </w:rPr>
      </w:pPr>
      <w:bookmarkStart w:name="_bookmark9" w:id="10"/>
      <w:bookmarkEnd w:id="10"/>
      <w:r>
        <w:rPr>
          <w:b w:val="0"/>
          <w:color w:val="008080"/>
        </w:rPr>
        <w:t>D</w:t>
      </w:r>
      <w:r>
        <w:rPr>
          <w:b w:val="0"/>
          <w:color w:val="008080"/>
        </w:rPr>
        <w:t>os</w:t>
      </w:r>
      <w:r>
        <w:rPr>
          <w:b w:val="0"/>
          <w:color w:val="008080"/>
          <w:spacing w:val="-13"/>
        </w:rPr>
        <w:t> </w:t>
      </w:r>
      <w:r>
        <w:rPr>
          <w:b w:val="0"/>
          <w:color w:val="008080"/>
        </w:rPr>
        <w:t>Recursos</w:t>
      </w:r>
      <w:r>
        <w:rPr>
          <w:b w:val="0"/>
          <w:color w:val="008080"/>
          <w:spacing w:val="-14"/>
        </w:rPr>
        <w:t> </w:t>
      </w:r>
      <w:r>
        <w:rPr>
          <w:b w:val="0"/>
          <w:color w:val="008080"/>
        </w:rPr>
        <w:t>do</w:t>
      </w:r>
      <w:r>
        <w:rPr>
          <w:b w:val="0"/>
          <w:color w:val="008080"/>
          <w:spacing w:val="-13"/>
        </w:rPr>
        <w:t> </w:t>
      </w:r>
      <w:r>
        <w:rPr>
          <w:b w:val="0"/>
          <w:color w:val="008080"/>
          <w:spacing w:val="-2"/>
        </w:rPr>
        <w:t>CAU/BR.</w:t>
      </w:r>
    </w:p>
    <w:p>
      <w:pPr>
        <w:pStyle w:val="BodyText"/>
        <w:rPr>
          <w:rFonts w:ascii="Calibri Light"/>
          <w:b w:val="0"/>
          <w:sz w:val="26"/>
        </w:rPr>
      </w:pPr>
    </w:p>
    <w:p>
      <w:pPr>
        <w:pStyle w:val="BodyText"/>
        <w:rPr>
          <w:rFonts w:ascii="Calibri Light"/>
          <w:b w:val="0"/>
          <w:sz w:val="33"/>
        </w:rPr>
      </w:pPr>
    </w:p>
    <w:p>
      <w:pPr>
        <w:spacing w:line="360" w:lineRule="auto" w:before="0"/>
        <w:ind w:left="118" w:right="267" w:firstLine="851"/>
        <w:jc w:val="both"/>
        <w:rPr>
          <w:sz w:val="22"/>
        </w:rPr>
      </w:pPr>
      <w:r>
        <w:rPr>
          <w:sz w:val="22"/>
        </w:rPr>
        <w:t>Os recursos destinados ao CAU/BR, para o desenvolvimento dos Planos de Ação contemplados nesta proposta de Programação para o exercício de 2021, totalizam R$ 64,81 milhões. Em comparação ao aprovado para o exercício 2020 (R$ 60,30 milhões), verifica-se uma </w:t>
      </w:r>
      <w:r>
        <w:rPr>
          <w:b/>
          <w:sz w:val="22"/>
        </w:rPr>
        <w:t>variação positiva de 7,5%</w:t>
      </w:r>
      <w:r>
        <w:rPr>
          <w:sz w:val="22"/>
        </w:rPr>
        <w:t>, ou um aumento de R$ 4,51 milhões.</w:t>
      </w:r>
    </w:p>
    <w:p>
      <w:pPr>
        <w:spacing w:line="360" w:lineRule="auto" w:before="0"/>
        <w:ind w:left="118" w:right="265" w:firstLine="851"/>
        <w:jc w:val="both"/>
        <w:rPr>
          <w:sz w:val="22"/>
        </w:rPr>
      </w:pPr>
      <w:r>
        <w:rPr>
          <w:sz w:val="22"/>
        </w:rPr>
        <w:t>Das </w:t>
      </w:r>
      <w:r>
        <w:rPr>
          <w:b/>
          <w:sz w:val="22"/>
        </w:rPr>
        <w:t>Fontes de Recursos </w:t>
      </w:r>
      <w:r>
        <w:rPr>
          <w:sz w:val="22"/>
        </w:rPr>
        <w:t>para suportar a realização das ações constantes no Plano de Ação programado</w:t>
      </w:r>
      <w:r>
        <w:rPr>
          <w:spacing w:val="-1"/>
          <w:sz w:val="22"/>
        </w:rPr>
        <w:t> 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representadas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1"/>
          <w:sz w:val="22"/>
        </w:rPr>
        <w:t> </w:t>
      </w:r>
      <w:r>
        <w:rPr>
          <w:sz w:val="22"/>
        </w:rPr>
        <w:t>70</w:t>
      </w:r>
      <w:r>
        <w:rPr>
          <w:spacing w:val="-2"/>
          <w:sz w:val="22"/>
        </w:rPr>
        <w:t> </w:t>
      </w:r>
      <w:r>
        <w:rPr>
          <w:b/>
          <w:sz w:val="22"/>
        </w:rPr>
        <w:t>iniciativas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estratégicas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b/>
          <w:sz w:val="22"/>
        </w:rPr>
        <w:t>53,3%</w:t>
      </w:r>
      <w:r>
        <w:rPr>
          <w:b/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recursos</w:t>
      </w:r>
      <w:r>
        <w:rPr>
          <w:spacing w:val="-2"/>
          <w:sz w:val="22"/>
        </w:rPr>
        <w:t> </w:t>
      </w:r>
      <w:r>
        <w:rPr>
          <w:sz w:val="22"/>
        </w:rPr>
        <w:t>totais,</w:t>
      </w:r>
      <w:r>
        <w:rPr>
          <w:spacing w:val="-2"/>
          <w:sz w:val="22"/>
        </w:rPr>
        <w:t> </w:t>
      </w:r>
      <w:r>
        <w:rPr>
          <w:sz w:val="22"/>
        </w:rPr>
        <w:t>ou</w:t>
      </w:r>
      <w:r>
        <w:rPr>
          <w:spacing w:val="-2"/>
          <w:sz w:val="22"/>
        </w:rPr>
        <w:t> </w:t>
      </w:r>
      <w:r>
        <w:rPr>
          <w:sz w:val="22"/>
        </w:rPr>
        <w:t>R$ 34,54</w:t>
      </w:r>
      <w:r>
        <w:rPr>
          <w:spacing w:val="-2"/>
          <w:sz w:val="22"/>
        </w:rPr>
        <w:t> </w:t>
      </w:r>
      <w:r>
        <w:rPr>
          <w:sz w:val="22"/>
        </w:rPr>
        <w:t>milhões, advêm das </w:t>
      </w:r>
      <w:r>
        <w:rPr>
          <w:b/>
          <w:sz w:val="22"/>
        </w:rPr>
        <w:t>receitas de arrecadação total </w:t>
      </w:r>
      <w:r>
        <w:rPr>
          <w:sz w:val="22"/>
        </w:rPr>
        <w:t>(compreendendo as anuidades de PF e PJ, do exercício e de exercícios anteriores, taxas e multas e RRT); 31,1</w:t>
      </w:r>
      <w:r>
        <w:rPr>
          <w:b/>
          <w:sz w:val="22"/>
        </w:rPr>
        <w:t>% </w:t>
      </w:r>
      <w:r>
        <w:rPr>
          <w:sz w:val="22"/>
        </w:rPr>
        <w:t>de </w:t>
      </w:r>
      <w:r>
        <w:rPr>
          <w:b/>
          <w:sz w:val="22"/>
        </w:rPr>
        <w:t>saldos de exercícios anteriores (receitas de capital)</w:t>
      </w:r>
      <w:r>
        <w:rPr>
          <w:sz w:val="22"/>
        </w:rPr>
        <w:t>, ou R$ 20,18 milhões, sendo R$ 1,60 milhão representa o saldos de exercícios anteriores do CSC; </w:t>
      </w:r>
      <w:r>
        <w:rPr>
          <w:b/>
          <w:sz w:val="22"/>
        </w:rPr>
        <w:t>14,6% </w:t>
      </w:r>
      <w:r>
        <w:rPr>
          <w:sz w:val="22"/>
        </w:rPr>
        <w:t>de </w:t>
      </w:r>
      <w:r>
        <w:rPr>
          <w:b/>
          <w:sz w:val="22"/>
        </w:rPr>
        <w:t>outras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receitas</w:t>
      </w:r>
      <w:r>
        <w:rPr>
          <w:sz w:val="22"/>
        </w:rPr>
        <w:t>,</w:t>
      </w:r>
      <w:r>
        <w:rPr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5"/>
          <w:sz w:val="22"/>
        </w:rPr>
        <w:t> </w:t>
      </w:r>
      <w:r>
        <w:rPr>
          <w:sz w:val="22"/>
        </w:rPr>
        <w:t>R$</w:t>
      </w:r>
      <w:r>
        <w:rPr>
          <w:spacing w:val="-4"/>
          <w:sz w:val="22"/>
        </w:rPr>
        <w:t> </w:t>
      </w:r>
      <w:r>
        <w:rPr>
          <w:sz w:val="22"/>
        </w:rPr>
        <w:t>9,44</w:t>
      </w:r>
      <w:r>
        <w:rPr>
          <w:spacing w:val="-5"/>
          <w:sz w:val="22"/>
        </w:rPr>
        <w:t> </w:t>
      </w:r>
      <w:r>
        <w:rPr>
          <w:sz w:val="22"/>
        </w:rPr>
        <w:t>milhões,</w:t>
      </w:r>
      <w:r>
        <w:rPr>
          <w:spacing w:val="-5"/>
          <w:sz w:val="22"/>
        </w:rPr>
        <w:t> </w:t>
      </w:r>
      <w:r>
        <w:rPr>
          <w:sz w:val="22"/>
        </w:rPr>
        <w:t>sendo</w:t>
      </w:r>
      <w:r>
        <w:rPr>
          <w:spacing w:val="-4"/>
          <w:sz w:val="22"/>
        </w:rPr>
        <w:t> </w:t>
      </w:r>
      <w:r>
        <w:rPr>
          <w:sz w:val="22"/>
        </w:rPr>
        <w:t>R$</w:t>
      </w:r>
      <w:r>
        <w:rPr>
          <w:spacing w:val="-5"/>
          <w:sz w:val="22"/>
        </w:rPr>
        <w:t> </w:t>
      </w:r>
      <w:r>
        <w:rPr>
          <w:sz w:val="22"/>
        </w:rPr>
        <w:t>8,95</w:t>
      </w:r>
      <w:r>
        <w:rPr>
          <w:spacing w:val="-4"/>
          <w:sz w:val="22"/>
        </w:rPr>
        <w:t> </w:t>
      </w:r>
      <w:r>
        <w:rPr>
          <w:sz w:val="22"/>
        </w:rPr>
        <w:t>milhões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ressarcimento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CSC</w:t>
      </w:r>
      <w:r>
        <w:rPr>
          <w:spacing w:val="-5"/>
          <w:sz w:val="22"/>
        </w:rPr>
        <w:t> </w:t>
      </w:r>
      <w:r>
        <w:rPr>
          <w:sz w:val="22"/>
        </w:rPr>
        <w:t>pelos</w:t>
      </w:r>
      <w:r>
        <w:rPr>
          <w:spacing w:val="-4"/>
          <w:sz w:val="22"/>
        </w:rPr>
        <w:t> </w:t>
      </w:r>
      <w:r>
        <w:rPr>
          <w:sz w:val="22"/>
        </w:rPr>
        <w:t>CAU/UF</w:t>
      </w:r>
      <w:r>
        <w:rPr>
          <w:spacing w:val="-5"/>
          <w:sz w:val="22"/>
        </w:rPr>
        <w:t> </w:t>
      </w:r>
      <w:r>
        <w:rPr>
          <w:sz w:val="22"/>
        </w:rPr>
        <w:t>(serviços essenciais e por adesão), R$ 15 mil de estituições e indenizações e R$ 471,6 mil de Carteiras de Identidade Profissional (sob demanda); e </w:t>
      </w:r>
      <w:r>
        <w:rPr>
          <w:b/>
          <w:sz w:val="22"/>
        </w:rPr>
        <w:t>1,0 % </w:t>
      </w:r>
      <w:r>
        <w:rPr>
          <w:sz w:val="22"/>
        </w:rPr>
        <w:t>de </w:t>
      </w:r>
      <w:r>
        <w:rPr>
          <w:b/>
          <w:sz w:val="22"/>
        </w:rPr>
        <w:t>aplicações financeiras</w:t>
      </w:r>
      <w:r>
        <w:rPr>
          <w:sz w:val="22"/>
        </w:rPr>
        <w:t>, ou R$ 650,0 mil. A composição e a representação gráfica apresentam-se no Quadro 2 e nos Gráficos 4 e 5.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0" w:right="271" w:firstLine="0"/>
        <w:jc w:val="right"/>
        <w:rPr>
          <w:b/>
          <w:sz w:val="22"/>
        </w:rPr>
      </w:pPr>
      <w:bookmarkStart w:name="_bookmark10" w:id="11"/>
      <w:bookmarkEnd w:id="11"/>
      <w:r>
        <w:rPr/>
      </w:r>
      <w:r>
        <w:rPr>
          <w:b/>
          <w:sz w:val="22"/>
        </w:rPr>
        <w:t>Quadro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2.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spacing w:before="0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3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2020).</w:t>
      </w:r>
    </w:p>
    <w:p>
      <w:pPr>
        <w:spacing w:before="161"/>
        <w:ind w:left="0" w:right="267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3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900683</wp:posOffset>
            </wp:positionH>
            <wp:positionV relativeFrom="paragraph">
              <wp:posOffset>101023</wp:posOffset>
            </wp:positionV>
            <wp:extent cx="6119164" cy="3822191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164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spacing w:before="0"/>
        <w:ind w:left="0" w:right="268" w:firstLine="0"/>
        <w:jc w:val="right"/>
        <w:rPr>
          <w:b/>
          <w:sz w:val="22"/>
        </w:rPr>
      </w:pPr>
      <w:bookmarkStart w:name="_bookmark11" w:id="12"/>
      <w:bookmarkEnd w:id="12"/>
      <w:r>
        <w:rPr/>
      </w:r>
      <w:r>
        <w:rPr>
          <w:b/>
          <w:sz w:val="22"/>
        </w:rPr>
        <w:t>Gráfico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4.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spacing w:before="1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3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2020).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900683</wp:posOffset>
            </wp:positionH>
            <wp:positionV relativeFrom="paragraph">
              <wp:posOffset>100810</wp:posOffset>
            </wp:positionV>
            <wp:extent cx="6069966" cy="348615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6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4417" w:right="0" w:firstLine="0"/>
        <w:jc w:val="left"/>
        <w:rPr>
          <w:b/>
          <w:sz w:val="22"/>
        </w:rPr>
      </w:pPr>
      <w:bookmarkStart w:name="_bookmark12" w:id="13"/>
      <w:bookmarkEnd w:id="13"/>
      <w:r>
        <w:rPr/>
      </w: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5.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Composição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900683</wp:posOffset>
            </wp:positionH>
            <wp:positionV relativeFrom="paragraph">
              <wp:posOffset>170653</wp:posOffset>
            </wp:positionV>
            <wp:extent cx="6119111" cy="3663696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111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Heading5"/>
        <w:numPr>
          <w:ilvl w:val="1"/>
          <w:numId w:val="4"/>
        </w:numPr>
        <w:tabs>
          <w:tab w:pos="1420" w:val="left" w:leader="none"/>
        </w:tabs>
        <w:spacing w:line="240" w:lineRule="auto" w:before="48" w:after="0"/>
        <w:ind w:left="1419" w:right="0" w:hanging="451"/>
        <w:jc w:val="left"/>
        <w:rPr>
          <w:b w:val="0"/>
        </w:rPr>
      </w:pPr>
      <w:bookmarkStart w:name="_bookmark13" w:id="14"/>
      <w:bookmarkEnd w:id="14"/>
      <w:r>
        <w:rPr>
          <w:b w:val="0"/>
          <w:color w:val="008080"/>
        </w:rPr>
        <w:t>D</w:t>
      </w:r>
      <w:r>
        <w:rPr>
          <w:b w:val="0"/>
          <w:color w:val="008080"/>
        </w:rPr>
        <w:t>os</w:t>
      </w:r>
      <w:r>
        <w:rPr>
          <w:b w:val="0"/>
          <w:color w:val="008080"/>
          <w:spacing w:val="-14"/>
        </w:rPr>
        <w:t> </w:t>
      </w:r>
      <w:r>
        <w:rPr>
          <w:b w:val="0"/>
          <w:color w:val="008080"/>
        </w:rPr>
        <w:t>Recursos</w:t>
      </w:r>
      <w:r>
        <w:rPr>
          <w:b w:val="0"/>
          <w:color w:val="008080"/>
          <w:spacing w:val="-15"/>
        </w:rPr>
        <w:t> </w:t>
      </w:r>
      <w:r>
        <w:rPr>
          <w:b w:val="0"/>
          <w:color w:val="008080"/>
        </w:rPr>
        <w:t>dos</w:t>
      </w:r>
      <w:r>
        <w:rPr>
          <w:b w:val="0"/>
          <w:color w:val="008080"/>
          <w:spacing w:val="-14"/>
        </w:rPr>
        <w:t> </w:t>
      </w:r>
      <w:r>
        <w:rPr>
          <w:b w:val="0"/>
          <w:color w:val="008080"/>
          <w:spacing w:val="-2"/>
        </w:rPr>
        <w:t>CAU/UF.</w:t>
      </w:r>
    </w:p>
    <w:p>
      <w:pPr>
        <w:pStyle w:val="BodyText"/>
        <w:rPr>
          <w:rFonts w:ascii="Calibri Light"/>
          <w:b w:val="0"/>
          <w:sz w:val="26"/>
        </w:rPr>
      </w:pPr>
    </w:p>
    <w:p>
      <w:pPr>
        <w:pStyle w:val="BodyText"/>
        <w:spacing w:before="12"/>
        <w:rPr>
          <w:rFonts w:ascii="Calibri Light"/>
          <w:b w:val="0"/>
          <w:sz w:val="32"/>
        </w:rPr>
      </w:pPr>
    </w:p>
    <w:p>
      <w:pPr>
        <w:spacing w:line="360" w:lineRule="auto" w:before="0"/>
        <w:ind w:left="118" w:right="265" w:firstLine="851"/>
        <w:jc w:val="both"/>
        <w:rPr>
          <w:sz w:val="22"/>
        </w:rPr>
      </w:pPr>
      <w:r>
        <w:rPr>
          <w:sz w:val="22"/>
        </w:rPr>
        <w:t>Os recursos destinados aos CAU/UF, para o desenvolvimento das iniciativas estratégicas contempladas nos Planos de Ação, na forma desta proposta de Programação para o exercício de 2021, totalizam R$ 187,32 milhões. Comparativamente ao aprovado para o exercício 2020 (R$ 160,31 milhões), verifica-se uma variação positiva de 16,8%, ou um acréscimo de anteriores 27,00 milhões. Nos recursos da Reprogramação 2020 estão inclusos os valores das Reprogramações Extraordinárias do CAU/AL, CAU/AM, CAU/CE, CAU/ES e CAU/RN.</w:t>
      </w:r>
    </w:p>
    <w:p>
      <w:pPr>
        <w:spacing w:line="360" w:lineRule="auto" w:before="159"/>
        <w:ind w:left="118" w:right="264" w:firstLine="851"/>
        <w:jc w:val="both"/>
        <w:rPr>
          <w:sz w:val="22"/>
        </w:rPr>
      </w:pPr>
      <w:r>
        <w:rPr>
          <w:sz w:val="22"/>
        </w:rPr>
        <w:t>Das </w:t>
      </w:r>
      <w:r>
        <w:rPr>
          <w:b/>
          <w:sz w:val="22"/>
        </w:rPr>
        <w:t>Fontes de Recursos </w:t>
      </w:r>
      <w:r>
        <w:rPr>
          <w:sz w:val="22"/>
        </w:rPr>
        <w:t>para suportar a realização das ações constantes no Plano de Ação Programado,</w:t>
      </w:r>
      <w:r>
        <w:rPr>
          <w:spacing w:val="-13"/>
          <w:sz w:val="22"/>
        </w:rPr>
        <w:t> </w:t>
      </w:r>
      <w:r>
        <w:rPr>
          <w:sz w:val="22"/>
        </w:rPr>
        <w:t>representadas</w:t>
      </w:r>
      <w:r>
        <w:rPr>
          <w:spacing w:val="-12"/>
          <w:sz w:val="22"/>
        </w:rPr>
        <w:t> </w:t>
      </w:r>
      <w:r>
        <w:rPr>
          <w:sz w:val="22"/>
        </w:rPr>
        <w:t>em</w:t>
      </w:r>
      <w:r>
        <w:rPr>
          <w:spacing w:val="-13"/>
          <w:sz w:val="22"/>
        </w:rPr>
        <w:t> </w:t>
      </w:r>
      <w:r>
        <w:rPr>
          <w:b/>
          <w:sz w:val="22"/>
        </w:rPr>
        <w:t>643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iniciativas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estratégicas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b/>
          <w:sz w:val="22"/>
        </w:rPr>
        <w:t>73,8%</w:t>
      </w:r>
      <w:r>
        <w:rPr>
          <w:b/>
          <w:spacing w:val="-13"/>
          <w:sz w:val="22"/>
        </w:rPr>
        <w:t> </w:t>
      </w:r>
      <w:r>
        <w:rPr>
          <w:sz w:val="22"/>
        </w:rPr>
        <w:t>dos</w:t>
      </w:r>
      <w:r>
        <w:rPr>
          <w:spacing w:val="-12"/>
          <w:sz w:val="22"/>
        </w:rPr>
        <w:t> </w:t>
      </w:r>
      <w:r>
        <w:rPr>
          <w:sz w:val="22"/>
        </w:rPr>
        <w:t>recursos</w:t>
      </w:r>
      <w:r>
        <w:rPr>
          <w:spacing w:val="-12"/>
          <w:sz w:val="22"/>
        </w:rPr>
        <w:t> </w:t>
      </w:r>
      <w:r>
        <w:rPr>
          <w:sz w:val="22"/>
        </w:rPr>
        <w:t>totais,</w:t>
      </w:r>
      <w:r>
        <w:rPr>
          <w:spacing w:val="-13"/>
          <w:sz w:val="22"/>
        </w:rPr>
        <w:t> </w:t>
      </w:r>
      <w:r>
        <w:rPr>
          <w:sz w:val="22"/>
        </w:rPr>
        <w:t>ou</w:t>
      </w:r>
      <w:r>
        <w:rPr>
          <w:spacing w:val="-12"/>
          <w:sz w:val="22"/>
        </w:rPr>
        <w:t> </w:t>
      </w:r>
      <w:r>
        <w:rPr>
          <w:sz w:val="22"/>
        </w:rPr>
        <w:t>R$</w:t>
      </w:r>
      <w:r>
        <w:rPr>
          <w:spacing w:val="-13"/>
          <w:sz w:val="22"/>
        </w:rPr>
        <w:t> </w:t>
      </w:r>
      <w:r>
        <w:rPr>
          <w:sz w:val="22"/>
        </w:rPr>
        <w:t>138,18</w:t>
      </w:r>
      <w:r>
        <w:rPr>
          <w:spacing w:val="-12"/>
          <w:sz w:val="22"/>
        </w:rPr>
        <w:t> </w:t>
      </w:r>
      <w:r>
        <w:rPr>
          <w:sz w:val="22"/>
        </w:rPr>
        <w:t>milhões, advêm das </w:t>
      </w:r>
      <w:r>
        <w:rPr>
          <w:b/>
          <w:sz w:val="22"/>
        </w:rPr>
        <w:t>receitas de arrecadação </w:t>
      </w:r>
      <w:r>
        <w:rPr>
          <w:sz w:val="22"/>
        </w:rPr>
        <w:t>(compreendendo as anuidades de PF e PJ, do exercício e de exercícios anteriores,</w:t>
      </w:r>
      <w:r>
        <w:rPr>
          <w:spacing w:val="-7"/>
          <w:sz w:val="22"/>
        </w:rPr>
        <w:t> </w:t>
      </w:r>
      <w:r>
        <w:rPr>
          <w:sz w:val="22"/>
        </w:rPr>
        <w:t>taxas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multas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RRT);</w:t>
      </w:r>
      <w:r>
        <w:rPr>
          <w:spacing w:val="-6"/>
          <w:sz w:val="22"/>
        </w:rPr>
        <w:t> </w:t>
      </w:r>
      <w:r>
        <w:rPr>
          <w:b/>
          <w:sz w:val="22"/>
        </w:rPr>
        <w:t>21,6%</w:t>
      </w:r>
      <w:r>
        <w:rPr>
          <w:b/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b/>
          <w:sz w:val="22"/>
        </w:rPr>
        <w:t>saldos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exercícios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anteriores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(receitas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capital)</w:t>
      </w:r>
      <w:r>
        <w:rPr>
          <w:sz w:val="22"/>
        </w:rPr>
        <w:t>,</w:t>
      </w:r>
      <w:r>
        <w:rPr>
          <w:spacing w:val="-7"/>
          <w:sz w:val="22"/>
        </w:rPr>
        <w:t> </w:t>
      </w:r>
      <w:r>
        <w:rPr>
          <w:sz w:val="22"/>
        </w:rPr>
        <w:t>ou</w:t>
      </w:r>
      <w:r>
        <w:rPr>
          <w:spacing w:val="-7"/>
          <w:sz w:val="22"/>
        </w:rPr>
        <w:t> </w:t>
      </w:r>
      <w:r>
        <w:rPr>
          <w:sz w:val="22"/>
        </w:rPr>
        <w:t>R$</w:t>
      </w:r>
      <w:r>
        <w:rPr>
          <w:spacing w:val="-8"/>
          <w:sz w:val="22"/>
        </w:rPr>
        <w:t> </w:t>
      </w:r>
      <w:r>
        <w:rPr>
          <w:sz w:val="22"/>
        </w:rPr>
        <w:t>40,40 milhões; </w:t>
      </w:r>
      <w:r>
        <w:rPr>
          <w:b/>
          <w:sz w:val="22"/>
        </w:rPr>
        <w:t>1,6% </w:t>
      </w:r>
      <w:r>
        <w:rPr>
          <w:sz w:val="22"/>
        </w:rPr>
        <w:t>de </w:t>
      </w:r>
      <w:r>
        <w:rPr>
          <w:b/>
          <w:sz w:val="22"/>
        </w:rPr>
        <w:t>aplicações financeiras</w:t>
      </w:r>
      <w:r>
        <w:rPr>
          <w:sz w:val="22"/>
        </w:rPr>
        <w:t>, ou R$ 3,04 milhões; </w:t>
      </w:r>
      <w:r>
        <w:rPr>
          <w:b/>
          <w:sz w:val="22"/>
        </w:rPr>
        <w:t>2,4% </w:t>
      </w:r>
      <w:r>
        <w:rPr>
          <w:sz w:val="22"/>
        </w:rPr>
        <w:t>do </w:t>
      </w:r>
      <w:r>
        <w:rPr>
          <w:b/>
          <w:sz w:val="22"/>
        </w:rPr>
        <w:t>Fundo de Apoio Financeiro aos CAU/UF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R$</w:t>
      </w:r>
      <w:r>
        <w:rPr>
          <w:spacing w:val="-4"/>
          <w:sz w:val="22"/>
        </w:rPr>
        <w:t> </w:t>
      </w:r>
      <w:r>
        <w:rPr>
          <w:sz w:val="22"/>
        </w:rPr>
        <w:t>4,49</w:t>
      </w:r>
      <w:r>
        <w:rPr>
          <w:spacing w:val="-3"/>
          <w:sz w:val="22"/>
        </w:rPr>
        <w:t> </w:t>
      </w:r>
      <w:r>
        <w:rPr>
          <w:sz w:val="22"/>
        </w:rPr>
        <w:t>milhões;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b/>
          <w:sz w:val="22"/>
        </w:rPr>
        <w:t>0,6%</w:t>
      </w:r>
      <w:r>
        <w:rPr>
          <w:b/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b/>
          <w:sz w:val="22"/>
        </w:rPr>
        <w:t>outras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receitas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1,21</w:t>
      </w:r>
      <w:r>
        <w:rPr>
          <w:spacing w:val="-4"/>
          <w:sz w:val="22"/>
        </w:rPr>
        <w:t> </w:t>
      </w:r>
      <w:r>
        <w:rPr>
          <w:sz w:val="22"/>
        </w:rPr>
        <w:t>milhão.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composição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representação gráfica</w:t>
      </w:r>
      <w:r>
        <w:rPr>
          <w:spacing w:val="-2"/>
          <w:sz w:val="22"/>
        </w:rPr>
        <w:t> </w:t>
      </w:r>
      <w:r>
        <w:rPr>
          <w:sz w:val="22"/>
        </w:rPr>
        <w:t>apresentam-se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Quadro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nos</w:t>
      </w:r>
      <w:r>
        <w:rPr>
          <w:spacing w:val="-3"/>
          <w:sz w:val="22"/>
        </w:rPr>
        <w:t> </w:t>
      </w:r>
      <w:r>
        <w:rPr>
          <w:sz w:val="22"/>
        </w:rPr>
        <w:t>Gráficos</w:t>
      </w:r>
      <w:r>
        <w:rPr>
          <w:spacing w:val="-2"/>
          <w:sz w:val="22"/>
        </w:rPr>
        <w:t> </w:t>
      </w:r>
      <w:r>
        <w:rPr>
          <w:sz w:val="22"/>
        </w:rPr>
        <w:t>6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7.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detalhamento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CAU/UF encontra-se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Anexo </w:t>
      </w:r>
      <w:r>
        <w:rPr>
          <w:spacing w:val="-6"/>
          <w:sz w:val="22"/>
        </w:rPr>
        <w:t>2.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2811" w:right="0" w:firstLine="0"/>
        <w:jc w:val="left"/>
        <w:rPr>
          <w:b/>
          <w:sz w:val="22"/>
        </w:rPr>
      </w:pPr>
      <w:bookmarkStart w:name="_bookmark14" w:id="15"/>
      <w:bookmarkEnd w:id="15"/>
      <w:r>
        <w:rPr/>
      </w:r>
      <w:r>
        <w:rPr>
          <w:b/>
          <w:sz w:val="22"/>
        </w:rPr>
        <w:t>Quadro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3.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spacing w:before="0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3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2020).</w:t>
      </w:r>
    </w:p>
    <w:p>
      <w:pPr>
        <w:spacing w:before="161"/>
        <w:ind w:left="0" w:right="268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900683</wp:posOffset>
            </wp:positionH>
            <wp:positionV relativeFrom="paragraph">
              <wp:posOffset>101023</wp:posOffset>
            </wp:positionV>
            <wp:extent cx="6119242" cy="408432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242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spacing w:before="0"/>
        <w:ind w:left="2842" w:right="0" w:firstLine="0"/>
        <w:jc w:val="left"/>
        <w:rPr>
          <w:b/>
          <w:sz w:val="22"/>
        </w:rPr>
      </w:pPr>
      <w:bookmarkStart w:name="_bookmark15" w:id="16"/>
      <w:bookmarkEnd w:id="16"/>
      <w:r>
        <w:rPr/>
      </w:r>
      <w:r>
        <w:rPr>
          <w:b/>
          <w:sz w:val="22"/>
        </w:rPr>
        <w:t>Gráfico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6.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spacing w:before="1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3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900683</wp:posOffset>
            </wp:positionH>
            <wp:positionV relativeFrom="paragraph">
              <wp:posOffset>101141</wp:posOffset>
            </wp:positionV>
            <wp:extent cx="6121145" cy="365760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4332" w:right="0" w:firstLine="0"/>
        <w:jc w:val="left"/>
        <w:rPr>
          <w:b/>
          <w:sz w:val="22"/>
        </w:rPr>
      </w:pPr>
      <w:bookmarkStart w:name="_bookmark16" w:id="17"/>
      <w:bookmarkEnd w:id="17"/>
      <w:r>
        <w:rPr/>
      </w: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7.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Composição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900683</wp:posOffset>
            </wp:positionH>
            <wp:positionV relativeFrom="paragraph">
              <wp:posOffset>170653</wp:posOffset>
            </wp:positionV>
            <wp:extent cx="6120384" cy="365760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360" w:lineRule="auto"/>
        <w:ind w:left="118" w:right="271" w:firstLine="851"/>
        <w:jc w:val="both"/>
      </w:pPr>
      <w:r>
        <w:rPr/>
        <w:t>No Plano de Ação Programado para 2021, os recursos oriundos do Fundo de Apoio destinados à complementação das fontes de receitas necessárias à plena operação dos CAU/UF, enquadrados como CAU Básico, são da ordem de R$ 4,49 milhões.</w:t>
      </w:r>
    </w:p>
    <w:p>
      <w:pPr>
        <w:pStyle w:val="BodyText"/>
        <w:spacing w:line="360" w:lineRule="auto" w:before="160"/>
        <w:ind w:left="118" w:right="266" w:firstLine="851"/>
        <w:jc w:val="both"/>
      </w:pPr>
      <w:r>
        <w:rPr/>
        <w:t>Pelas</w:t>
      </w:r>
      <w:r>
        <w:rPr>
          <w:spacing w:val="-2"/>
        </w:rPr>
        <w:t> </w:t>
      </w:r>
      <w:r>
        <w:rPr/>
        <w:t>propostas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Programação</w:t>
      </w:r>
      <w:r>
        <w:rPr>
          <w:spacing w:val="-2"/>
        </w:rPr>
        <w:t> </w:t>
      </w:r>
      <w:r>
        <w:rPr/>
        <w:t>apresentadas</w:t>
      </w:r>
      <w:r>
        <w:rPr>
          <w:spacing w:val="-3"/>
        </w:rPr>
        <w:t> </w:t>
      </w:r>
      <w:r>
        <w:rPr/>
        <w:t>pelos</w:t>
      </w:r>
      <w:r>
        <w:rPr>
          <w:spacing w:val="-2"/>
        </w:rPr>
        <w:t> </w:t>
      </w:r>
      <w:r>
        <w:rPr/>
        <w:t>CAU</w:t>
      </w:r>
      <w:r>
        <w:rPr>
          <w:spacing w:val="-2"/>
        </w:rPr>
        <w:t> </w:t>
      </w:r>
      <w:r>
        <w:rPr/>
        <w:t>Básico,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Fundo</w:t>
      </w:r>
      <w:r>
        <w:rPr>
          <w:spacing w:val="-3"/>
        </w:rPr>
        <w:t> </w:t>
      </w:r>
      <w:r>
        <w:rPr/>
        <w:t>de Apoio Financeiro aos CAU/UF alocados às suas programações, no total de R$ 15,22 milhões, representam 29,5% do total dos recursos envolvidos na execução de seus Planos de Ação, ou seja R$ 10,73 milhões. Nos valores da Reprogramação 2020, estão incluídos os valores das Reprogramações Extraordinárias do CAU/AL e CAU/AM. A composição e demonstrativo dos recursos do Fundo de Apoio direcionados aos CAU Básico apresenta-se no Quadro 4.</w:t>
      </w:r>
    </w:p>
    <w:p>
      <w:pPr>
        <w:spacing w:after="0" w:line="360" w:lineRule="auto"/>
        <w:jc w:val="both"/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166" w:right="0" w:firstLine="0"/>
        <w:jc w:val="left"/>
        <w:rPr>
          <w:b/>
          <w:sz w:val="22"/>
        </w:rPr>
      </w:pPr>
      <w:bookmarkStart w:name="_bookmark17" w:id="18"/>
      <w:bookmarkEnd w:id="18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4.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Programação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Básicos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Utilização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Fundo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Apoio.</w:t>
      </w:r>
    </w:p>
    <w:p>
      <w:pPr>
        <w:spacing w:before="0"/>
        <w:ind w:left="0" w:right="266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900683</wp:posOffset>
            </wp:positionH>
            <wp:positionV relativeFrom="paragraph">
              <wp:posOffset>140093</wp:posOffset>
            </wp:positionV>
            <wp:extent cx="6120383" cy="3499104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18" w:right="262" w:firstLine="851"/>
        <w:jc w:val="both"/>
      </w:pPr>
      <w:r>
        <w:rPr/>
        <w:t>No</w:t>
      </w:r>
      <w:r>
        <w:rPr>
          <w:spacing w:val="-12"/>
        </w:rPr>
        <w:t> </w:t>
      </w:r>
      <w:r>
        <w:rPr/>
        <w:t>tocante</w:t>
      </w:r>
      <w:r>
        <w:rPr>
          <w:spacing w:val="-11"/>
        </w:rPr>
        <w:t> </w:t>
      </w:r>
      <w:r>
        <w:rPr/>
        <w:t>aos</w:t>
      </w:r>
      <w:r>
        <w:rPr>
          <w:spacing w:val="-12"/>
        </w:rPr>
        <w:t> </w:t>
      </w:r>
      <w:r>
        <w:rPr/>
        <w:t>recursos</w:t>
      </w:r>
      <w:r>
        <w:rPr>
          <w:spacing w:val="-11"/>
        </w:rPr>
        <w:t> </w:t>
      </w:r>
      <w:r>
        <w:rPr/>
        <w:t>destinados</w:t>
      </w:r>
      <w:r>
        <w:rPr>
          <w:spacing w:val="-12"/>
        </w:rPr>
        <w:t> </w:t>
      </w:r>
      <w:r>
        <w:rPr/>
        <w:t>aos</w:t>
      </w:r>
      <w:r>
        <w:rPr>
          <w:spacing w:val="-12"/>
        </w:rPr>
        <w:t> </w:t>
      </w:r>
      <w:r>
        <w:rPr/>
        <w:t>CAU/UF</w:t>
      </w:r>
      <w:r>
        <w:rPr>
          <w:spacing w:val="36"/>
        </w:rPr>
        <w:t> </w:t>
      </w:r>
      <w:r>
        <w:rPr/>
        <w:t>(R$</w:t>
      </w:r>
      <w:r>
        <w:rPr>
          <w:spacing w:val="-11"/>
        </w:rPr>
        <w:t> </w:t>
      </w:r>
      <w:r>
        <w:rPr/>
        <w:t>187,32</w:t>
      </w:r>
      <w:r>
        <w:rPr>
          <w:spacing w:val="-10"/>
        </w:rPr>
        <w:t> </w:t>
      </w:r>
      <w:r>
        <w:rPr/>
        <w:t>milhões)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região,</w:t>
      </w:r>
      <w:r>
        <w:rPr>
          <w:spacing w:val="-11"/>
        </w:rPr>
        <w:t> </w:t>
      </w:r>
      <w:r>
        <w:rPr>
          <w:b/>
        </w:rPr>
        <w:t>75,8%</w:t>
      </w:r>
      <w:r>
        <w:rPr>
          <w:b/>
          <w:spacing w:val="-11"/>
        </w:rPr>
        <w:t> </w:t>
      </w:r>
      <w:r>
        <w:rPr/>
        <w:t>são destinados</w:t>
      </w:r>
      <w:r>
        <w:rPr>
          <w:spacing w:val="-14"/>
        </w:rPr>
        <w:t> </w:t>
      </w:r>
      <w:r>
        <w:rPr/>
        <w:t>às</w:t>
      </w:r>
      <w:r>
        <w:rPr>
          <w:spacing w:val="-14"/>
        </w:rPr>
        <w:t> </w:t>
      </w:r>
      <w:r>
        <w:rPr/>
        <w:t>regiões</w:t>
      </w:r>
      <w:r>
        <w:rPr>
          <w:spacing w:val="-13"/>
        </w:rPr>
        <w:t> </w:t>
      </w:r>
      <w:r>
        <w:rPr/>
        <w:t>Sudeste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Sul,</w:t>
      </w:r>
      <w:r>
        <w:rPr>
          <w:spacing w:val="-14"/>
        </w:rPr>
        <w:t> </w:t>
      </w:r>
      <w:r>
        <w:rPr/>
        <w:t>sendo:</w:t>
      </w:r>
      <w:r>
        <w:rPr>
          <w:spacing w:val="-13"/>
        </w:rPr>
        <w:t> </w:t>
      </w:r>
      <w:r>
        <w:rPr/>
        <w:t>região</w:t>
      </w:r>
      <w:r>
        <w:rPr>
          <w:spacing w:val="-14"/>
        </w:rPr>
        <w:t> </w:t>
      </w:r>
      <w:r>
        <w:rPr/>
        <w:t>Sudeste</w:t>
      </w:r>
      <w:r>
        <w:rPr>
          <w:spacing w:val="-14"/>
        </w:rPr>
        <w:t> </w:t>
      </w:r>
      <w:r>
        <w:rPr/>
        <w:t>com</w:t>
      </w:r>
      <w:r>
        <w:rPr>
          <w:spacing w:val="-13"/>
        </w:rPr>
        <w:t> </w:t>
      </w:r>
      <w:r>
        <w:rPr/>
        <w:t>R$</w:t>
      </w:r>
      <w:r>
        <w:rPr>
          <w:spacing w:val="-14"/>
        </w:rPr>
        <w:t> </w:t>
      </w:r>
      <w:r>
        <w:rPr/>
        <w:t>92,32</w:t>
      </w:r>
      <w:r>
        <w:rPr>
          <w:spacing w:val="-13"/>
        </w:rPr>
        <w:t> </w:t>
      </w:r>
      <w:r>
        <w:rPr/>
        <w:t>milhões,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>
          <w:b/>
        </w:rPr>
        <w:t>49,3%</w:t>
      </w:r>
      <w:r>
        <w:rPr/>
        <w:t>,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região Sul com R$ 49,62 milhões ou </w:t>
      </w:r>
      <w:r>
        <w:rPr>
          <w:b/>
        </w:rPr>
        <w:t>26,5%. </w:t>
      </w:r>
      <w:r>
        <w:rPr/>
        <w:t>Na sequência, a região Nordeste se apresenta com </w:t>
      </w:r>
      <w:r>
        <w:rPr>
          <w:b/>
        </w:rPr>
        <w:t>9,8% </w:t>
      </w:r>
      <w:r>
        <w:rPr/>
        <w:t>(R$ 18,34</w:t>
      </w:r>
      <w:r>
        <w:rPr>
          <w:spacing w:val="-10"/>
        </w:rPr>
        <w:t> </w:t>
      </w:r>
      <w:r>
        <w:rPr/>
        <w:t>milhões),</w:t>
      </w:r>
      <w:r>
        <w:rPr>
          <w:spacing w:val="-10"/>
        </w:rPr>
        <w:t> </w:t>
      </w:r>
      <w:r>
        <w:rPr/>
        <w:t>seguida</w:t>
      </w:r>
      <w:r>
        <w:rPr>
          <w:spacing w:val="-11"/>
        </w:rPr>
        <w:t> </w:t>
      </w:r>
      <w:r>
        <w:rPr/>
        <w:t>pelas</w:t>
      </w:r>
      <w:r>
        <w:rPr>
          <w:spacing w:val="-11"/>
        </w:rPr>
        <w:t> </w:t>
      </w:r>
      <w:r>
        <w:rPr/>
        <w:t>regiões</w:t>
      </w:r>
      <w:r>
        <w:rPr>
          <w:spacing w:val="-12"/>
        </w:rPr>
        <w:t> </w:t>
      </w:r>
      <w:r>
        <w:rPr/>
        <w:t>Centro-Oeste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Norte</w:t>
      </w:r>
      <w:r>
        <w:rPr>
          <w:spacing w:val="-10"/>
        </w:rPr>
        <w:t> </w:t>
      </w:r>
      <w:r>
        <w:rPr/>
        <w:t>com</w:t>
      </w:r>
      <w:r>
        <w:rPr>
          <w:spacing w:val="-11"/>
        </w:rPr>
        <w:t> </w:t>
      </w:r>
      <w:r>
        <w:rPr>
          <w:b/>
        </w:rPr>
        <w:t>8,3%</w:t>
      </w:r>
      <w:r>
        <w:rPr>
          <w:b/>
          <w:spacing w:val="-11"/>
        </w:rPr>
        <w:t> </w:t>
      </w:r>
      <w:r>
        <w:rPr/>
        <w:t>(R$</w:t>
      </w:r>
      <w:r>
        <w:rPr>
          <w:spacing w:val="-10"/>
        </w:rPr>
        <w:t> </w:t>
      </w:r>
      <w:r>
        <w:rPr/>
        <w:t>15,47</w:t>
      </w:r>
      <w:r>
        <w:rPr>
          <w:spacing w:val="-12"/>
        </w:rPr>
        <w:t> </w:t>
      </w:r>
      <w:r>
        <w:rPr/>
        <w:t>milhões)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>
          <w:b/>
        </w:rPr>
        <w:t>6,2%</w:t>
      </w:r>
      <w:r>
        <w:rPr>
          <w:b/>
          <w:spacing w:val="-11"/>
        </w:rPr>
        <w:t> </w:t>
      </w:r>
      <w:r>
        <w:rPr/>
        <w:t>(R$ 11,56</w:t>
      </w:r>
      <w:r>
        <w:rPr>
          <w:spacing w:val="-4"/>
        </w:rPr>
        <w:t> </w:t>
      </w:r>
      <w:r>
        <w:rPr/>
        <w:t>milhões),</w:t>
      </w:r>
      <w:r>
        <w:rPr>
          <w:spacing w:val="-3"/>
        </w:rPr>
        <w:t> </w:t>
      </w:r>
      <w:r>
        <w:rPr/>
        <w:t>respectivamente.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composição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representação</w:t>
      </w:r>
      <w:r>
        <w:rPr>
          <w:spacing w:val="-4"/>
        </w:rPr>
        <w:t> </w:t>
      </w:r>
      <w:r>
        <w:rPr/>
        <w:t>gráfica</w:t>
      </w:r>
      <w:r>
        <w:rPr>
          <w:spacing w:val="-5"/>
        </w:rPr>
        <w:t> </w:t>
      </w:r>
      <w:r>
        <w:rPr/>
        <w:t>estão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forma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Quadro 5 e dos Gráficos 8 e 9. O detalhamento por CAU/UF apresenta-se no Anexo 2.</w:t>
      </w:r>
    </w:p>
    <w:p>
      <w:pPr>
        <w:spacing w:before="159"/>
        <w:ind w:left="2829" w:right="0" w:firstLine="0"/>
        <w:jc w:val="both"/>
        <w:rPr>
          <w:b/>
          <w:sz w:val="22"/>
        </w:rPr>
      </w:pPr>
      <w:bookmarkStart w:name="_bookmark18" w:id="19"/>
      <w:bookmarkEnd w:id="19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5.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Distribuição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Comparativa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Região.</w:t>
      </w:r>
    </w:p>
    <w:p>
      <w:pPr>
        <w:spacing w:before="1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2"/>
          <w:sz w:val="18"/>
        </w:rPr>
        <w:t> </w:t>
      </w:r>
      <w:r>
        <w:rPr>
          <w:sz w:val="18"/>
        </w:rPr>
        <w:t>2021 X Reprogramação </w:t>
      </w:r>
      <w:r>
        <w:rPr>
          <w:spacing w:val="-2"/>
          <w:sz w:val="18"/>
        </w:rPr>
        <w:t>2020)</w:t>
      </w:r>
    </w:p>
    <w:p>
      <w:pPr>
        <w:pStyle w:val="BodyText"/>
        <w:spacing w:before="1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900683</wp:posOffset>
            </wp:positionH>
            <wp:positionV relativeFrom="paragraph">
              <wp:posOffset>62383</wp:posOffset>
            </wp:positionV>
            <wp:extent cx="6118437" cy="2395728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437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0" w:right="267" w:firstLine="0"/>
        <w:jc w:val="right"/>
        <w:rPr>
          <w:b/>
          <w:sz w:val="22"/>
        </w:rPr>
      </w:pPr>
      <w:bookmarkStart w:name="_bookmark19" w:id="20"/>
      <w:bookmarkEnd w:id="20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8.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Distribuição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Região.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900683</wp:posOffset>
            </wp:positionH>
            <wp:positionV relativeFrom="paragraph">
              <wp:posOffset>170653</wp:posOffset>
            </wp:positionV>
            <wp:extent cx="6120384" cy="3675888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0" w:right="266" w:firstLine="0"/>
        <w:jc w:val="right"/>
        <w:rPr>
          <w:b/>
          <w:sz w:val="22"/>
        </w:rPr>
      </w:pPr>
      <w:bookmarkStart w:name="_bookmark20" w:id="21"/>
      <w:bookmarkEnd w:id="21"/>
      <w:r>
        <w:rPr/>
      </w:r>
      <w:r>
        <w:rPr>
          <w:b/>
          <w:sz w:val="22"/>
        </w:rPr>
        <w:t>Gráfico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9.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Região</w:t>
      </w:r>
    </w:p>
    <w:p>
      <w:pPr>
        <w:spacing w:before="1"/>
        <w:ind w:left="6529" w:right="0" w:firstLine="0"/>
        <w:jc w:val="lef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900683</wp:posOffset>
            </wp:positionH>
            <wp:positionV relativeFrom="paragraph">
              <wp:posOffset>110797</wp:posOffset>
            </wp:positionV>
            <wp:extent cx="6120383" cy="365760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516" w:footer="442" w:top="1540" w:bottom="640" w:left="1300" w:right="580"/>
        </w:sectPr>
      </w:pPr>
    </w:p>
    <w:p>
      <w:pPr>
        <w:pStyle w:val="BodyText"/>
        <w:spacing w:before="11"/>
        <w:rPr>
          <w:sz w:val="26"/>
        </w:rPr>
      </w:pPr>
    </w:p>
    <w:p>
      <w:pPr>
        <w:pStyle w:val="Heading3"/>
        <w:numPr>
          <w:ilvl w:val="0"/>
          <w:numId w:val="4"/>
        </w:numPr>
        <w:tabs>
          <w:tab w:pos="438" w:val="left" w:leader="none"/>
        </w:tabs>
        <w:spacing w:line="240" w:lineRule="auto" w:before="35" w:after="0"/>
        <w:ind w:left="437" w:right="0" w:hanging="320"/>
        <w:jc w:val="left"/>
      </w:pPr>
      <w:bookmarkStart w:name="_bookmark21" w:id="22"/>
      <w:bookmarkEnd w:id="22"/>
      <w:r>
        <w:rPr>
          <w:color w:val="006666"/>
        </w:rPr>
        <w:t>APLICAÇÃO</w:t>
      </w:r>
      <w:r>
        <w:rPr>
          <w:color w:val="006666"/>
          <w:spacing w:val="-2"/>
        </w:rPr>
        <w:t> </w:t>
      </w:r>
      <w:r>
        <w:rPr>
          <w:color w:val="006666"/>
        </w:rPr>
        <w:t>DOS</w:t>
      </w:r>
      <w:r>
        <w:rPr>
          <w:color w:val="006666"/>
          <w:spacing w:val="-2"/>
        </w:rPr>
        <w:t> RECURSOS.</w:t>
      </w:r>
    </w:p>
    <w:p>
      <w:pPr>
        <w:pStyle w:val="BodyText"/>
        <w:spacing w:line="360" w:lineRule="auto" w:before="196"/>
        <w:ind w:left="118" w:right="262" w:firstLine="851"/>
        <w:jc w:val="both"/>
      </w:pPr>
      <w:r>
        <w:rPr/>
        <w:t>A</w:t>
      </w:r>
      <w:r>
        <w:rPr>
          <w:spacing w:val="-7"/>
        </w:rPr>
        <w:t> </w:t>
      </w:r>
      <w:r>
        <w:rPr/>
        <w:t>Programação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Plano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Ação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Orçamento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CAU,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2021,</w:t>
      </w:r>
      <w:r>
        <w:rPr>
          <w:spacing w:val="-7"/>
        </w:rPr>
        <w:t> </w:t>
      </w:r>
      <w:r>
        <w:rPr/>
        <w:t>contemplando</w:t>
      </w:r>
      <w:r>
        <w:rPr>
          <w:spacing w:val="-8"/>
        </w:rPr>
        <w:t> </w:t>
      </w:r>
      <w:r>
        <w:rPr/>
        <w:t>recursos no montante de R$ 252,13 milhões, destina-se à execução de 713 iniciativas estratégicas. Aos 233 projetos estão direcionados 30,1% dos recursos totais, ou R$ 76,00 milhões. As 480 atividades respondem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recursos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montante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R$</w:t>
      </w:r>
      <w:r>
        <w:rPr>
          <w:spacing w:val="-11"/>
        </w:rPr>
        <w:t> </w:t>
      </w:r>
      <w:r>
        <w:rPr/>
        <w:t>176,13</w:t>
      </w:r>
      <w:r>
        <w:rPr>
          <w:spacing w:val="-12"/>
        </w:rPr>
        <w:t> </w:t>
      </w:r>
      <w:r>
        <w:rPr/>
        <w:t>milhões,</w:t>
      </w:r>
      <w:r>
        <w:rPr>
          <w:spacing w:val="-10"/>
        </w:rPr>
        <w:t> </w:t>
      </w:r>
      <w:r>
        <w:rPr/>
        <w:t>ou</w:t>
      </w:r>
      <w:r>
        <w:rPr>
          <w:spacing w:val="-12"/>
        </w:rPr>
        <w:t> </w:t>
      </w:r>
      <w:r>
        <w:rPr/>
        <w:t>69,9%.</w:t>
      </w:r>
      <w:r>
        <w:rPr>
          <w:spacing w:val="-12"/>
        </w:rPr>
        <w:t> </w:t>
      </w:r>
      <w:r>
        <w:rPr/>
        <w:t>Essas</w:t>
      </w:r>
      <w:r>
        <w:rPr>
          <w:spacing w:val="-11"/>
        </w:rPr>
        <w:t> </w:t>
      </w:r>
      <w:r>
        <w:rPr/>
        <w:t>iniciativas</w:t>
      </w:r>
      <w:r>
        <w:rPr>
          <w:spacing w:val="-11"/>
        </w:rPr>
        <w:t> </w:t>
      </w:r>
      <w:r>
        <w:rPr/>
        <w:t>estratégicas incluem as 28 atividades de Aporte ao Fundo de Apoio que recebem R$ 4,49 milhões, ou 1,8% do total;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27</w:t>
      </w:r>
      <w:r>
        <w:rPr>
          <w:spacing w:val="-14"/>
        </w:rPr>
        <w:t> </w:t>
      </w:r>
      <w:r>
        <w:rPr/>
        <w:t>atividades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contribuição</w:t>
      </w:r>
      <w:r>
        <w:rPr>
          <w:spacing w:val="-13"/>
        </w:rPr>
        <w:t> </w:t>
      </w:r>
      <w:r>
        <w:rPr/>
        <w:t>ao</w:t>
      </w:r>
      <w:r>
        <w:rPr>
          <w:spacing w:val="-14"/>
        </w:rPr>
        <w:t> </w:t>
      </w:r>
      <w:r>
        <w:rPr/>
        <w:t>Centro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Serviços</w:t>
      </w:r>
      <w:r>
        <w:rPr>
          <w:spacing w:val="-14"/>
        </w:rPr>
        <w:t> </w:t>
      </w:r>
      <w:r>
        <w:rPr/>
        <w:t>Compartilhados</w:t>
      </w:r>
      <w:r>
        <w:rPr>
          <w:spacing w:val="-13"/>
        </w:rPr>
        <w:t> </w:t>
      </w:r>
      <w:r>
        <w:rPr/>
        <w:t>CSC</w:t>
      </w:r>
      <w:r>
        <w:rPr>
          <w:spacing w:val="-9"/>
        </w:rPr>
        <w:t> </w:t>
      </w:r>
      <w:r>
        <w:rPr/>
        <w:t>pelos</w:t>
      </w:r>
      <w:r>
        <w:rPr>
          <w:spacing w:val="-14"/>
        </w:rPr>
        <w:t> </w:t>
      </w:r>
      <w:r>
        <w:rPr/>
        <w:t>CAU/UF</w:t>
      </w:r>
      <w:r>
        <w:rPr>
          <w:spacing w:val="-11"/>
        </w:rPr>
        <w:t> </w:t>
      </w:r>
      <w:r>
        <w:rPr/>
        <w:t>com R$ 8,71 milhões, ou 3,5%; e às 26 atividades de Reserva de Contingência os recursos direcionados são de R$ 2,64 milhão, ou 1,1%.</w:t>
      </w:r>
    </w:p>
    <w:p>
      <w:pPr>
        <w:pStyle w:val="BodyText"/>
        <w:spacing w:line="360" w:lineRule="auto" w:before="160"/>
        <w:ind w:left="118" w:right="265" w:firstLine="851"/>
        <w:jc w:val="both"/>
      </w:pPr>
      <w:r>
        <w:rPr/>
        <w:t>Do total da proposta de programação ao Plano de Ação do CAU exercício 2021, em 70 iniciativas estratégicas, o CAU/BR aplicará 25,7%, ou R$ 64,81 milhões, enquanto que os CAU/UF, em</w:t>
      </w:r>
      <w:r>
        <w:rPr>
          <w:spacing w:val="-3"/>
        </w:rPr>
        <w:t> </w:t>
      </w:r>
      <w:r>
        <w:rPr/>
        <w:t>643</w:t>
      </w:r>
      <w:r>
        <w:rPr>
          <w:spacing w:val="-4"/>
        </w:rPr>
        <w:t> </w:t>
      </w:r>
      <w:r>
        <w:rPr/>
        <w:t>iniciativas,</w:t>
      </w:r>
      <w:r>
        <w:rPr>
          <w:spacing w:val="-4"/>
        </w:rPr>
        <w:t> </w:t>
      </w:r>
      <w:r>
        <w:rPr/>
        <w:t>serão</w:t>
      </w:r>
      <w:r>
        <w:rPr>
          <w:spacing w:val="-5"/>
        </w:rPr>
        <w:t> </w:t>
      </w:r>
      <w:r>
        <w:rPr/>
        <w:t>responsáveis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aplicação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cerca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74,3%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recursos,</w:t>
      </w:r>
      <w:r>
        <w:rPr>
          <w:spacing w:val="-3"/>
        </w:rPr>
        <w:t> </w:t>
      </w:r>
      <w:r>
        <w:rPr/>
        <w:t>ou</w:t>
      </w:r>
      <w:r>
        <w:rPr>
          <w:spacing w:val="-4"/>
        </w:rPr>
        <w:t> </w:t>
      </w:r>
      <w:r>
        <w:rPr/>
        <w:t>R$</w:t>
      </w:r>
      <w:r>
        <w:rPr>
          <w:spacing w:val="-2"/>
        </w:rPr>
        <w:t> </w:t>
      </w:r>
      <w:r>
        <w:rPr/>
        <w:t>187,32 milhões, conforme demonstrado nos Quadros 6 a 9 e nos Gráficos 10 a 12. O detalhamento por CAU/UF e CAU/BR e, a análise comparativa das aplicações por iniciativas da Programação 2021 x Reprogramação 2020, constam no Anexo 1.</w:t>
      </w:r>
    </w:p>
    <w:p>
      <w:pPr>
        <w:pStyle w:val="BodyText"/>
        <w:spacing w:line="360" w:lineRule="auto" w:before="161"/>
        <w:ind w:left="118" w:right="266" w:firstLine="851"/>
        <w:jc w:val="both"/>
      </w:pPr>
      <w:r>
        <w:rPr/>
        <w:t>Da programação a ser desenvolvida pelo CAU/BR, cabe mencionar as ações destinadas ao Centro de Serviços Compartilhados CSC, de gestão e custeio compartilhado com os CAU/UF, que envolvem recursos no montante de R$ 13,95 milhões, representando 21,5% da programação total do CAU/BR (R$ 64,81 milhões), sendo:</w:t>
      </w:r>
    </w:p>
    <w:p>
      <w:pPr>
        <w:pStyle w:val="ListParagraph"/>
        <w:numPr>
          <w:ilvl w:val="0"/>
          <w:numId w:val="5"/>
        </w:numPr>
        <w:tabs>
          <w:tab w:pos="1821" w:val="left" w:leader="none"/>
        </w:tabs>
        <w:spacing w:line="276" w:lineRule="auto" w:before="159" w:after="0"/>
        <w:ind w:left="1198" w:right="268" w:hanging="88"/>
        <w:jc w:val="both"/>
        <w:rPr>
          <w:sz w:val="24"/>
        </w:rPr>
      </w:pPr>
      <w:r>
        <w:rPr>
          <w:b/>
          <w:i/>
          <w:sz w:val="24"/>
        </w:rPr>
        <w:t>CSC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Serviços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Essenciais:</w:t>
      </w:r>
      <w:r>
        <w:rPr>
          <w:b/>
          <w:i/>
          <w:spacing w:val="-5"/>
          <w:sz w:val="24"/>
        </w:rPr>
        <w:t> </w:t>
      </w:r>
      <w:r>
        <w:rPr>
          <w:sz w:val="24"/>
        </w:rPr>
        <w:t>R$</w:t>
      </w:r>
      <w:r>
        <w:rPr>
          <w:spacing w:val="-6"/>
          <w:sz w:val="24"/>
        </w:rPr>
        <w:t> </w:t>
      </w:r>
      <w:r>
        <w:rPr>
          <w:sz w:val="24"/>
        </w:rPr>
        <w:t>13,70</w:t>
      </w:r>
      <w:r>
        <w:rPr>
          <w:spacing w:val="-6"/>
          <w:sz w:val="24"/>
        </w:rPr>
        <w:t> </w:t>
      </w:r>
      <w:r>
        <w:rPr>
          <w:sz w:val="24"/>
        </w:rPr>
        <w:t>milhões</w:t>
      </w:r>
      <w:r>
        <w:rPr>
          <w:spacing w:val="-6"/>
          <w:sz w:val="24"/>
        </w:rPr>
        <w:t> </w:t>
      </w:r>
      <w:r>
        <w:rPr>
          <w:sz w:val="24"/>
        </w:rPr>
        <w:t>(conforme</w:t>
      </w:r>
      <w:r>
        <w:rPr>
          <w:spacing w:val="-4"/>
          <w:sz w:val="24"/>
        </w:rPr>
        <w:t> </w:t>
      </w:r>
      <w:r>
        <w:rPr>
          <w:sz w:val="24"/>
        </w:rPr>
        <w:t>Proposta</w:t>
      </w:r>
      <w:r>
        <w:rPr>
          <w:spacing w:val="-6"/>
          <w:sz w:val="24"/>
        </w:rPr>
        <w:t> </w:t>
      </w:r>
      <w:r>
        <w:rPr>
          <w:sz w:val="24"/>
        </w:rPr>
        <w:t>n</w:t>
      </w:r>
      <w:r>
        <w:rPr>
          <w:spacing w:val="-5"/>
          <w:sz w:val="24"/>
        </w:rPr>
        <w:t> </w:t>
      </w:r>
      <w:r>
        <w:rPr>
          <w:sz w:val="24"/>
        </w:rPr>
        <w:t>004/2020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CG- CSC). Destaca-se que o valor destinado ao SGI será custeado, exclusivamente, pelo CAU/BR (R$ 1,65 milhão) em 2021.</w:t>
      </w:r>
    </w:p>
    <w:p>
      <w:pPr>
        <w:pStyle w:val="ListParagraph"/>
        <w:numPr>
          <w:ilvl w:val="1"/>
          <w:numId w:val="5"/>
        </w:numPr>
        <w:tabs>
          <w:tab w:pos="1559" w:val="left" w:leader="none"/>
        </w:tabs>
        <w:spacing w:line="273" w:lineRule="auto" w:before="0" w:after="0"/>
        <w:ind w:left="1558" w:right="267" w:hanging="360"/>
        <w:jc w:val="both"/>
        <w:rPr>
          <w:sz w:val="24"/>
        </w:rPr>
      </w:pPr>
      <w:r>
        <w:rPr>
          <w:b/>
          <w:sz w:val="24"/>
        </w:rPr>
        <w:t>CSC Serviços por Adesão</w:t>
      </w:r>
      <w:r>
        <w:rPr>
          <w:sz w:val="24"/>
        </w:rPr>
        <w:t>: R$ 245,06 mil, correspondendo ao Serviços de Controle e Cobrança (Siscaf).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0" w:right="270" w:firstLine="0"/>
        <w:jc w:val="right"/>
        <w:rPr>
          <w:b/>
          <w:sz w:val="22"/>
        </w:rPr>
      </w:pPr>
      <w:bookmarkStart w:name="_bookmark22" w:id="23"/>
      <w:bookmarkEnd w:id="23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6.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Aplicação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Projetos/Atividade.</w:t>
      </w:r>
    </w:p>
    <w:p>
      <w:pPr>
        <w:spacing w:before="0"/>
        <w:ind w:left="0" w:right="266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900683</wp:posOffset>
            </wp:positionH>
            <wp:positionV relativeFrom="paragraph">
              <wp:posOffset>140092</wp:posOffset>
            </wp:positionV>
            <wp:extent cx="6120384" cy="2474976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spacing w:before="0"/>
        <w:ind w:left="0" w:right="273" w:firstLine="0"/>
        <w:jc w:val="right"/>
        <w:rPr>
          <w:b/>
          <w:sz w:val="22"/>
        </w:rPr>
      </w:pPr>
      <w:bookmarkStart w:name="_bookmark23" w:id="24"/>
      <w:bookmarkEnd w:id="24"/>
      <w:r>
        <w:rPr/>
      </w:r>
      <w:r>
        <w:rPr>
          <w:b/>
          <w:sz w:val="22"/>
        </w:rPr>
        <w:t>Quadro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7.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Aplicação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Projetos/Atividade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(Programação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Operacional,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Fundo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Apoio,</w:t>
      </w:r>
    </w:p>
    <w:p>
      <w:pPr>
        <w:spacing w:before="0"/>
        <w:ind w:left="0" w:right="267" w:firstLine="0"/>
        <w:jc w:val="right"/>
        <w:rPr>
          <w:b/>
          <w:sz w:val="22"/>
        </w:rPr>
      </w:pPr>
      <w:r>
        <w:rPr>
          <w:b/>
          <w:sz w:val="22"/>
        </w:rPr>
        <w:t>CSC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Reserva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Contingência).</w:t>
      </w:r>
    </w:p>
    <w:p>
      <w:pPr>
        <w:spacing w:before="0"/>
        <w:ind w:left="0" w:right="692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 </w:t>
      </w:r>
      <w:r>
        <w:rPr>
          <w:spacing w:val="-2"/>
          <w:sz w:val="18"/>
        </w:rPr>
        <w:t>1,00).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20384" cy="521208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"/>
        <w:ind w:left="118" w:right="108" w:firstLine="0"/>
        <w:jc w:val="left"/>
        <w:rPr>
          <w:b/>
          <w:sz w:val="20"/>
        </w:rPr>
      </w:pPr>
      <w:r>
        <w:rPr>
          <w:b/>
          <w:sz w:val="20"/>
        </w:rPr>
        <w:t>*O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valor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aporte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ao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CSC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representa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20%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participação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nos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custos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CSC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parte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integrante da Programação total do CAU/BR.</w:t>
      </w:r>
    </w:p>
    <w:p>
      <w:pPr>
        <w:spacing w:after="0"/>
        <w:jc w:val="left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0" w:right="268" w:firstLine="0"/>
        <w:jc w:val="right"/>
        <w:rPr>
          <w:b/>
          <w:sz w:val="22"/>
        </w:rPr>
      </w:pPr>
      <w:bookmarkStart w:name="_bookmark24" w:id="25"/>
      <w:bookmarkEnd w:id="25"/>
      <w:r>
        <w:rPr/>
      </w: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10.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Aplicação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Totais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Projeto/Atividade.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961644</wp:posOffset>
            </wp:positionH>
            <wp:positionV relativeFrom="paragraph">
              <wp:posOffset>170653</wp:posOffset>
            </wp:positionV>
            <wp:extent cx="6058231" cy="3870960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31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0" w:right="267" w:firstLine="0"/>
        <w:jc w:val="right"/>
        <w:rPr>
          <w:b/>
          <w:sz w:val="22"/>
        </w:rPr>
      </w:pPr>
      <w:bookmarkStart w:name="_bookmark25" w:id="26"/>
      <w:bookmarkEnd w:id="26"/>
      <w:r>
        <w:rPr/>
      </w:r>
      <w:r>
        <w:rPr>
          <w:b/>
          <w:sz w:val="22"/>
        </w:rPr>
        <w:t>Gráfico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11.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Atividades.</w:t>
      </w:r>
    </w:p>
    <w:p>
      <w:pPr>
        <w:spacing w:before="1"/>
        <w:ind w:left="6485" w:right="0" w:firstLine="0"/>
        <w:jc w:val="lef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2021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1"/>
          <w:sz w:val="18"/>
        </w:rPr>
        <w:t> </w:t>
      </w:r>
      <w:r>
        <w:rPr>
          <w:sz w:val="18"/>
        </w:rPr>
        <w:t>Reprogramação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2020).</w:t>
      </w:r>
    </w:p>
    <w:p>
      <w:pPr>
        <w:pStyle w:val="BodyText"/>
        <w:spacing w:before="1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900683</wp:posOffset>
            </wp:positionH>
            <wp:positionV relativeFrom="paragraph">
              <wp:posOffset>139189</wp:posOffset>
            </wp:positionV>
            <wp:extent cx="6096762" cy="3546443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62" cy="354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4846" w:right="0" w:firstLine="0"/>
        <w:jc w:val="left"/>
        <w:rPr>
          <w:b/>
          <w:sz w:val="22"/>
        </w:rPr>
      </w:pPr>
      <w:bookmarkStart w:name="_bookmark26" w:id="27"/>
      <w:bookmarkEnd w:id="27"/>
      <w:r>
        <w:rPr/>
      </w:r>
      <w:r>
        <w:rPr>
          <w:b/>
          <w:sz w:val="22"/>
        </w:rPr>
        <w:t>Quadro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8.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Atividades.</w:t>
      </w:r>
    </w:p>
    <w:p>
      <w:pPr>
        <w:spacing w:before="0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3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2020).</w:t>
      </w:r>
    </w:p>
    <w:p>
      <w:pPr>
        <w:spacing w:before="1"/>
        <w:ind w:left="0" w:right="266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900683</wp:posOffset>
            </wp:positionH>
            <wp:positionV relativeFrom="paragraph">
              <wp:posOffset>139377</wp:posOffset>
            </wp:positionV>
            <wp:extent cx="6150198" cy="7040880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198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"/>
        <w:ind w:left="118" w:right="109" w:firstLine="0"/>
        <w:jc w:val="left"/>
        <w:rPr>
          <w:b/>
          <w:sz w:val="20"/>
        </w:rPr>
      </w:pPr>
      <w:r>
        <w:rPr>
          <w:b/>
          <w:sz w:val="20"/>
        </w:rPr>
        <w:t>*O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valor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aporte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ao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CSC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representa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20%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participação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nos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custos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CSC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parte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integrante da Programação total do CAU/BR.</w:t>
      </w:r>
    </w:p>
    <w:p>
      <w:pPr>
        <w:spacing w:after="0"/>
        <w:jc w:val="left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4968" w:right="0" w:firstLine="0"/>
        <w:jc w:val="left"/>
        <w:rPr>
          <w:b/>
          <w:sz w:val="22"/>
        </w:rPr>
      </w:pPr>
      <w:bookmarkStart w:name="_bookmark27" w:id="28"/>
      <w:bookmarkEnd w:id="28"/>
      <w:r>
        <w:rPr/>
      </w:r>
      <w:r>
        <w:rPr>
          <w:b/>
          <w:sz w:val="22"/>
        </w:rPr>
        <w:t>Gráfico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12.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Projetos.</w:t>
      </w:r>
    </w:p>
    <w:p>
      <w:pPr>
        <w:spacing w:before="0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3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900683</wp:posOffset>
            </wp:positionH>
            <wp:positionV relativeFrom="paragraph">
              <wp:posOffset>140092</wp:posOffset>
            </wp:positionV>
            <wp:extent cx="6206490" cy="3889248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spacing w:before="0"/>
        <w:ind w:left="5048" w:right="0" w:firstLine="0"/>
        <w:jc w:val="left"/>
        <w:rPr>
          <w:b/>
          <w:sz w:val="22"/>
        </w:rPr>
      </w:pPr>
      <w:bookmarkStart w:name="_bookmark28" w:id="29"/>
      <w:bookmarkEnd w:id="29"/>
      <w:r>
        <w:rPr/>
      </w:r>
      <w:r>
        <w:rPr>
          <w:b/>
          <w:sz w:val="22"/>
        </w:rPr>
        <w:t>Quadro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9.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Projetos.</w:t>
      </w:r>
    </w:p>
    <w:p>
      <w:pPr>
        <w:spacing w:before="1"/>
        <w:ind w:left="0" w:right="267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3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2020).</w:t>
      </w:r>
    </w:p>
    <w:p>
      <w:pPr>
        <w:pStyle w:val="BodyText"/>
        <w:rPr>
          <w:sz w:val="18"/>
        </w:rPr>
      </w:pPr>
    </w:p>
    <w:p>
      <w:pPr>
        <w:spacing w:before="0"/>
        <w:ind w:left="0" w:right="266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ind w:left="278"/>
        <w:rPr>
          <w:sz w:val="20"/>
        </w:rPr>
      </w:pPr>
      <w:r>
        <w:rPr>
          <w:sz w:val="20"/>
        </w:rPr>
        <w:drawing>
          <wp:inline distT="0" distB="0" distL="0" distR="0">
            <wp:extent cx="5965606" cy="2426684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06" cy="242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pStyle w:val="Heading3"/>
        <w:numPr>
          <w:ilvl w:val="0"/>
          <w:numId w:val="4"/>
        </w:numPr>
        <w:tabs>
          <w:tab w:pos="438" w:val="left" w:leader="none"/>
        </w:tabs>
        <w:spacing w:line="240" w:lineRule="auto" w:before="45" w:after="0"/>
        <w:ind w:left="437" w:right="0" w:hanging="320"/>
        <w:jc w:val="left"/>
      </w:pPr>
      <w:bookmarkStart w:name="_bookmark29" w:id="30"/>
      <w:bookmarkEnd w:id="30"/>
      <w:r>
        <w:rPr>
          <w:color w:val="006666"/>
        </w:rPr>
        <w:t>APLICAÇÃO</w:t>
      </w:r>
      <w:r>
        <w:rPr>
          <w:color w:val="006666"/>
          <w:spacing w:val="-6"/>
        </w:rPr>
        <w:t> </w:t>
      </w:r>
      <w:r>
        <w:rPr>
          <w:color w:val="006666"/>
        </w:rPr>
        <w:t>DOS</w:t>
      </w:r>
      <w:r>
        <w:rPr>
          <w:color w:val="006666"/>
          <w:spacing w:val="-5"/>
        </w:rPr>
        <w:t> </w:t>
      </w:r>
      <w:r>
        <w:rPr>
          <w:color w:val="006666"/>
        </w:rPr>
        <w:t>RECURSOS</w:t>
      </w:r>
      <w:r>
        <w:rPr>
          <w:color w:val="006666"/>
          <w:spacing w:val="-4"/>
        </w:rPr>
        <w:t> </w:t>
      </w:r>
      <w:r>
        <w:rPr>
          <w:color w:val="006666"/>
        </w:rPr>
        <w:t>POR</w:t>
      </w:r>
      <w:r>
        <w:rPr>
          <w:color w:val="006666"/>
          <w:spacing w:val="-6"/>
        </w:rPr>
        <w:t> </w:t>
      </w:r>
      <w:r>
        <w:rPr>
          <w:color w:val="006666"/>
        </w:rPr>
        <w:t>OBJETIVOS</w:t>
      </w:r>
      <w:r>
        <w:rPr>
          <w:color w:val="006666"/>
          <w:spacing w:val="-4"/>
        </w:rPr>
        <w:t> </w:t>
      </w:r>
      <w:r>
        <w:rPr>
          <w:color w:val="006666"/>
          <w:spacing w:val="-2"/>
        </w:rPr>
        <w:t>ESTRATÉGICOS.</w:t>
      </w:r>
    </w:p>
    <w:p>
      <w:pPr>
        <w:spacing w:line="360" w:lineRule="auto" w:before="195"/>
        <w:ind w:left="118" w:right="266" w:firstLine="851"/>
        <w:jc w:val="both"/>
        <w:rPr>
          <w:sz w:val="24"/>
        </w:rPr>
      </w:pPr>
      <w:r>
        <w:rPr>
          <w:sz w:val="24"/>
        </w:rPr>
        <w:t>Para a Programação do Plano de Ação do CAU de 2020, as iniciativas estratégicas a serem implementadas</w:t>
      </w:r>
      <w:r>
        <w:rPr>
          <w:spacing w:val="-14"/>
          <w:sz w:val="24"/>
        </w:rPr>
        <w:t> </w:t>
      </w:r>
      <w:r>
        <w:rPr>
          <w:sz w:val="24"/>
        </w:rPr>
        <w:t>pelo</w:t>
      </w:r>
      <w:r>
        <w:rPr>
          <w:spacing w:val="-14"/>
          <w:sz w:val="24"/>
        </w:rPr>
        <w:t> </w:t>
      </w:r>
      <w:r>
        <w:rPr>
          <w:sz w:val="24"/>
        </w:rPr>
        <w:t>Conselho</w:t>
      </w:r>
      <w:r>
        <w:rPr>
          <w:spacing w:val="-13"/>
          <w:sz w:val="24"/>
        </w:rPr>
        <w:t> </w:t>
      </w:r>
      <w:r>
        <w:rPr>
          <w:sz w:val="24"/>
        </w:rPr>
        <w:t>focam</w:t>
      </w:r>
      <w:r>
        <w:rPr>
          <w:spacing w:val="-14"/>
          <w:sz w:val="24"/>
        </w:rPr>
        <w:t> </w:t>
      </w:r>
      <w:r>
        <w:rPr>
          <w:sz w:val="24"/>
        </w:rPr>
        <w:t>prioritariamente</w:t>
      </w:r>
      <w:r>
        <w:rPr>
          <w:spacing w:val="-13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Objetivos</w:t>
      </w:r>
      <w:r>
        <w:rPr>
          <w:spacing w:val="-13"/>
          <w:sz w:val="24"/>
        </w:rPr>
        <w:t> </w:t>
      </w:r>
      <w:r>
        <w:rPr>
          <w:sz w:val="24"/>
        </w:rPr>
        <w:t>Estratégicos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âmbito</w:t>
      </w:r>
      <w:r>
        <w:rPr>
          <w:spacing w:val="-13"/>
          <w:sz w:val="24"/>
        </w:rPr>
        <w:t> </w:t>
      </w:r>
      <w:r>
        <w:rPr>
          <w:sz w:val="24"/>
        </w:rPr>
        <w:t>nacional, são: </w:t>
      </w:r>
      <w:r>
        <w:rPr>
          <w:b/>
          <w:sz w:val="24"/>
        </w:rPr>
        <w:t>(i) Tornar a fiscalização um vetor de melhoria do exercício da Arquitetura e Urbanismo; (ii) Estimular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produção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Arquitetura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Urbanismo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como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política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Estado;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(iii)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Fomentar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acesso da sociedade à Arquitetura e Urbanismo. </w:t>
      </w:r>
      <w:r>
        <w:rPr>
          <w:sz w:val="24"/>
        </w:rPr>
        <w:t>Os CAU/UF e o CAU/BR também elencaram outros objetivos</w:t>
      </w:r>
      <w:r>
        <w:rPr>
          <w:spacing w:val="-2"/>
          <w:sz w:val="24"/>
        </w:rPr>
        <w:t> </w:t>
      </w:r>
      <w:r>
        <w:rPr>
          <w:sz w:val="24"/>
        </w:rPr>
        <w:t>estratégicos</w:t>
      </w:r>
      <w:r>
        <w:rPr>
          <w:spacing w:val="-2"/>
          <w:sz w:val="24"/>
        </w:rPr>
        <w:t> </w:t>
      </w:r>
      <w:r>
        <w:rPr>
          <w:sz w:val="24"/>
        </w:rPr>
        <w:t>(no</w:t>
      </w:r>
      <w:r>
        <w:rPr>
          <w:spacing w:val="-3"/>
          <w:sz w:val="24"/>
        </w:rPr>
        <w:t> </w:t>
      </w:r>
      <w:r>
        <w:rPr>
          <w:sz w:val="24"/>
        </w:rPr>
        <w:t>máximo</w:t>
      </w:r>
      <w:r>
        <w:rPr>
          <w:spacing w:val="-2"/>
          <w:sz w:val="24"/>
        </w:rPr>
        <w:t> </w:t>
      </w:r>
      <w:r>
        <w:rPr>
          <w:sz w:val="24"/>
        </w:rPr>
        <w:t>três)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atuação</w:t>
      </w:r>
      <w:r>
        <w:rPr>
          <w:spacing w:val="-2"/>
          <w:sz w:val="24"/>
        </w:rPr>
        <w:t> </w:t>
      </w:r>
      <w:r>
        <w:rPr>
          <w:sz w:val="24"/>
        </w:rPr>
        <w:t>prioritária,</w:t>
      </w:r>
      <w:r>
        <w:rPr>
          <w:spacing w:val="-1"/>
          <w:sz w:val="24"/>
        </w:rPr>
        <w:t> </w:t>
      </w:r>
      <w:r>
        <w:rPr>
          <w:sz w:val="24"/>
        </w:rPr>
        <w:t>conforme</w:t>
      </w:r>
      <w:r>
        <w:rPr>
          <w:spacing w:val="-1"/>
          <w:sz w:val="24"/>
        </w:rPr>
        <w:t> </w:t>
      </w:r>
      <w:r>
        <w:rPr>
          <w:sz w:val="24"/>
        </w:rPr>
        <w:t>demonstrado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Anexo 4</w:t>
      </w:r>
      <w:r>
        <w:rPr>
          <w:spacing w:val="-6"/>
          <w:sz w:val="24"/>
        </w:rPr>
        <w:t> </w:t>
      </w:r>
      <w:r>
        <w:rPr>
          <w:sz w:val="24"/>
        </w:rPr>
        <w:t>“Matrizes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Projetos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Atividades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Objetivo</w:t>
      </w:r>
      <w:r>
        <w:rPr>
          <w:spacing w:val="-6"/>
          <w:sz w:val="24"/>
        </w:rPr>
        <w:t> </w:t>
      </w:r>
      <w:r>
        <w:rPr>
          <w:sz w:val="24"/>
        </w:rPr>
        <w:t>Estratégico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quantidades”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nos</w:t>
      </w:r>
      <w:r>
        <w:rPr>
          <w:spacing w:val="-6"/>
          <w:sz w:val="24"/>
        </w:rPr>
        <w:t> </w:t>
      </w:r>
      <w:r>
        <w:rPr>
          <w:sz w:val="24"/>
        </w:rPr>
        <w:t>Anexos</w:t>
      </w:r>
      <w:r>
        <w:rPr>
          <w:spacing w:val="-5"/>
          <w:sz w:val="24"/>
        </w:rPr>
        <w:t> </w:t>
      </w:r>
      <w:r>
        <w:rPr>
          <w:sz w:val="24"/>
        </w:rPr>
        <w:t>4.1</w:t>
      </w:r>
      <w:r>
        <w:rPr>
          <w:spacing w:val="-4"/>
          <w:sz w:val="24"/>
        </w:rPr>
        <w:t> </w:t>
      </w:r>
      <w:r>
        <w:rPr>
          <w:sz w:val="24"/>
        </w:rPr>
        <w:t>“A Destinação dos Recursos em Valores e Percentuais”. Os objetivos estratégicos, por CAU/UF e CAU/BR, estão tratados nos próprios Mapas Estratégicos, representados a partir do Anexo 8.</w:t>
      </w:r>
    </w:p>
    <w:p>
      <w:pPr>
        <w:spacing w:line="360" w:lineRule="auto" w:before="160"/>
        <w:ind w:left="118" w:right="265" w:firstLine="851"/>
        <w:jc w:val="both"/>
        <w:rPr>
          <w:sz w:val="24"/>
        </w:rPr>
      </w:pPr>
      <w:r>
        <w:rPr>
          <w:sz w:val="24"/>
        </w:rPr>
        <w:t>Quanto à destinação de recursos estratégicos, observando os limites estabelecidos nas Diretrizes</w:t>
      </w:r>
      <w:r>
        <w:rPr>
          <w:spacing w:val="-14"/>
          <w:sz w:val="24"/>
        </w:rPr>
        <w:t> </w:t>
      </w:r>
      <w:r>
        <w:rPr>
          <w:sz w:val="24"/>
        </w:rPr>
        <w:t>da</w:t>
      </w:r>
      <w:r>
        <w:rPr>
          <w:spacing w:val="-14"/>
          <w:sz w:val="24"/>
        </w:rPr>
        <w:t> </w:t>
      </w:r>
      <w:r>
        <w:rPr>
          <w:sz w:val="24"/>
        </w:rPr>
        <w:t>Programação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4"/>
          <w:sz w:val="24"/>
        </w:rPr>
        <w:t> </w:t>
      </w:r>
      <w:r>
        <w:rPr>
          <w:sz w:val="24"/>
        </w:rPr>
        <w:t>Plano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Ação</w:t>
      </w:r>
      <w:r>
        <w:rPr>
          <w:spacing w:val="-13"/>
          <w:sz w:val="24"/>
        </w:rPr>
        <w:t> </w:t>
      </w:r>
      <w:r>
        <w:rPr>
          <w:sz w:val="24"/>
        </w:rPr>
        <w:t>2021,</w:t>
      </w:r>
      <w:r>
        <w:rPr>
          <w:spacing w:val="-14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base</w:t>
      </w:r>
      <w:r>
        <w:rPr>
          <w:spacing w:val="-13"/>
          <w:sz w:val="24"/>
        </w:rPr>
        <w:t> </w:t>
      </w:r>
      <w:r>
        <w:rPr>
          <w:sz w:val="24"/>
        </w:rPr>
        <w:t>na</w:t>
      </w:r>
      <w:r>
        <w:rPr>
          <w:spacing w:val="-14"/>
          <w:sz w:val="24"/>
        </w:rPr>
        <w:t> </w:t>
      </w:r>
      <w:r>
        <w:rPr>
          <w:sz w:val="24"/>
        </w:rPr>
        <w:t>receita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arrecadação</w:t>
      </w:r>
      <w:r>
        <w:rPr>
          <w:spacing w:val="-13"/>
          <w:sz w:val="24"/>
        </w:rPr>
        <w:t> </w:t>
      </w:r>
      <w:r>
        <w:rPr>
          <w:sz w:val="24"/>
        </w:rPr>
        <w:t>líquida</w:t>
      </w:r>
      <w:r>
        <w:rPr>
          <w:spacing w:val="-14"/>
          <w:sz w:val="24"/>
        </w:rPr>
        <w:t> </w:t>
      </w:r>
      <w:r>
        <w:rPr>
          <w:sz w:val="24"/>
        </w:rPr>
        <w:t>(RAL), composta por anuidade de R$ 172,72 milhões, o CAU atende os respectivos percentuais e valores, como</w:t>
      </w:r>
      <w:r>
        <w:rPr>
          <w:spacing w:val="-2"/>
          <w:sz w:val="24"/>
        </w:rPr>
        <w:t> </w:t>
      </w:r>
      <w:r>
        <w:rPr>
          <w:sz w:val="24"/>
        </w:rPr>
        <w:t>segue:</w:t>
      </w:r>
      <w:r>
        <w:rPr>
          <w:spacing w:val="-2"/>
          <w:sz w:val="24"/>
        </w:rPr>
        <w:t> </w:t>
      </w:r>
      <w:r>
        <w:rPr>
          <w:b/>
          <w:sz w:val="24"/>
        </w:rPr>
        <w:t>Fiscalização</w:t>
      </w:r>
      <w:r>
        <w:rPr>
          <w:b/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26,7</w:t>
      </w:r>
      <w:r>
        <w:rPr>
          <w:b/>
          <w:sz w:val="24"/>
        </w:rPr>
        <w:t>%</w:t>
      </w:r>
      <w:r>
        <w:rPr>
          <w:b/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RAL,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R$</w:t>
      </w:r>
      <w:r>
        <w:rPr>
          <w:spacing w:val="-2"/>
          <w:sz w:val="24"/>
        </w:rPr>
        <w:t> </w:t>
      </w:r>
      <w:r>
        <w:rPr>
          <w:sz w:val="24"/>
        </w:rPr>
        <w:t>46,11</w:t>
      </w:r>
      <w:r>
        <w:rPr>
          <w:spacing w:val="-2"/>
          <w:sz w:val="24"/>
        </w:rPr>
        <w:t> </w:t>
      </w:r>
      <w:r>
        <w:rPr>
          <w:sz w:val="24"/>
        </w:rPr>
        <w:t>milhões;</w:t>
      </w:r>
      <w:r>
        <w:rPr>
          <w:spacing w:val="-3"/>
          <w:sz w:val="24"/>
        </w:rPr>
        <w:t> </w:t>
      </w:r>
      <w:r>
        <w:rPr>
          <w:b/>
          <w:sz w:val="24"/>
        </w:rPr>
        <w:t>Atendimento</w:t>
      </w:r>
      <w:r>
        <w:rPr>
          <w:b/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17,2</w:t>
      </w:r>
      <w:r>
        <w:rPr>
          <w:b/>
          <w:sz w:val="24"/>
        </w:rPr>
        <w:t>%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R$ 29,72 milhões; </w:t>
      </w:r>
      <w:r>
        <w:rPr>
          <w:b/>
          <w:sz w:val="24"/>
        </w:rPr>
        <w:t>Comunicação </w:t>
      </w:r>
      <w:r>
        <w:rPr>
          <w:sz w:val="24"/>
        </w:rPr>
        <w:t>com </w:t>
      </w:r>
      <w:r>
        <w:rPr>
          <w:b/>
          <w:sz w:val="24"/>
        </w:rPr>
        <w:t>7,0%</w:t>
      </w:r>
      <w:r>
        <w:rPr>
          <w:sz w:val="24"/>
        </w:rPr>
        <w:t>, ou R$ 12,11 milhões; </w:t>
      </w:r>
      <w:r>
        <w:rPr>
          <w:b/>
          <w:sz w:val="24"/>
        </w:rPr>
        <w:t>Patrocínios </w:t>
      </w:r>
      <w:r>
        <w:rPr>
          <w:sz w:val="24"/>
        </w:rPr>
        <w:t>com 1,8</w:t>
      </w:r>
      <w:r>
        <w:rPr>
          <w:b/>
          <w:sz w:val="24"/>
        </w:rPr>
        <w:t>%, ou R$ 3,13 milhões</w:t>
      </w:r>
      <w:r>
        <w:rPr>
          <w:sz w:val="24"/>
        </w:rPr>
        <w:t>;</w:t>
      </w:r>
      <w:r>
        <w:rPr>
          <w:spacing w:val="-8"/>
          <w:sz w:val="24"/>
        </w:rPr>
        <w:t> </w:t>
      </w:r>
      <w:r>
        <w:rPr>
          <w:b/>
          <w:sz w:val="24"/>
        </w:rPr>
        <w:t>Objetivos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Estratégicos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Locais</w:t>
      </w:r>
      <w:r>
        <w:rPr>
          <w:b/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44</w:t>
      </w:r>
      <w:r>
        <w:rPr>
          <w:b/>
          <w:sz w:val="24"/>
        </w:rPr>
        <w:t>,4%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ou</w:t>
      </w:r>
      <w:r>
        <w:rPr>
          <w:spacing w:val="-9"/>
          <w:sz w:val="24"/>
        </w:rPr>
        <w:t> </w:t>
      </w:r>
      <w:r>
        <w:rPr>
          <w:sz w:val="24"/>
        </w:rPr>
        <w:t>R$</w:t>
      </w:r>
      <w:r>
        <w:rPr>
          <w:spacing w:val="-9"/>
          <w:sz w:val="24"/>
        </w:rPr>
        <w:t> </w:t>
      </w:r>
      <w:r>
        <w:rPr>
          <w:sz w:val="24"/>
        </w:rPr>
        <w:t>76,64</w:t>
      </w:r>
      <w:r>
        <w:rPr>
          <w:spacing w:val="-9"/>
          <w:sz w:val="24"/>
        </w:rPr>
        <w:t> </w:t>
      </w:r>
      <w:r>
        <w:rPr>
          <w:sz w:val="24"/>
        </w:rPr>
        <w:t>milhões;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b/>
          <w:sz w:val="24"/>
        </w:rPr>
        <w:t>2,8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%</w:t>
      </w:r>
      <w:r>
        <w:rPr>
          <w:b/>
          <w:spacing w:val="-9"/>
          <w:sz w:val="24"/>
        </w:rPr>
        <w:t> </w:t>
      </w:r>
      <w:r>
        <w:rPr>
          <w:sz w:val="24"/>
        </w:rPr>
        <w:t>ou</w:t>
      </w:r>
      <w:r>
        <w:rPr>
          <w:spacing w:val="-9"/>
          <w:sz w:val="24"/>
        </w:rPr>
        <w:t> </w:t>
      </w:r>
      <w:r>
        <w:rPr>
          <w:sz w:val="24"/>
        </w:rPr>
        <w:t>R$</w:t>
      </w:r>
      <w:r>
        <w:rPr>
          <w:spacing w:val="-10"/>
          <w:sz w:val="24"/>
        </w:rPr>
        <w:t> </w:t>
      </w:r>
      <w:r>
        <w:rPr>
          <w:sz w:val="24"/>
        </w:rPr>
        <w:t>4,80</w:t>
      </w:r>
      <w:r>
        <w:rPr>
          <w:spacing w:val="-9"/>
          <w:sz w:val="24"/>
        </w:rPr>
        <w:t> </w:t>
      </w:r>
      <w:r>
        <w:rPr>
          <w:sz w:val="24"/>
        </w:rPr>
        <w:t>milhões direcionados para </w:t>
      </w:r>
      <w:r>
        <w:rPr>
          <w:b/>
          <w:sz w:val="24"/>
        </w:rPr>
        <w:t>Assistência Técnica em Habitações de Interesse Social - ATHIS, </w:t>
      </w:r>
      <w:r>
        <w:rPr>
          <w:sz w:val="24"/>
        </w:rPr>
        <w:t>conforme demonstrado e detalhado, por CAU/UF e CAU/BR, no Anexo 7. Para </w:t>
      </w:r>
      <w:r>
        <w:rPr>
          <w:b/>
          <w:sz w:val="24"/>
        </w:rPr>
        <w:t>Reserva de Contingência </w:t>
      </w:r>
      <w:r>
        <w:rPr>
          <w:sz w:val="24"/>
        </w:rPr>
        <w:t>os recursos destinados são de R$ 2,65 milhão, ou </w:t>
      </w:r>
      <w:r>
        <w:rPr>
          <w:b/>
          <w:sz w:val="24"/>
        </w:rPr>
        <w:t>1,5% </w:t>
      </w:r>
      <w:r>
        <w:rPr>
          <w:sz w:val="24"/>
        </w:rPr>
        <w:t>da RAL (Anexo 7).</w:t>
      </w:r>
    </w:p>
    <w:p>
      <w:pPr>
        <w:pStyle w:val="BodyText"/>
        <w:spacing w:line="360" w:lineRule="auto" w:before="160"/>
        <w:ind w:left="118" w:right="267" w:firstLine="851"/>
        <w:jc w:val="both"/>
      </w:pPr>
      <w:r>
        <w:rPr/>
        <w:t>Para as iniciativas em </w:t>
      </w:r>
      <w:r>
        <w:rPr>
          <w:b/>
        </w:rPr>
        <w:t>Capacitação</w:t>
      </w:r>
      <w:r>
        <w:rPr/>
        <w:t>, de conselheiros e do corpo funcional do CAU, são destinados </w:t>
      </w:r>
      <w:r>
        <w:rPr>
          <w:b/>
        </w:rPr>
        <w:t>1,5%</w:t>
      </w:r>
      <w:r>
        <w:rPr/>
        <w:t>, ou R$ 1,53 milhão, considerando o total de gastos com a folha de pagamentos (salários, encargos e benefícios), ou R$ 103,98 milhões.</w:t>
      </w:r>
    </w:p>
    <w:p>
      <w:pPr>
        <w:pStyle w:val="BodyText"/>
        <w:spacing w:line="360" w:lineRule="auto" w:before="160"/>
        <w:ind w:left="118" w:right="267" w:firstLine="851"/>
        <w:jc w:val="both"/>
      </w:pPr>
      <w:r>
        <w:rPr/>
        <w:t>No tocante aos limites de aplicações em </w:t>
      </w:r>
      <w:r>
        <w:rPr>
          <w:b/>
        </w:rPr>
        <w:t>Pessoal </w:t>
      </w:r>
      <w:r>
        <w:rPr/>
        <w:t>(salários e encargos), considerando que para o cálculo do índice não são considerados os valores destinados a rescisões contratuais e benefícios concedidos (totalizando R$ 16,00 milhões), estão sendo destinados recursos no montante de R$ 87,98 milhões, ou </w:t>
      </w:r>
      <w:r>
        <w:rPr>
          <w:b/>
        </w:rPr>
        <w:t>45,9% </w:t>
      </w:r>
      <w:r>
        <w:rPr/>
        <w:t>das receitas correntes (R$ 191,55 milhões), conforme demonstrado no Anexo 6.</w:t>
      </w:r>
    </w:p>
    <w:p>
      <w:pPr>
        <w:spacing w:line="360" w:lineRule="auto" w:before="161"/>
        <w:ind w:left="118" w:right="265" w:firstLine="851"/>
        <w:jc w:val="both"/>
        <w:rPr>
          <w:b/>
          <w:sz w:val="24"/>
        </w:rPr>
      </w:pPr>
      <w:r>
        <w:rPr>
          <w:sz w:val="24"/>
        </w:rPr>
        <w:t>O CAU/BR, que contempla uma receita de arrecadação do exercício líquida (RAL) no total de</w:t>
      </w:r>
      <w:r>
        <w:rPr>
          <w:spacing w:val="-10"/>
          <w:sz w:val="24"/>
        </w:rPr>
        <w:t> </w:t>
      </w:r>
      <w:r>
        <w:rPr>
          <w:sz w:val="24"/>
        </w:rPr>
        <w:t>R$</w:t>
      </w:r>
      <w:r>
        <w:rPr>
          <w:spacing w:val="-10"/>
          <w:sz w:val="24"/>
        </w:rPr>
        <w:t> </w:t>
      </w:r>
      <w:r>
        <w:rPr>
          <w:sz w:val="24"/>
        </w:rPr>
        <w:t>33,65</w:t>
      </w:r>
      <w:r>
        <w:rPr>
          <w:spacing w:val="-8"/>
          <w:sz w:val="24"/>
        </w:rPr>
        <w:t> </w:t>
      </w:r>
      <w:r>
        <w:rPr>
          <w:sz w:val="24"/>
        </w:rPr>
        <w:t>milhões,</w:t>
      </w:r>
      <w:r>
        <w:rPr>
          <w:spacing w:val="-10"/>
          <w:sz w:val="24"/>
        </w:rPr>
        <w:t> </w:t>
      </w:r>
      <w:r>
        <w:rPr>
          <w:sz w:val="24"/>
        </w:rPr>
        <w:t>apresenta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destinações</w:t>
      </w:r>
      <w:r>
        <w:rPr>
          <w:spacing w:val="-10"/>
          <w:sz w:val="24"/>
        </w:rPr>
        <w:t> </w:t>
      </w:r>
      <w:r>
        <w:rPr>
          <w:sz w:val="24"/>
        </w:rPr>
        <w:t>estratégicas</w:t>
      </w:r>
      <w:r>
        <w:rPr>
          <w:spacing w:val="-10"/>
          <w:sz w:val="24"/>
        </w:rPr>
        <w:t> </w:t>
      </w:r>
      <w:r>
        <w:rPr>
          <w:sz w:val="24"/>
        </w:rPr>
        <w:t>dimensionadas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atendidas,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9"/>
          <w:sz w:val="24"/>
        </w:rPr>
        <w:t> </w:t>
      </w:r>
      <w:r>
        <w:rPr>
          <w:sz w:val="24"/>
        </w:rPr>
        <w:t>seguinte forma: </w:t>
      </w:r>
      <w:r>
        <w:rPr>
          <w:b/>
          <w:sz w:val="24"/>
        </w:rPr>
        <w:t>Fiscalização </w:t>
      </w:r>
      <w:r>
        <w:rPr>
          <w:sz w:val="24"/>
        </w:rPr>
        <w:t>com 18,5</w:t>
      </w:r>
      <w:r>
        <w:rPr>
          <w:b/>
          <w:sz w:val="24"/>
        </w:rPr>
        <w:t>% </w:t>
      </w:r>
      <w:r>
        <w:rPr>
          <w:sz w:val="24"/>
        </w:rPr>
        <w:t>ou R$ 6,24 milhões; </w:t>
      </w:r>
      <w:r>
        <w:rPr>
          <w:b/>
          <w:sz w:val="24"/>
        </w:rPr>
        <w:t>Atendimento </w:t>
      </w:r>
      <w:r>
        <w:rPr>
          <w:sz w:val="24"/>
        </w:rPr>
        <w:t>com </w:t>
      </w:r>
      <w:r>
        <w:rPr>
          <w:b/>
          <w:sz w:val="24"/>
        </w:rPr>
        <w:t>21,9% </w:t>
      </w:r>
      <w:r>
        <w:rPr>
          <w:sz w:val="24"/>
        </w:rPr>
        <w:t>ou R$ 7,37 milhões; </w:t>
      </w:r>
      <w:r>
        <w:rPr>
          <w:b/>
          <w:sz w:val="24"/>
        </w:rPr>
        <w:t>10,7%</w:t>
      </w:r>
      <w:r>
        <w:rPr>
          <w:b/>
          <w:spacing w:val="37"/>
          <w:sz w:val="24"/>
        </w:rPr>
        <w:t> </w:t>
      </w:r>
      <w:r>
        <w:rPr>
          <w:sz w:val="24"/>
        </w:rPr>
        <w:t>ou</w:t>
      </w:r>
      <w:r>
        <w:rPr>
          <w:spacing w:val="36"/>
          <w:sz w:val="24"/>
        </w:rPr>
        <w:t> </w:t>
      </w:r>
      <w:r>
        <w:rPr>
          <w:sz w:val="24"/>
        </w:rPr>
        <w:t>R$</w:t>
      </w:r>
      <w:r>
        <w:rPr>
          <w:spacing w:val="37"/>
          <w:sz w:val="24"/>
        </w:rPr>
        <w:t> </w:t>
      </w:r>
      <w:r>
        <w:rPr>
          <w:sz w:val="24"/>
        </w:rPr>
        <w:t>3,61</w:t>
      </w:r>
      <w:r>
        <w:rPr>
          <w:spacing w:val="36"/>
          <w:sz w:val="24"/>
        </w:rPr>
        <w:t> </w:t>
      </w:r>
      <w:r>
        <w:rPr>
          <w:sz w:val="24"/>
        </w:rPr>
        <w:t>milhões</w:t>
      </w:r>
      <w:r>
        <w:rPr>
          <w:spacing w:val="36"/>
          <w:sz w:val="24"/>
        </w:rPr>
        <w:t> </w:t>
      </w:r>
      <w:r>
        <w:rPr>
          <w:sz w:val="24"/>
        </w:rPr>
        <w:t>para</w:t>
      </w:r>
      <w:r>
        <w:rPr>
          <w:spacing w:val="37"/>
          <w:sz w:val="24"/>
        </w:rPr>
        <w:t> </w:t>
      </w:r>
      <w:r>
        <w:rPr>
          <w:b/>
          <w:sz w:val="24"/>
        </w:rPr>
        <w:t>Comunicação</w:t>
      </w:r>
      <w:r>
        <w:rPr>
          <w:sz w:val="24"/>
        </w:rPr>
        <w:t>;</w:t>
      </w:r>
      <w:r>
        <w:rPr>
          <w:spacing w:val="36"/>
          <w:sz w:val="24"/>
        </w:rPr>
        <w:t> </w:t>
      </w:r>
      <w:r>
        <w:rPr>
          <w:sz w:val="24"/>
        </w:rPr>
        <w:t>para</w:t>
      </w:r>
      <w:r>
        <w:rPr>
          <w:spacing w:val="37"/>
          <w:sz w:val="24"/>
        </w:rPr>
        <w:t> </w:t>
      </w:r>
      <w:r>
        <w:rPr>
          <w:sz w:val="24"/>
        </w:rPr>
        <w:t>os</w:t>
      </w:r>
      <w:r>
        <w:rPr>
          <w:spacing w:val="37"/>
          <w:sz w:val="24"/>
        </w:rPr>
        <w:t> </w:t>
      </w:r>
      <w:r>
        <w:rPr>
          <w:b/>
          <w:sz w:val="24"/>
        </w:rPr>
        <w:t>Objetivos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estratégicos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elencados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como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16" w:footer="442" w:top="1540" w:bottom="640" w:left="1300" w:right="580"/>
        </w:sectPr>
      </w:pPr>
    </w:p>
    <w:p>
      <w:pPr>
        <w:pStyle w:val="BodyText"/>
        <w:spacing w:line="360" w:lineRule="auto" w:before="45"/>
        <w:ind w:left="118" w:right="266"/>
        <w:jc w:val="both"/>
      </w:pPr>
      <w:r>
        <w:rPr>
          <w:b/>
        </w:rPr>
        <w:t>prioritários </w:t>
      </w:r>
      <w:r>
        <w:rPr/>
        <w:t>pelo CAU/BR, “Estimular o conhecimento, o uso de processos criativos e a difusão das melhores</w:t>
      </w:r>
      <w:r>
        <w:rPr>
          <w:spacing w:val="-10"/>
        </w:rPr>
        <w:t> </w:t>
      </w:r>
      <w:r>
        <w:rPr/>
        <w:t>práticas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Arquitetura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Urbanismo”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“Ter</w:t>
      </w:r>
      <w:r>
        <w:rPr>
          <w:spacing w:val="-10"/>
        </w:rPr>
        <w:t> </w:t>
      </w:r>
      <w:r>
        <w:rPr/>
        <w:t>sistemas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informação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infraestrutura</w:t>
      </w:r>
      <w:r>
        <w:rPr>
          <w:spacing w:val="-10"/>
        </w:rPr>
        <w:t> </w:t>
      </w:r>
      <w:r>
        <w:rPr/>
        <w:t>que viabilizem a gestão e o atendimento dos arquitetos e urbanistas e a sociedade”, com recursos no montante de R$ 17,91 milhões, ou </w:t>
      </w:r>
      <w:r>
        <w:rPr>
          <w:b/>
        </w:rPr>
        <w:t>53,2% </w:t>
      </w:r>
      <w:r>
        <w:rPr/>
        <w:t>da RAL.</w:t>
      </w:r>
    </w:p>
    <w:p>
      <w:pPr>
        <w:pStyle w:val="BodyText"/>
        <w:spacing w:line="360" w:lineRule="auto" w:before="160"/>
        <w:ind w:left="118" w:right="266" w:firstLine="851"/>
        <w:jc w:val="both"/>
      </w:pPr>
      <w:r>
        <w:rPr/>
        <w:t>Para o objetivo estratégico de “Fomentar o Acesso da Sociedade à Arquitetura e Urbanismo”, no âmbito da ATHIS, os recursos envolvidos são de R$ 672,93 mil, ou </w:t>
      </w:r>
      <w:r>
        <w:rPr>
          <w:b/>
        </w:rPr>
        <w:t>2,0%</w:t>
      </w:r>
      <w:r>
        <w:rPr/>
        <w:t>. Para </w:t>
      </w:r>
      <w:r>
        <w:rPr>
          <w:b/>
        </w:rPr>
        <w:t>capacitação </w:t>
      </w:r>
      <w:r>
        <w:rPr/>
        <w:t>são destinados </w:t>
      </w:r>
      <w:r>
        <w:rPr>
          <w:b/>
        </w:rPr>
        <w:t>0,8% </w:t>
      </w:r>
      <w:r>
        <w:rPr/>
        <w:t>ou R$ 181,33 mil, considerando que o total da folha de pagamentos monta em R$ 24,14 milhões, conforme demonstrado nos anexos 4.1 e 7. Cabe mencionar</w:t>
      </w:r>
      <w:r>
        <w:rPr>
          <w:spacing w:val="-14"/>
        </w:rPr>
        <w:t> </w:t>
      </w:r>
      <w:r>
        <w:rPr/>
        <w:t>que,</w:t>
      </w:r>
      <w:r>
        <w:rPr>
          <w:spacing w:val="-14"/>
        </w:rPr>
        <w:t> </w:t>
      </w:r>
      <w:r>
        <w:rPr/>
        <w:t>frente</w:t>
      </w:r>
      <w:r>
        <w:rPr>
          <w:spacing w:val="-13"/>
        </w:rPr>
        <w:t> </w:t>
      </w:r>
      <w:r>
        <w:rPr/>
        <w:t>às</w:t>
      </w:r>
      <w:r>
        <w:rPr>
          <w:spacing w:val="-14"/>
        </w:rPr>
        <w:t> </w:t>
      </w:r>
      <w:r>
        <w:rPr/>
        <w:t>prioridades</w:t>
      </w:r>
      <w:r>
        <w:rPr>
          <w:spacing w:val="-13"/>
        </w:rPr>
        <w:t> </w:t>
      </w:r>
      <w:r>
        <w:rPr/>
        <w:t>estratégicas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atuação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CAU/BR,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2021,</w:t>
      </w:r>
      <w:r>
        <w:rPr>
          <w:spacing w:val="-13"/>
        </w:rPr>
        <w:t> </w:t>
      </w:r>
      <w:r>
        <w:rPr/>
        <w:t>não</w:t>
      </w:r>
      <w:r>
        <w:rPr>
          <w:spacing w:val="-13"/>
        </w:rPr>
        <w:t> </w:t>
      </w:r>
      <w:r>
        <w:rPr/>
        <w:t>estão</w:t>
      </w:r>
      <w:r>
        <w:rPr>
          <w:spacing w:val="-13"/>
        </w:rPr>
        <w:t> </w:t>
      </w:r>
      <w:r>
        <w:rPr/>
        <w:t>sendo direcionados recursos, em sua programação, para Patrocínios.</w:t>
      </w:r>
    </w:p>
    <w:p>
      <w:pPr>
        <w:pStyle w:val="BodyText"/>
        <w:spacing w:line="360" w:lineRule="auto" w:before="160"/>
        <w:ind w:left="118" w:right="266" w:firstLine="851"/>
        <w:jc w:val="both"/>
      </w:pPr>
      <w:r>
        <w:rPr/>
        <w:t>No</w:t>
      </w:r>
      <w:r>
        <w:rPr>
          <w:spacing w:val="-12"/>
        </w:rPr>
        <w:t> </w:t>
      </w:r>
      <w:r>
        <w:rPr/>
        <w:t>tocante</w:t>
      </w:r>
      <w:r>
        <w:rPr>
          <w:spacing w:val="-10"/>
        </w:rPr>
        <w:t> </w:t>
      </w:r>
      <w:r>
        <w:rPr/>
        <w:t>aos</w:t>
      </w:r>
      <w:r>
        <w:rPr>
          <w:spacing w:val="-12"/>
        </w:rPr>
        <w:t> </w:t>
      </w:r>
      <w:r>
        <w:rPr/>
        <w:t>gastos</w:t>
      </w:r>
      <w:r>
        <w:rPr>
          <w:spacing w:val="-12"/>
        </w:rPr>
        <w:t> </w:t>
      </w:r>
      <w:r>
        <w:rPr/>
        <w:t>com</w:t>
      </w:r>
      <w:r>
        <w:rPr>
          <w:spacing w:val="-10"/>
        </w:rPr>
        <w:t> </w:t>
      </w:r>
      <w:r>
        <w:rPr>
          <w:b/>
        </w:rPr>
        <w:t>pessoal</w:t>
      </w:r>
      <w:r>
        <w:rPr>
          <w:b/>
          <w:spacing w:val="-12"/>
        </w:rPr>
        <w:t> </w:t>
      </w:r>
      <w:r>
        <w:rPr/>
        <w:t>(salários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encargos</w:t>
      </w:r>
      <w:r>
        <w:rPr>
          <w:spacing w:val="-11"/>
        </w:rPr>
        <w:t> </w:t>
      </w:r>
      <w:r>
        <w:rPr/>
        <w:t>sociais),</w:t>
      </w:r>
      <w:r>
        <w:rPr>
          <w:spacing w:val="-10"/>
        </w:rPr>
        <w:t> </w:t>
      </w:r>
      <w:r>
        <w:rPr/>
        <w:t>verifica-se</w:t>
      </w:r>
      <w:r>
        <w:rPr>
          <w:spacing w:val="-11"/>
        </w:rPr>
        <w:t> </w:t>
      </w:r>
      <w:r>
        <w:rPr/>
        <w:t>uma</w:t>
      </w:r>
      <w:r>
        <w:rPr>
          <w:spacing w:val="-11"/>
        </w:rPr>
        <w:t> </w:t>
      </w:r>
      <w:r>
        <w:rPr/>
        <w:t>destinação líquida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R$</w:t>
      </w:r>
      <w:r>
        <w:rPr>
          <w:spacing w:val="10"/>
        </w:rPr>
        <w:t> </w:t>
      </w:r>
      <w:r>
        <w:rPr/>
        <w:t>20,43</w:t>
      </w:r>
      <w:r>
        <w:rPr>
          <w:spacing w:val="11"/>
        </w:rPr>
        <w:t> </w:t>
      </w:r>
      <w:r>
        <w:rPr/>
        <w:t>milhões,</w:t>
      </w:r>
      <w:r>
        <w:rPr>
          <w:spacing w:val="10"/>
        </w:rPr>
        <w:t> </w:t>
      </w:r>
      <w:r>
        <w:rPr/>
        <w:t>ou</w:t>
      </w:r>
      <w:r>
        <w:rPr>
          <w:spacing w:val="11"/>
        </w:rPr>
        <w:t> </w:t>
      </w:r>
      <w:r>
        <w:rPr>
          <w:b/>
        </w:rPr>
        <w:t>45,8%</w:t>
      </w:r>
      <w:r>
        <w:rPr>
          <w:b/>
          <w:spacing w:val="10"/>
        </w:rPr>
        <w:t> </w:t>
      </w:r>
      <w:r>
        <w:rPr/>
        <w:t>das</w:t>
      </w:r>
      <w:r>
        <w:rPr>
          <w:spacing w:val="10"/>
        </w:rPr>
        <w:t> </w:t>
      </w:r>
      <w:r>
        <w:rPr/>
        <w:t>receitas</w:t>
      </w:r>
      <w:r>
        <w:rPr>
          <w:spacing w:val="10"/>
        </w:rPr>
        <w:t> </w:t>
      </w:r>
      <w:r>
        <w:rPr/>
        <w:t>correntes,</w:t>
      </w:r>
      <w:r>
        <w:rPr>
          <w:spacing w:val="10"/>
        </w:rPr>
        <w:t> </w:t>
      </w:r>
      <w:r>
        <w:rPr/>
        <w:t>representando</w:t>
      </w:r>
      <w:r>
        <w:rPr>
          <w:spacing w:val="10"/>
        </w:rPr>
        <w:t> </w:t>
      </w:r>
      <w:r>
        <w:rPr/>
        <w:t>uma</w:t>
      </w:r>
      <w:r>
        <w:rPr>
          <w:spacing w:val="10"/>
        </w:rPr>
        <w:t> </w:t>
      </w:r>
      <w:r>
        <w:rPr/>
        <w:t>redução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5"/>
        </w:rPr>
        <w:t>3,6</w:t>
      </w:r>
    </w:p>
    <w:p>
      <w:pPr>
        <w:pStyle w:val="BodyText"/>
        <w:spacing w:line="360" w:lineRule="auto"/>
        <w:ind w:left="118" w:right="265"/>
        <w:jc w:val="both"/>
      </w:pPr>
      <w:r>
        <w:rPr/>
        <w:t>p.p.</w:t>
      </w:r>
      <w:r>
        <w:rPr>
          <w:spacing w:val="-9"/>
        </w:rPr>
        <w:t> </w:t>
      </w:r>
      <w:r>
        <w:rPr/>
        <w:t>frente</w:t>
      </w:r>
      <w:r>
        <w:rPr>
          <w:spacing w:val="-8"/>
        </w:rPr>
        <w:t> </w:t>
      </w:r>
      <w:r>
        <w:rPr/>
        <w:t>ao</w:t>
      </w:r>
      <w:r>
        <w:rPr>
          <w:spacing w:val="-9"/>
        </w:rPr>
        <w:t> </w:t>
      </w:r>
      <w:r>
        <w:rPr/>
        <w:t>previsto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Reprogramação</w:t>
      </w:r>
      <w:r>
        <w:rPr>
          <w:spacing w:val="-9"/>
        </w:rPr>
        <w:t> </w:t>
      </w:r>
      <w:r>
        <w:rPr/>
        <w:t>2020</w:t>
      </w:r>
      <w:r>
        <w:rPr>
          <w:spacing w:val="-9"/>
        </w:rPr>
        <w:t> </w:t>
      </w:r>
      <w:r>
        <w:rPr/>
        <w:t>(49,4%),</w:t>
      </w:r>
      <w:r>
        <w:rPr>
          <w:spacing w:val="-7"/>
        </w:rPr>
        <w:t> </w:t>
      </w:r>
      <w:r>
        <w:rPr/>
        <w:t>conforme</w:t>
      </w:r>
      <w:r>
        <w:rPr>
          <w:spacing w:val="-8"/>
        </w:rPr>
        <w:t> </w:t>
      </w:r>
      <w:r>
        <w:rPr/>
        <w:t>demonstrado</w:t>
      </w:r>
      <w:r>
        <w:rPr>
          <w:spacing w:val="-9"/>
        </w:rPr>
        <w:t> </w:t>
      </w:r>
      <w:r>
        <w:rPr/>
        <w:t>nos</w:t>
      </w:r>
      <w:r>
        <w:rPr>
          <w:spacing w:val="-9"/>
        </w:rPr>
        <w:t> </w:t>
      </w:r>
      <w:r>
        <w:rPr/>
        <w:t>anexos</w:t>
      </w:r>
      <w:r>
        <w:rPr>
          <w:spacing w:val="-9"/>
        </w:rPr>
        <w:t> </w:t>
      </w:r>
      <w:r>
        <w:rPr/>
        <w:t>4.1 e</w:t>
      </w:r>
      <w:r>
        <w:rPr>
          <w:spacing w:val="-11"/>
        </w:rPr>
        <w:t> </w:t>
      </w:r>
      <w:r>
        <w:rPr/>
        <w:t>6.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descontos</w:t>
      </w:r>
      <w:r>
        <w:rPr>
          <w:spacing w:val="-13"/>
        </w:rPr>
        <w:t> </w:t>
      </w:r>
      <w:r>
        <w:rPr/>
        <w:t>apontados</w:t>
      </w:r>
      <w:r>
        <w:rPr>
          <w:spacing w:val="-13"/>
        </w:rPr>
        <w:t> </w:t>
      </w:r>
      <w:r>
        <w:rPr/>
        <w:t>pelo</w:t>
      </w:r>
      <w:r>
        <w:rPr>
          <w:spacing w:val="-12"/>
        </w:rPr>
        <w:t> </w:t>
      </w:r>
      <w:r>
        <w:rPr/>
        <w:t>CAU/BR</w:t>
      </w:r>
      <w:r>
        <w:rPr>
          <w:spacing w:val="-12"/>
        </w:rPr>
        <w:t> </w:t>
      </w:r>
      <w:r>
        <w:rPr/>
        <w:t>referem-se</w:t>
      </w:r>
      <w:r>
        <w:rPr>
          <w:spacing w:val="-12"/>
        </w:rPr>
        <w:t> </w:t>
      </w:r>
      <w:r>
        <w:rPr/>
        <w:t>aos</w:t>
      </w:r>
      <w:r>
        <w:rPr>
          <w:spacing w:val="-13"/>
        </w:rPr>
        <w:t> </w:t>
      </w:r>
      <w:r>
        <w:rPr/>
        <w:t>benefícios</w:t>
      </w:r>
      <w:r>
        <w:rPr>
          <w:spacing w:val="-13"/>
        </w:rPr>
        <w:t> </w:t>
      </w:r>
      <w:r>
        <w:rPr/>
        <w:t>concedidos:</w:t>
      </w:r>
      <w:r>
        <w:rPr>
          <w:spacing w:val="-11"/>
        </w:rPr>
        <w:t> </w:t>
      </w:r>
      <w:r>
        <w:rPr/>
        <w:t>auxílio</w:t>
      </w:r>
      <w:r>
        <w:rPr>
          <w:spacing w:val="-12"/>
        </w:rPr>
        <w:t> </w:t>
      </w:r>
      <w:r>
        <w:rPr/>
        <w:t>transporte, auxílio alimentação, auxílio creche, plano de saúde e odontológico. Cabe ressaltar que o valor destinado a efetivação da "Implantação da CTO" (Reestruturação do organograma) do CAU/BR no valor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R$</w:t>
      </w:r>
      <w:r>
        <w:rPr>
          <w:spacing w:val="-8"/>
        </w:rPr>
        <w:t> </w:t>
      </w:r>
      <w:r>
        <w:rPr/>
        <w:t>187.284,50</w:t>
      </w:r>
      <w:r>
        <w:rPr>
          <w:spacing w:val="-7"/>
        </w:rPr>
        <w:t> </w:t>
      </w:r>
      <w:r>
        <w:rPr/>
        <w:t>não</w:t>
      </w:r>
      <w:r>
        <w:rPr>
          <w:spacing w:val="-8"/>
        </w:rPr>
        <w:t> </w:t>
      </w:r>
      <w:r>
        <w:rPr/>
        <w:t>foi</w:t>
      </w:r>
      <w:r>
        <w:rPr>
          <w:spacing w:val="-7"/>
        </w:rPr>
        <w:t> </w:t>
      </w:r>
      <w:r>
        <w:rPr/>
        <w:t>considerado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cálculo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Pessoal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Encargos</w:t>
      </w:r>
      <w:r>
        <w:rPr>
          <w:spacing w:val="-8"/>
        </w:rPr>
        <w:t> </w:t>
      </w:r>
      <w:r>
        <w:rPr/>
        <w:t>e</w:t>
      </w:r>
      <w:r>
        <w:rPr>
          <w:spacing w:val="-5"/>
        </w:rPr>
        <w:t> </w:t>
      </w:r>
      <w:r>
        <w:rPr/>
        <w:t>será</w:t>
      </w:r>
      <w:r>
        <w:rPr>
          <w:spacing w:val="-7"/>
        </w:rPr>
        <w:t> </w:t>
      </w:r>
      <w:r>
        <w:rPr/>
        <w:t>considerado após a efetivação da contratação dos novos colaboradores.</w:t>
      </w:r>
    </w:p>
    <w:p>
      <w:pPr>
        <w:spacing w:line="360" w:lineRule="auto" w:before="160"/>
        <w:ind w:left="118" w:right="265" w:firstLine="851"/>
        <w:jc w:val="both"/>
        <w:rPr>
          <w:sz w:val="24"/>
        </w:rPr>
      </w:pPr>
      <w:r>
        <w:rPr>
          <w:sz w:val="24"/>
        </w:rPr>
        <w:t>Os </w:t>
      </w:r>
      <w:r>
        <w:rPr>
          <w:b/>
          <w:sz w:val="24"/>
        </w:rPr>
        <w:t>CAU/UF</w:t>
      </w:r>
      <w:r>
        <w:rPr>
          <w:sz w:val="24"/>
        </w:rPr>
        <w:t>, que respondem por uma receita de arrecadação líquida (RAL) no valor de R$139,08 milhões, apresentam as destinações estratégicas dimensionadas e atendidas, com base na RAL, da seguinte forma: </w:t>
      </w:r>
      <w:r>
        <w:rPr>
          <w:b/>
          <w:sz w:val="24"/>
        </w:rPr>
        <w:t>28,7%, </w:t>
      </w:r>
      <w:r>
        <w:rPr>
          <w:sz w:val="24"/>
        </w:rPr>
        <w:t>ou R$ 39,87 milhões, para F</w:t>
      </w:r>
      <w:r>
        <w:rPr>
          <w:b/>
          <w:sz w:val="24"/>
        </w:rPr>
        <w:t>iscalização</w:t>
      </w:r>
      <w:r>
        <w:rPr>
          <w:sz w:val="24"/>
        </w:rPr>
        <w:t>; </w:t>
      </w:r>
      <w:r>
        <w:rPr>
          <w:b/>
          <w:sz w:val="24"/>
        </w:rPr>
        <w:t>16,1%, </w:t>
      </w:r>
      <w:r>
        <w:rPr>
          <w:sz w:val="24"/>
        </w:rPr>
        <w:t>ou R$ 22,35 milhões, para A</w:t>
      </w:r>
      <w:r>
        <w:rPr>
          <w:b/>
          <w:sz w:val="24"/>
        </w:rPr>
        <w:t>tendimento</w:t>
      </w:r>
      <w:r>
        <w:rPr>
          <w:sz w:val="24"/>
        </w:rPr>
        <w:t>; </w:t>
      </w:r>
      <w:r>
        <w:rPr>
          <w:b/>
          <w:sz w:val="24"/>
        </w:rPr>
        <w:t>6,1%, </w:t>
      </w:r>
      <w:r>
        <w:rPr>
          <w:sz w:val="24"/>
        </w:rPr>
        <w:t>ou R$ 8,50 milhões, para </w:t>
      </w:r>
      <w:r>
        <w:rPr>
          <w:b/>
          <w:sz w:val="24"/>
        </w:rPr>
        <w:t>Comunicação</w:t>
      </w:r>
      <w:r>
        <w:rPr>
          <w:sz w:val="24"/>
        </w:rPr>
        <w:t>; </w:t>
      </w:r>
      <w:r>
        <w:rPr>
          <w:b/>
          <w:sz w:val="24"/>
        </w:rPr>
        <w:t>2,2%, </w:t>
      </w:r>
      <w:r>
        <w:rPr>
          <w:sz w:val="24"/>
        </w:rPr>
        <w:t>ou R$ 3,13 milhões, para </w:t>
      </w:r>
      <w:r>
        <w:rPr>
          <w:b/>
          <w:sz w:val="24"/>
        </w:rPr>
        <w:t>Patrocínios</w:t>
      </w:r>
      <w:r>
        <w:rPr>
          <w:sz w:val="24"/>
        </w:rPr>
        <w:t>; </w:t>
      </w:r>
      <w:r>
        <w:rPr>
          <w:b/>
          <w:sz w:val="24"/>
        </w:rPr>
        <w:t>42,2%, </w:t>
      </w:r>
      <w:r>
        <w:rPr>
          <w:sz w:val="24"/>
        </w:rPr>
        <w:t>ou R$ 58,73 milhões, para os </w:t>
      </w:r>
      <w:r>
        <w:rPr>
          <w:b/>
          <w:sz w:val="24"/>
        </w:rPr>
        <w:t>Objetivos estratégicos elencados prioritários pelos CAU/UF</w:t>
      </w:r>
      <w:r>
        <w:rPr>
          <w:sz w:val="24"/>
        </w:rPr>
        <w:t>; e 3</w:t>
      </w:r>
      <w:r>
        <w:rPr>
          <w:b/>
          <w:sz w:val="24"/>
        </w:rPr>
        <w:t>,0%, </w:t>
      </w:r>
      <w:r>
        <w:rPr>
          <w:sz w:val="24"/>
        </w:rPr>
        <w:t>ou R$ 4,13 milhões, para </w:t>
      </w:r>
      <w:r>
        <w:rPr>
          <w:b/>
          <w:sz w:val="24"/>
        </w:rPr>
        <w:t>ATHIS. </w:t>
      </w:r>
      <w:r>
        <w:rPr>
          <w:sz w:val="24"/>
        </w:rPr>
        <w:t>Para R</w:t>
      </w:r>
      <w:r>
        <w:rPr>
          <w:b/>
          <w:sz w:val="24"/>
        </w:rPr>
        <w:t>eserva de contingência </w:t>
      </w:r>
      <w:r>
        <w:rPr>
          <w:sz w:val="24"/>
        </w:rPr>
        <w:t>os recursos destinados são de R$ 2,50 milhões, ou </w:t>
      </w:r>
      <w:r>
        <w:rPr>
          <w:b/>
          <w:sz w:val="24"/>
        </w:rPr>
        <w:t>1,8 %</w:t>
      </w:r>
      <w:r>
        <w:rPr>
          <w:sz w:val="24"/>
        </w:rPr>
        <w:t>, conforme demonstrado nos anexos 4.1 e </w:t>
      </w:r>
      <w:r>
        <w:rPr>
          <w:spacing w:val="-6"/>
          <w:sz w:val="24"/>
        </w:rPr>
        <w:t>7.</w:t>
      </w:r>
    </w:p>
    <w:p>
      <w:pPr>
        <w:pStyle w:val="BodyText"/>
        <w:spacing w:line="360" w:lineRule="auto" w:before="160"/>
        <w:ind w:left="118" w:right="266" w:firstLine="851"/>
        <w:jc w:val="both"/>
      </w:pP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>
          <w:b/>
        </w:rPr>
        <w:t>Capacitação</w:t>
      </w:r>
      <w:r>
        <w:rPr>
          <w:b/>
          <w:spacing w:val="-7"/>
        </w:rPr>
        <w:t> </w:t>
      </w:r>
      <w:r>
        <w:rPr/>
        <w:t>é</w:t>
      </w:r>
      <w:r>
        <w:rPr>
          <w:spacing w:val="-8"/>
        </w:rPr>
        <w:t> </w:t>
      </w:r>
      <w:r>
        <w:rPr/>
        <w:t>destinado</w:t>
      </w:r>
      <w:r>
        <w:rPr>
          <w:spacing w:val="-8"/>
        </w:rPr>
        <w:t> </w:t>
      </w:r>
      <w:r>
        <w:rPr>
          <w:b/>
        </w:rPr>
        <w:t>1,7%,</w:t>
      </w:r>
      <w:r>
        <w:rPr>
          <w:b/>
          <w:spacing w:val="-8"/>
        </w:rPr>
        <w:t> </w:t>
      </w:r>
      <w:r>
        <w:rPr/>
        <w:t>ou</w:t>
      </w:r>
      <w:r>
        <w:rPr>
          <w:spacing w:val="-9"/>
        </w:rPr>
        <w:t> </w:t>
      </w:r>
      <w:r>
        <w:rPr/>
        <w:t>R$</w:t>
      </w:r>
      <w:r>
        <w:rPr>
          <w:spacing w:val="-9"/>
        </w:rPr>
        <w:t> </w:t>
      </w:r>
      <w:r>
        <w:rPr/>
        <w:t>1,35</w:t>
      </w:r>
      <w:r>
        <w:rPr>
          <w:spacing w:val="-9"/>
        </w:rPr>
        <w:t> </w:t>
      </w:r>
      <w:r>
        <w:rPr/>
        <w:t>milhão,</w:t>
      </w:r>
      <w:r>
        <w:rPr>
          <w:spacing w:val="-9"/>
        </w:rPr>
        <w:t> </w:t>
      </w:r>
      <w:r>
        <w:rPr/>
        <w:t>considerando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folha de pagamentos, desses CAU/UF,</w:t>
      </w:r>
      <w:r>
        <w:rPr>
          <w:spacing w:val="-1"/>
        </w:rPr>
        <w:t> </w:t>
      </w:r>
      <w:r>
        <w:rPr/>
        <w:t>monta</w:t>
      </w:r>
      <w:r>
        <w:rPr>
          <w:spacing w:val="-1"/>
        </w:rPr>
        <w:t> </w:t>
      </w:r>
      <w:r>
        <w:rPr/>
        <w:t>em R$</w:t>
      </w:r>
      <w:r>
        <w:rPr>
          <w:spacing w:val="-1"/>
        </w:rPr>
        <w:t> </w:t>
      </w:r>
      <w:r>
        <w:rPr/>
        <w:t>79,84</w:t>
      </w:r>
      <w:r>
        <w:rPr>
          <w:spacing w:val="-1"/>
        </w:rPr>
        <w:t> </w:t>
      </w:r>
      <w:r>
        <w:rPr/>
        <w:t>milhões. No tocante aos</w:t>
      </w:r>
      <w:r>
        <w:rPr>
          <w:spacing w:val="-1"/>
        </w:rPr>
        <w:t> </w:t>
      </w:r>
      <w:r>
        <w:rPr/>
        <w:t>limites</w:t>
      </w:r>
      <w:r>
        <w:rPr>
          <w:spacing w:val="-1"/>
        </w:rPr>
        <w:t> </w:t>
      </w:r>
      <w:r>
        <w:rPr/>
        <w:t>de aplicações em </w:t>
      </w:r>
      <w:r>
        <w:rPr>
          <w:b/>
        </w:rPr>
        <w:t>pessoal </w:t>
      </w:r>
      <w:r>
        <w:rPr/>
        <w:t>(salários e encargos), considerando que estão sendo destinados recursos no montante de R$ 67,55 milhões (excetuando-se os valores destinados a rescisões contratuais e benefícios concedidos),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índice</w:t>
      </w:r>
      <w:r>
        <w:rPr>
          <w:spacing w:val="-3"/>
        </w:rPr>
        <w:t> </w:t>
      </w:r>
      <w:r>
        <w:rPr/>
        <w:t>situa-se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>
          <w:b/>
        </w:rPr>
        <w:t>46,0%</w:t>
      </w:r>
      <w:r>
        <w:rPr>
          <w:b/>
          <w:spacing w:val="-4"/>
        </w:rPr>
        <w:t> </w:t>
      </w:r>
      <w:r>
        <w:rPr/>
        <w:t>das</w:t>
      </w:r>
      <w:r>
        <w:rPr>
          <w:spacing w:val="-4"/>
        </w:rPr>
        <w:t> </w:t>
      </w:r>
      <w:r>
        <w:rPr/>
        <w:t>receitas</w:t>
      </w:r>
      <w:r>
        <w:rPr>
          <w:spacing w:val="-3"/>
        </w:rPr>
        <w:t> </w:t>
      </w:r>
      <w:r>
        <w:rPr/>
        <w:t>correntes</w:t>
      </w:r>
      <w:r>
        <w:rPr>
          <w:spacing w:val="-3"/>
        </w:rPr>
        <w:t> </w:t>
      </w:r>
      <w:r>
        <w:rPr/>
        <w:t>(R$</w:t>
      </w:r>
      <w:r>
        <w:rPr>
          <w:spacing w:val="-4"/>
        </w:rPr>
        <w:t> </w:t>
      </w:r>
      <w:r>
        <w:rPr/>
        <w:t>146,91</w:t>
      </w:r>
      <w:r>
        <w:rPr>
          <w:spacing w:val="-4"/>
        </w:rPr>
        <w:t> </w:t>
      </w:r>
      <w:r>
        <w:rPr/>
        <w:t>milhões),</w:t>
      </w:r>
      <w:r>
        <w:rPr>
          <w:spacing w:val="-3"/>
        </w:rPr>
        <w:t> </w:t>
      </w:r>
      <w:r>
        <w:rPr/>
        <w:t>representando</w:t>
      </w:r>
    </w:p>
    <w:p>
      <w:pPr>
        <w:spacing w:after="0" w:line="360" w:lineRule="auto"/>
        <w:jc w:val="both"/>
        <w:sectPr>
          <w:pgSz w:w="11910" w:h="16840"/>
          <w:pgMar w:header="516" w:footer="442" w:top="1540" w:bottom="640" w:left="1300" w:right="580"/>
        </w:sectPr>
      </w:pPr>
    </w:p>
    <w:p>
      <w:pPr>
        <w:pStyle w:val="BodyText"/>
        <w:spacing w:line="360" w:lineRule="auto" w:before="45"/>
        <w:ind w:left="118" w:right="265"/>
        <w:jc w:val="both"/>
      </w:pPr>
      <w:r>
        <w:rPr/>
        <w:t>uma redução de 6,3 p.p. frente ao previsto para a Reprogramação 2020 (52,2%), conforme demonstrado no anexo 6.</w:t>
      </w:r>
    </w:p>
    <w:p>
      <w:pPr>
        <w:pStyle w:val="BodyText"/>
        <w:spacing w:line="360" w:lineRule="auto" w:before="160"/>
        <w:ind w:left="118" w:right="267" w:firstLine="851"/>
        <w:jc w:val="both"/>
      </w:pPr>
      <w:r>
        <w:rPr/>
        <w:t>A composição da destinação estratégica de recursos, observando as quantidades de iniciativas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serem</w:t>
      </w:r>
      <w:r>
        <w:rPr>
          <w:spacing w:val="-13"/>
        </w:rPr>
        <w:t> </w:t>
      </w:r>
      <w:r>
        <w:rPr/>
        <w:t>implementadas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Objetivos</w:t>
      </w:r>
      <w:r>
        <w:rPr>
          <w:spacing w:val="-14"/>
        </w:rPr>
        <w:t> </w:t>
      </w:r>
      <w:r>
        <w:rPr/>
        <w:t>Estratégicos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valores</w:t>
      </w:r>
      <w:r>
        <w:rPr>
          <w:spacing w:val="-14"/>
        </w:rPr>
        <w:t> </w:t>
      </w:r>
      <w:r>
        <w:rPr/>
        <w:t>direcionados</w:t>
      </w:r>
      <w:r>
        <w:rPr>
          <w:spacing w:val="-13"/>
        </w:rPr>
        <w:t> </w:t>
      </w:r>
      <w:r>
        <w:rPr/>
        <w:t>à</w:t>
      </w:r>
      <w:r>
        <w:rPr>
          <w:spacing w:val="-14"/>
        </w:rPr>
        <w:t> </w:t>
      </w:r>
      <w:r>
        <w:rPr/>
        <w:t>sua</w:t>
      </w:r>
      <w:r>
        <w:rPr>
          <w:spacing w:val="-13"/>
        </w:rPr>
        <w:t> </w:t>
      </w:r>
      <w:r>
        <w:rPr/>
        <w:t>execução, no atendimento aos limites estabelecidos nas Diretrizes da Programação do Plano de Ação 2021, apresenta-se</w:t>
      </w:r>
      <w:r>
        <w:rPr>
          <w:spacing w:val="-3"/>
        </w:rPr>
        <w:t> </w:t>
      </w:r>
      <w:r>
        <w:rPr/>
        <w:t>nos</w:t>
      </w:r>
      <w:r>
        <w:rPr>
          <w:spacing w:val="-5"/>
        </w:rPr>
        <w:t> </w:t>
      </w:r>
      <w:r>
        <w:rPr/>
        <w:t>Quadros</w:t>
      </w:r>
      <w:r>
        <w:rPr>
          <w:spacing w:val="-3"/>
        </w:rPr>
        <w:t> </w:t>
      </w:r>
      <w:r>
        <w:rPr/>
        <w:t>10,</w:t>
      </w:r>
      <w:r>
        <w:rPr>
          <w:spacing w:val="-3"/>
        </w:rPr>
        <w:t> </w:t>
      </w:r>
      <w:r>
        <w:rPr/>
        <w:t>10.1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10.2.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detalhamento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CAU/UF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CAU/BR</w:t>
      </w:r>
      <w:r>
        <w:rPr>
          <w:spacing w:val="-4"/>
        </w:rPr>
        <w:t> </w:t>
      </w:r>
      <w:r>
        <w:rPr/>
        <w:t>consta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Anexo 4, 4.1 e 7.</w:t>
      </w:r>
    </w:p>
    <w:p>
      <w:pPr>
        <w:spacing w:before="160"/>
        <w:ind w:left="4487" w:right="0" w:firstLine="0"/>
        <w:jc w:val="both"/>
        <w:rPr>
          <w:b/>
          <w:sz w:val="22"/>
        </w:rPr>
      </w:pPr>
      <w:bookmarkStart w:name="_bookmark30" w:id="31"/>
      <w:bookmarkEnd w:id="31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10.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Objetivos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Estratégicos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7"/>
          <w:sz w:val="22"/>
        </w:rPr>
        <w:t> </w:t>
      </w:r>
      <w:r>
        <w:rPr>
          <w:b/>
          <w:spacing w:val="-4"/>
          <w:sz w:val="22"/>
        </w:rPr>
        <w:t>CAU.</w:t>
      </w:r>
    </w:p>
    <w:p>
      <w:pPr>
        <w:spacing w:before="1"/>
        <w:ind w:left="0" w:right="266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ind w:left="134"/>
        <w:rPr>
          <w:sz w:val="20"/>
        </w:rPr>
      </w:pPr>
      <w:r>
        <w:rPr>
          <w:sz w:val="20"/>
        </w:rPr>
        <w:drawing>
          <wp:inline distT="0" distB="0" distL="0" distR="0">
            <wp:extent cx="6098526" cy="6528816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26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3976" w:right="0" w:firstLine="0"/>
        <w:jc w:val="left"/>
        <w:rPr>
          <w:b/>
          <w:sz w:val="22"/>
        </w:rPr>
      </w:pPr>
      <w:bookmarkStart w:name="_bookmark31" w:id="32"/>
      <w:bookmarkEnd w:id="32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10.1.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Objetivos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Estratégicos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spacing w:before="0"/>
        <w:ind w:left="0" w:right="265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73118" cy="8054816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18" cy="805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3890" w:right="0" w:firstLine="0"/>
        <w:jc w:val="left"/>
        <w:rPr>
          <w:b/>
          <w:sz w:val="22"/>
        </w:rPr>
      </w:pPr>
      <w:bookmarkStart w:name="_bookmark32" w:id="33"/>
      <w:bookmarkEnd w:id="33"/>
      <w:r>
        <w:rPr/>
      </w:r>
      <w:r>
        <w:rPr>
          <w:b/>
          <w:sz w:val="22"/>
        </w:rPr>
        <w:t>Quadro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10.2.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Objetivos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Estratégicos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spacing w:before="0"/>
        <w:ind w:left="0" w:right="265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ind w:left="149"/>
        <w:rPr>
          <w:sz w:val="20"/>
        </w:rPr>
      </w:pPr>
      <w:r>
        <w:rPr>
          <w:sz w:val="20"/>
        </w:rPr>
        <w:drawing>
          <wp:inline distT="0" distB="0" distL="0" distR="0">
            <wp:extent cx="6099241" cy="832961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241" cy="83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pStyle w:val="Heading3"/>
        <w:numPr>
          <w:ilvl w:val="0"/>
          <w:numId w:val="4"/>
        </w:numPr>
        <w:tabs>
          <w:tab w:pos="438" w:val="left" w:leader="none"/>
        </w:tabs>
        <w:spacing w:line="240" w:lineRule="auto" w:before="45" w:after="0"/>
        <w:ind w:left="437" w:right="0" w:hanging="320"/>
        <w:jc w:val="left"/>
      </w:pPr>
      <w:bookmarkStart w:name="_bookmark33" w:id="34"/>
      <w:bookmarkEnd w:id="34"/>
      <w:r>
        <w:rPr>
          <w:color w:val="006666"/>
        </w:rPr>
        <w:t>APLICAÇÃO</w:t>
      </w:r>
      <w:r>
        <w:rPr>
          <w:color w:val="006666"/>
          <w:spacing w:val="-6"/>
        </w:rPr>
        <w:t> </w:t>
      </w:r>
      <w:r>
        <w:rPr>
          <w:color w:val="006666"/>
        </w:rPr>
        <w:t>ORÇAMENTÁRIA</w:t>
      </w:r>
      <w:r>
        <w:rPr>
          <w:color w:val="006666"/>
          <w:spacing w:val="-4"/>
        </w:rPr>
        <w:t> </w:t>
      </w:r>
      <w:r>
        <w:rPr>
          <w:color w:val="006666"/>
        </w:rPr>
        <w:t>DE</w:t>
      </w:r>
      <w:r>
        <w:rPr>
          <w:color w:val="006666"/>
          <w:spacing w:val="-5"/>
        </w:rPr>
        <w:t> </w:t>
      </w:r>
      <w:r>
        <w:rPr>
          <w:color w:val="006666"/>
          <w:spacing w:val="-2"/>
        </w:rPr>
        <w:t>RECURSOS.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spacing w:line="360" w:lineRule="auto" w:before="0"/>
        <w:ind w:left="118" w:right="265" w:firstLine="851"/>
        <w:jc w:val="both"/>
        <w:rPr>
          <w:sz w:val="24"/>
        </w:rPr>
      </w:pPr>
      <w:r>
        <w:rPr>
          <w:sz w:val="24"/>
        </w:rPr>
        <w:t>Por elemento de despesas, das aplicações orçamentárias do CAU para a implementação das iniciativas estratégicas contempladas na Programação do Plano de Ação 2021, R$ 252,13 milhões,</w:t>
      </w:r>
      <w:r>
        <w:rPr>
          <w:spacing w:val="-2"/>
          <w:sz w:val="24"/>
        </w:rPr>
        <w:t> </w:t>
      </w:r>
      <w:r>
        <w:rPr>
          <w:sz w:val="24"/>
        </w:rPr>
        <w:t>estão</w:t>
      </w:r>
      <w:r>
        <w:rPr>
          <w:spacing w:val="-2"/>
          <w:sz w:val="24"/>
        </w:rPr>
        <w:t> </w:t>
      </w:r>
      <w:r>
        <w:rPr>
          <w:sz w:val="24"/>
        </w:rPr>
        <w:t>destinados</w:t>
      </w:r>
      <w:r>
        <w:rPr>
          <w:spacing w:val="-3"/>
          <w:sz w:val="24"/>
        </w:rPr>
        <w:t> </w:t>
      </w:r>
      <w:r>
        <w:rPr>
          <w:sz w:val="24"/>
        </w:rPr>
        <w:t>aos</w:t>
      </w:r>
      <w:r>
        <w:rPr>
          <w:spacing w:val="-3"/>
          <w:sz w:val="24"/>
        </w:rPr>
        <w:t> </w:t>
      </w:r>
      <w:r>
        <w:rPr>
          <w:b/>
          <w:sz w:val="24"/>
        </w:rPr>
        <w:t>gastos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pessoal</w:t>
      </w:r>
      <w:r>
        <w:rPr>
          <w:b/>
          <w:spacing w:val="-2"/>
          <w:sz w:val="24"/>
        </w:rPr>
        <w:t> </w:t>
      </w:r>
      <w:r>
        <w:rPr>
          <w:sz w:val="24"/>
        </w:rPr>
        <w:t>(salários,</w:t>
      </w:r>
      <w:r>
        <w:rPr>
          <w:spacing w:val="-2"/>
          <w:sz w:val="24"/>
        </w:rPr>
        <w:t> </w:t>
      </w:r>
      <w:r>
        <w:rPr>
          <w:sz w:val="24"/>
        </w:rPr>
        <w:t>encargos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benefícios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diárias)</w:t>
      </w:r>
      <w:r>
        <w:rPr>
          <w:spacing w:val="-2"/>
          <w:sz w:val="24"/>
        </w:rPr>
        <w:t> </w:t>
      </w:r>
      <w:r>
        <w:rPr>
          <w:b/>
          <w:sz w:val="24"/>
        </w:rPr>
        <w:t>42,0%, ou R$ 105,88 milhões</w:t>
      </w:r>
      <w:r>
        <w:rPr>
          <w:sz w:val="24"/>
        </w:rPr>
        <w:t>, seguido de </w:t>
      </w:r>
      <w:r>
        <w:rPr>
          <w:b/>
          <w:sz w:val="24"/>
        </w:rPr>
        <w:t>serviços de terceiros com 24,7%, ou R$ 62,39 milhões</w:t>
      </w:r>
      <w:r>
        <w:rPr>
          <w:sz w:val="24"/>
        </w:rPr>
        <w:t>. Para as despesas</w:t>
      </w:r>
      <w:r>
        <w:rPr>
          <w:spacing w:val="-1"/>
          <w:sz w:val="24"/>
        </w:rPr>
        <w:t> </w:t>
      </w:r>
      <w:r>
        <w:rPr>
          <w:sz w:val="24"/>
        </w:rPr>
        <w:t>com </w:t>
      </w:r>
      <w:r>
        <w:rPr>
          <w:b/>
          <w:sz w:val="24"/>
        </w:rPr>
        <w:t>Imobilizado</w:t>
      </w:r>
      <w:r>
        <w:rPr>
          <w:b/>
          <w:spacing w:val="-1"/>
          <w:sz w:val="24"/>
        </w:rPr>
        <w:t> </w:t>
      </w:r>
      <w:r>
        <w:rPr>
          <w:sz w:val="24"/>
        </w:rPr>
        <w:t>estão</w:t>
      </w:r>
      <w:r>
        <w:rPr>
          <w:spacing w:val="-1"/>
          <w:sz w:val="24"/>
        </w:rPr>
        <w:t> </w:t>
      </w:r>
      <w:r>
        <w:rPr>
          <w:sz w:val="24"/>
        </w:rPr>
        <w:t>direcionados</w:t>
      </w:r>
      <w:r>
        <w:rPr>
          <w:spacing w:val="-1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55,05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milhões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representando 21,8%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As aplicações em </w:t>
      </w:r>
      <w:r>
        <w:rPr>
          <w:b/>
          <w:sz w:val="24"/>
        </w:rPr>
        <w:t>Encargos Diversos </w:t>
      </w:r>
      <w:r>
        <w:rPr>
          <w:sz w:val="24"/>
        </w:rPr>
        <w:t>(R$ 3,99 milhões) e </w:t>
      </w:r>
      <w:r>
        <w:rPr>
          <w:b/>
          <w:sz w:val="24"/>
        </w:rPr>
        <w:t>Material de Consumo </w:t>
      </w:r>
      <w:r>
        <w:rPr>
          <w:sz w:val="24"/>
        </w:rPr>
        <w:t>(R$ 1,51 milhão) </w:t>
      </w:r>
      <w:r>
        <w:rPr>
          <w:b/>
          <w:sz w:val="24"/>
        </w:rPr>
        <w:t>respondem por 1,6% e 0,6%, respectivamente</w:t>
      </w:r>
      <w:r>
        <w:rPr>
          <w:sz w:val="24"/>
        </w:rPr>
        <w:t>, as </w:t>
      </w:r>
      <w:r>
        <w:rPr>
          <w:b/>
          <w:sz w:val="24"/>
        </w:rPr>
        <w:t>Transferências Correntes </w:t>
      </w:r>
      <w:r>
        <w:rPr>
          <w:sz w:val="24"/>
        </w:rPr>
        <w:t>(R$ 7,47 milhões) representando </w:t>
      </w:r>
      <w:r>
        <w:rPr>
          <w:b/>
          <w:sz w:val="24"/>
        </w:rPr>
        <w:t>3,0 % do total</w:t>
      </w:r>
      <w:r>
        <w:rPr>
          <w:sz w:val="24"/>
        </w:rPr>
        <w:t>, conforme demonstrado no Quadro 11 e detalhado, por CAU/UF e CAU/BR,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Anexo</w:t>
      </w:r>
      <w:r>
        <w:rPr>
          <w:spacing w:val="-13"/>
          <w:sz w:val="24"/>
        </w:rPr>
        <w:t> </w:t>
      </w:r>
      <w:r>
        <w:rPr>
          <w:sz w:val="24"/>
        </w:rPr>
        <w:t>5.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b/>
          <w:sz w:val="24"/>
        </w:rPr>
        <w:t>aportes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Fundo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Apoio</w:t>
      </w:r>
      <w:r>
        <w:rPr>
          <w:b/>
          <w:spacing w:val="-13"/>
          <w:sz w:val="24"/>
        </w:rPr>
        <w:t> </w:t>
      </w:r>
      <w:r>
        <w:rPr>
          <w:sz w:val="24"/>
        </w:rPr>
        <w:t>totalizam</w:t>
      </w:r>
      <w:r>
        <w:rPr>
          <w:spacing w:val="-14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4,49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milhões,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ou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1,8%;</w:t>
      </w:r>
      <w:r>
        <w:rPr>
          <w:b/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ao</w:t>
      </w:r>
      <w:r>
        <w:rPr>
          <w:spacing w:val="-14"/>
          <w:sz w:val="24"/>
        </w:rPr>
        <w:t> </w:t>
      </w:r>
      <w:r>
        <w:rPr>
          <w:b/>
          <w:sz w:val="24"/>
        </w:rPr>
        <w:t>Centro de Serviço Compartilhado CSC </w:t>
      </w:r>
      <w:r>
        <w:rPr>
          <w:sz w:val="24"/>
        </w:rPr>
        <w:t>montam em </w:t>
      </w:r>
      <w:r>
        <w:rPr>
          <w:b/>
          <w:sz w:val="24"/>
        </w:rPr>
        <w:t>R$ 8,71 milhões, ou 3,5%. </w:t>
      </w:r>
      <w:r>
        <w:rPr>
          <w:sz w:val="24"/>
        </w:rPr>
        <w:t>À </w:t>
      </w:r>
      <w:r>
        <w:rPr>
          <w:b/>
          <w:sz w:val="24"/>
        </w:rPr>
        <w:t>Reserva de Contingência </w:t>
      </w:r>
      <w:r>
        <w:rPr>
          <w:sz w:val="24"/>
        </w:rPr>
        <w:t>estão direcionados recurso no total de </w:t>
      </w:r>
      <w:r>
        <w:rPr>
          <w:b/>
          <w:sz w:val="24"/>
        </w:rPr>
        <w:t>R$ 2,65 milhão, ou 1,1% </w:t>
      </w:r>
      <w:r>
        <w:rPr>
          <w:sz w:val="24"/>
        </w:rPr>
        <w:t>do total das aplicações, conforme demonstrado no Quadro 11 e detalhado no Anexo 5.</w:t>
      </w:r>
    </w:p>
    <w:p>
      <w:pPr>
        <w:pStyle w:val="BodyText"/>
        <w:spacing w:line="360" w:lineRule="auto" w:before="160"/>
        <w:ind w:left="118" w:right="266" w:firstLine="851"/>
        <w:jc w:val="both"/>
      </w:pPr>
      <w:r>
        <w:rPr/>
        <w:t>Os recursos a serem aplicados pelo CAU/BR são da ordem de R$ 64,81 milhões, representando </w:t>
      </w:r>
      <w:r>
        <w:rPr>
          <w:b/>
        </w:rPr>
        <w:t>25,7% </w:t>
      </w:r>
      <w:r>
        <w:rPr/>
        <w:t>do total (R$ 252,13 milhões). Os CAU/UF respondem por R$ 187,32 milhões, ou</w:t>
      </w:r>
      <w:r>
        <w:rPr>
          <w:spacing w:val="-11"/>
        </w:rPr>
        <w:t> </w:t>
      </w:r>
      <w:r>
        <w:rPr>
          <w:b/>
        </w:rPr>
        <w:t>74,3%.</w:t>
      </w:r>
      <w:r>
        <w:rPr>
          <w:b/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composição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representação</w:t>
      </w:r>
      <w:r>
        <w:rPr>
          <w:spacing w:val="-11"/>
        </w:rPr>
        <w:t> </w:t>
      </w:r>
      <w:r>
        <w:rPr/>
        <w:t>gráfica</w:t>
      </w:r>
      <w:r>
        <w:rPr>
          <w:spacing w:val="-11"/>
        </w:rPr>
        <w:t> </w:t>
      </w:r>
      <w:r>
        <w:rPr/>
        <w:t>apresentam-se</w:t>
      </w:r>
      <w:r>
        <w:rPr>
          <w:spacing w:val="-11"/>
        </w:rPr>
        <w:t> </w:t>
      </w:r>
      <w:r>
        <w:rPr/>
        <w:t>nos</w:t>
      </w:r>
      <w:r>
        <w:rPr>
          <w:spacing w:val="-11"/>
        </w:rPr>
        <w:t> </w:t>
      </w:r>
      <w:r>
        <w:rPr/>
        <w:t>Quadros</w:t>
      </w:r>
      <w:r>
        <w:rPr>
          <w:spacing w:val="-12"/>
        </w:rPr>
        <w:t> </w:t>
      </w:r>
      <w:r>
        <w:rPr/>
        <w:t>11,</w:t>
      </w:r>
      <w:r>
        <w:rPr>
          <w:spacing w:val="-11"/>
        </w:rPr>
        <w:t> </w:t>
      </w:r>
      <w:r>
        <w:rPr/>
        <w:t>11.1</w:t>
      </w:r>
      <w:r>
        <w:rPr>
          <w:spacing w:val="-12"/>
        </w:rPr>
        <w:t> </w:t>
      </w:r>
      <w:r>
        <w:rPr/>
        <w:t>e</w:t>
      </w:r>
      <w:r>
        <w:rPr>
          <w:spacing w:val="-9"/>
        </w:rPr>
        <w:t> </w:t>
      </w:r>
      <w:r>
        <w:rPr/>
        <w:t>11.2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nos Gráficos 13, 13.1 e 13.2. O detalhamento por CAU/UF e CAU/BR consta do Anexo 5.</w:t>
      </w:r>
    </w:p>
    <w:p>
      <w:pPr>
        <w:pStyle w:val="BodyText"/>
        <w:spacing w:line="360" w:lineRule="auto" w:before="160"/>
        <w:ind w:left="118" w:right="266" w:firstLine="851"/>
        <w:jc w:val="both"/>
      </w:pPr>
      <w:r>
        <w:rPr/>
        <w:t>Dos limites de utilização dos recursos de Receitas Correntes destinados a despesas com Pessoal e Encargos por CAU/UF e CAU/BR a composição encontra-se no Anexo 6.</w:t>
      </w:r>
    </w:p>
    <w:p>
      <w:pPr>
        <w:spacing w:after="0" w:line="360" w:lineRule="auto"/>
        <w:jc w:val="both"/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0" w:right="267" w:firstLine="0"/>
        <w:jc w:val="right"/>
        <w:rPr>
          <w:b/>
          <w:sz w:val="22"/>
        </w:rPr>
      </w:pPr>
      <w:bookmarkStart w:name="_bookmark34" w:id="35"/>
      <w:bookmarkEnd w:id="35"/>
      <w:r>
        <w:rPr/>
      </w: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11.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Aplicação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spacing w:before="0"/>
        <w:ind w:left="0" w:right="265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21145" cy="3645408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45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0" w:right="267" w:firstLine="0"/>
        <w:jc w:val="right"/>
        <w:rPr>
          <w:b/>
          <w:sz w:val="22"/>
        </w:rPr>
      </w:pPr>
      <w:bookmarkStart w:name="_bookmark35" w:id="36"/>
      <w:bookmarkEnd w:id="36"/>
      <w:r>
        <w:rPr/>
      </w: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13.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8"/>
          <w:sz w:val="22"/>
        </w:rPr>
        <w:t> </w:t>
      </w:r>
      <w:r>
        <w:rPr>
          <w:b/>
          <w:spacing w:val="-4"/>
          <w:sz w:val="22"/>
        </w:rPr>
        <w:t>CAU.</w:t>
      </w: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900683</wp:posOffset>
            </wp:positionH>
            <wp:positionV relativeFrom="paragraph">
              <wp:posOffset>170904</wp:posOffset>
            </wp:positionV>
            <wp:extent cx="6120384" cy="3706367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spacing w:before="45"/>
        <w:ind w:left="3980" w:right="0" w:firstLine="0"/>
        <w:jc w:val="left"/>
        <w:rPr>
          <w:b/>
          <w:sz w:val="22"/>
        </w:rPr>
      </w:pPr>
      <w:bookmarkStart w:name="_bookmark36" w:id="37"/>
      <w:bookmarkEnd w:id="37"/>
      <w:r>
        <w:rPr/>
      </w: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13.1.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900683</wp:posOffset>
            </wp:positionH>
            <wp:positionV relativeFrom="paragraph">
              <wp:posOffset>170653</wp:posOffset>
            </wp:positionV>
            <wp:extent cx="6119123" cy="3700272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123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3954" w:right="0" w:firstLine="0"/>
        <w:jc w:val="left"/>
        <w:rPr>
          <w:b/>
          <w:sz w:val="22"/>
        </w:rPr>
      </w:pPr>
      <w:bookmarkStart w:name="_bookmark37" w:id="38"/>
      <w:bookmarkEnd w:id="38"/>
      <w:r>
        <w:rPr/>
      </w:r>
      <w:r>
        <w:rPr>
          <w:b/>
          <w:sz w:val="22"/>
        </w:rPr>
        <w:t>Gráfico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13.2.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CAU/UF</w:t>
      </w: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900683</wp:posOffset>
            </wp:positionH>
            <wp:positionV relativeFrom="paragraph">
              <wp:posOffset>170904</wp:posOffset>
            </wp:positionV>
            <wp:extent cx="6121145" cy="3621024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45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516" w:footer="442" w:top="1540" w:bottom="640" w:left="130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56"/>
        <w:ind w:left="904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ragraph">
              <wp:posOffset>-656022</wp:posOffset>
            </wp:positionV>
            <wp:extent cx="10692383" cy="564501"/>
            <wp:effectExtent l="0" t="0" r="0" b="0"/>
            <wp:wrapNone/>
            <wp:docPr id="65" name="image33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8" w:id="39"/>
      <w:bookmarkEnd w:id="39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11.1.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Região.</w:t>
      </w:r>
    </w:p>
    <w:p>
      <w:pPr>
        <w:spacing w:before="0"/>
        <w:ind w:left="0" w:right="760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3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540258</wp:posOffset>
            </wp:positionH>
            <wp:positionV relativeFrom="paragraph">
              <wp:posOffset>139263</wp:posOffset>
            </wp:positionV>
            <wp:extent cx="9717785" cy="4437888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785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40"/>
          <w:footerReference w:type="default" r:id="rId41"/>
          <w:pgSz w:w="16840" w:h="11910" w:orient="landscape"/>
          <w:pgMar w:header="0" w:footer="442" w:top="500" w:bottom="640" w:left="0" w:right="0"/>
        </w:sectPr>
      </w:pPr>
    </w:p>
    <w:p>
      <w:pPr>
        <w:spacing w:before="45"/>
        <w:ind w:left="2408" w:right="0" w:firstLine="0"/>
        <w:jc w:val="left"/>
        <w:rPr>
          <w:b/>
          <w:sz w:val="22"/>
        </w:rPr>
      </w:pPr>
      <w:bookmarkStart w:name="_bookmark39" w:id="40"/>
      <w:bookmarkEnd w:id="40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11.2.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spacing w:before="0"/>
        <w:ind w:left="0" w:right="226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3"/>
          <w:sz w:val="18"/>
        </w:rPr>
        <w:t> </w:t>
      </w:r>
      <w:r>
        <w:rPr>
          <w:sz w:val="18"/>
        </w:rPr>
        <w:t>2021 X</w:t>
      </w:r>
      <w:r>
        <w:rPr>
          <w:spacing w:val="-2"/>
          <w:sz w:val="18"/>
        </w:rPr>
        <w:t> </w:t>
      </w:r>
      <w:r>
        <w:rPr>
          <w:sz w:val="18"/>
        </w:rPr>
        <w:t>Reprogramação </w:t>
      </w:r>
      <w:r>
        <w:rPr>
          <w:spacing w:val="-2"/>
          <w:sz w:val="18"/>
        </w:rPr>
        <w:t>2020).</w:t>
      </w:r>
    </w:p>
    <w:p>
      <w:pPr>
        <w:spacing w:before="161"/>
        <w:ind w:left="0" w:right="280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1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230293" cy="5297995"/>
            <wp:effectExtent l="0" t="0" r="0" b="0"/>
            <wp:docPr id="7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293" cy="529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4"/>
          <w:footerReference w:type="default" r:id="rId45"/>
          <w:pgSz w:w="11910" w:h="16840"/>
          <w:pgMar w:header="516" w:footer="442" w:top="1540" w:bottom="640" w:left="1300" w:right="480"/>
          <w:pgNumType w:start="35"/>
        </w:sectPr>
      </w:pPr>
    </w:p>
    <w:p>
      <w:pPr>
        <w:pStyle w:val="Heading3"/>
        <w:numPr>
          <w:ilvl w:val="0"/>
          <w:numId w:val="4"/>
        </w:numPr>
        <w:tabs>
          <w:tab w:pos="438" w:val="left" w:leader="none"/>
        </w:tabs>
        <w:spacing w:line="240" w:lineRule="auto" w:before="45" w:after="0"/>
        <w:ind w:left="438" w:right="0" w:hanging="320"/>
        <w:jc w:val="left"/>
      </w:pPr>
      <w:bookmarkStart w:name="_bookmark40" w:id="41"/>
      <w:bookmarkEnd w:id="41"/>
      <w:r>
        <w:rPr>
          <w:color w:val="006666"/>
          <w:spacing w:val="-2"/>
        </w:rPr>
        <w:t>ANEXOS</w:t>
      </w:r>
    </w:p>
    <w:p>
      <w:pPr>
        <w:pStyle w:val="BodyText"/>
        <w:rPr>
          <w:b/>
          <w:sz w:val="32"/>
        </w:rPr>
      </w:pPr>
    </w:p>
    <w:p>
      <w:pPr>
        <w:pStyle w:val="BodyText"/>
        <w:tabs>
          <w:tab w:pos="2103" w:val="left" w:leader="none"/>
        </w:tabs>
        <w:spacing w:line="360" w:lineRule="auto" w:before="209"/>
        <w:ind w:left="2103" w:right="374" w:hanging="1986"/>
      </w:pPr>
      <w:r>
        <w:rPr/>
        <w:t>Anexo 1</w:t>
        <w:tab/>
        <w:t>Demonstrativo</w:t>
      </w:r>
      <w:r>
        <w:rPr>
          <w:spacing w:val="40"/>
        </w:rPr>
        <w:t> </w:t>
      </w:r>
      <w:r>
        <w:rPr/>
        <w:t>Comparativo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Programação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Plano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Ação</w:t>
      </w:r>
      <w:r>
        <w:rPr>
          <w:spacing w:val="40"/>
        </w:rPr>
        <w:t> </w:t>
      </w:r>
      <w:r>
        <w:rPr/>
        <w:t>CAU</w:t>
      </w:r>
      <w:r>
        <w:rPr>
          <w:spacing w:val="40"/>
        </w:rPr>
        <w:t> </w:t>
      </w:r>
      <w:r>
        <w:rPr/>
        <w:t>2020 (Programação 2021 X Reprogramação 2020).</w:t>
      </w:r>
    </w:p>
    <w:p>
      <w:pPr>
        <w:pStyle w:val="BodyText"/>
        <w:tabs>
          <w:tab w:pos="2103" w:val="left" w:leader="none"/>
        </w:tabs>
        <w:spacing w:line="491" w:lineRule="auto" w:before="159"/>
        <w:ind w:left="118" w:right="1853"/>
      </w:pPr>
      <w:r>
        <w:rPr/>
        <w:t>Anexo 2</w:t>
        <w:tab/>
        <w:t>Demonstrativos das Fontes de Receitas por CAU/UF e CAU/BR. Anexo 3</w:t>
        <w:tab/>
        <w:t>Demonstrativos</w:t>
      </w:r>
      <w:r>
        <w:rPr>
          <w:spacing w:val="-7"/>
        </w:rPr>
        <w:t> </w:t>
      </w:r>
      <w:r>
        <w:rPr/>
        <w:t>das</w:t>
      </w:r>
      <w:r>
        <w:rPr>
          <w:spacing w:val="-6"/>
        </w:rPr>
        <w:t> </w:t>
      </w:r>
      <w:r>
        <w:rPr/>
        <w:t>Aplicações</w:t>
      </w:r>
      <w:r>
        <w:rPr>
          <w:spacing w:val="-7"/>
        </w:rPr>
        <w:t> </w:t>
      </w:r>
      <w:r>
        <w:rPr/>
        <w:t>Totais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Iniciativa</w:t>
      </w:r>
      <w:r>
        <w:rPr>
          <w:spacing w:val="-6"/>
        </w:rPr>
        <w:t> </w:t>
      </w:r>
      <w:r>
        <w:rPr/>
        <w:t>Estratégica.</w:t>
      </w:r>
    </w:p>
    <w:p>
      <w:pPr>
        <w:pStyle w:val="BodyText"/>
        <w:tabs>
          <w:tab w:pos="2103" w:val="left" w:leader="none"/>
        </w:tabs>
        <w:spacing w:line="360" w:lineRule="auto"/>
        <w:ind w:left="2103" w:right="374" w:hanging="1986"/>
      </w:pPr>
      <w:r>
        <w:rPr/>
        <w:t>Anexo 3.1</w:t>
        <w:tab/>
        <w:t>Demonstrativos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Aplicações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Iniciativa</w:t>
      </w:r>
      <w:r>
        <w:rPr>
          <w:spacing w:val="40"/>
        </w:rPr>
        <w:t> </w:t>
      </w:r>
      <w:r>
        <w:rPr/>
        <w:t>Estratégica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Programação</w:t>
      </w:r>
      <w:r>
        <w:rPr>
          <w:spacing w:val="40"/>
        </w:rPr>
        <w:t> </w:t>
      </w:r>
      <w:r>
        <w:rPr/>
        <w:t>Operacional, Fundo de Apoio, Contribuição CSC e Reserva de Contingência.</w:t>
      </w:r>
    </w:p>
    <w:p>
      <w:pPr>
        <w:pStyle w:val="BodyText"/>
        <w:tabs>
          <w:tab w:pos="2103" w:val="left" w:leader="none"/>
        </w:tabs>
        <w:spacing w:before="158"/>
        <w:ind w:left="118"/>
      </w:pPr>
      <w:r>
        <w:rPr/>
        <w:t>Anexo</w:t>
      </w:r>
      <w:r>
        <w:rPr>
          <w:spacing w:val="-2"/>
        </w:rPr>
        <w:t> </w:t>
      </w:r>
      <w:r>
        <w:rPr>
          <w:spacing w:val="-5"/>
        </w:rPr>
        <w:t>3.2</w:t>
      </w:r>
      <w:r>
        <w:rPr/>
        <w:tab/>
        <w:t>Demonstrativos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Aportes</w:t>
      </w:r>
      <w:r>
        <w:rPr>
          <w:spacing w:val="-2"/>
        </w:rPr>
        <w:t> </w:t>
      </w:r>
      <w:r>
        <w:rPr/>
        <w:t>ao</w:t>
      </w:r>
      <w:r>
        <w:rPr>
          <w:spacing w:val="-3"/>
        </w:rPr>
        <w:t> </w:t>
      </w:r>
      <w:r>
        <w:rPr/>
        <w:t>Fundo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Apoio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CAU/UF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CAU/BR.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2103" w:val="left" w:leader="none"/>
        </w:tabs>
        <w:spacing w:line="360" w:lineRule="auto"/>
        <w:ind w:left="2103" w:right="374" w:hanging="1986"/>
      </w:pPr>
      <w:r>
        <w:rPr/>
        <w:t>Anexo 3.3</w:t>
        <w:tab/>
        <w:t>Demonstrativos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Contribuição</w:t>
      </w:r>
      <w:r>
        <w:rPr>
          <w:spacing w:val="36"/>
        </w:rPr>
        <w:t> </w:t>
      </w:r>
      <w:r>
        <w:rPr/>
        <w:t>ao</w:t>
      </w:r>
      <w:r>
        <w:rPr>
          <w:spacing w:val="37"/>
        </w:rPr>
        <w:t> </w:t>
      </w:r>
      <w:r>
        <w:rPr/>
        <w:t>Centro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Serviços</w:t>
      </w:r>
      <w:r>
        <w:rPr>
          <w:spacing w:val="40"/>
        </w:rPr>
        <w:t> </w:t>
      </w:r>
      <w:r>
        <w:rPr/>
        <w:t>Compartilhados</w:t>
      </w:r>
      <w:r>
        <w:rPr>
          <w:spacing w:val="36"/>
        </w:rPr>
        <w:t> </w:t>
      </w:r>
      <w:r>
        <w:rPr/>
        <w:t>por CAU/UF e CAU/BR.</w:t>
      </w:r>
    </w:p>
    <w:p>
      <w:pPr>
        <w:pStyle w:val="BodyText"/>
        <w:tabs>
          <w:tab w:pos="2103" w:val="left" w:leader="none"/>
        </w:tabs>
        <w:spacing w:before="160"/>
        <w:ind w:left="118"/>
      </w:pPr>
      <w:r>
        <w:rPr/>
        <w:t>Anexo</w:t>
      </w:r>
      <w:r>
        <w:rPr>
          <w:spacing w:val="-2"/>
        </w:rPr>
        <w:t> </w:t>
      </w:r>
      <w:r>
        <w:rPr>
          <w:spacing w:val="-5"/>
        </w:rPr>
        <w:t>3.4</w:t>
      </w:r>
      <w:r>
        <w:rPr/>
        <w:tab/>
        <w:t>Demonstrativos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Reserva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Contingência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CAU/UF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CAU/BR.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2103" w:val="left" w:leader="none"/>
        </w:tabs>
        <w:spacing w:line="360" w:lineRule="auto"/>
        <w:ind w:left="2103" w:right="364" w:hanging="1986"/>
        <w:jc w:val="both"/>
      </w:pPr>
      <w:r>
        <w:rPr/>
        <w:t>Anexo 3.5</w:t>
        <w:tab/>
        <w:t>Demonstrativo Comparativo das Aplicações por Programação Operacional, Fundo de Apoio, Contribuição CSC e Reserva de Contingência (Programação 2021 X Reprogramação 2020).</w:t>
      </w:r>
    </w:p>
    <w:p>
      <w:pPr>
        <w:pStyle w:val="BodyText"/>
        <w:tabs>
          <w:tab w:pos="2103" w:val="left" w:leader="none"/>
        </w:tabs>
        <w:spacing w:line="360" w:lineRule="auto" w:before="160"/>
        <w:ind w:left="2103" w:right="369" w:hanging="1986"/>
        <w:jc w:val="both"/>
      </w:pPr>
      <w:r>
        <w:rPr/>
        <w:t>Anexo 4</w:t>
        <w:tab/>
        <w:t>Matrizes das Iniciativas Estratégicas vinculadas aos Objetivos Estratégicos Principais por CAU/UF e CAU/BR (Quantidades).</w:t>
      </w:r>
    </w:p>
    <w:p>
      <w:pPr>
        <w:pStyle w:val="BodyText"/>
        <w:tabs>
          <w:tab w:pos="2103" w:val="left" w:leader="none"/>
        </w:tabs>
        <w:spacing w:line="360" w:lineRule="auto" w:before="161"/>
        <w:ind w:left="2103" w:right="369" w:hanging="1986"/>
        <w:jc w:val="both"/>
      </w:pPr>
      <w:r>
        <w:rPr/>
        <w:t>Anexo 4.1</w:t>
        <w:tab/>
        <w:t>Matrizes das Iniciativas Estratégicas vinculadas aos Objetivos Estratégicos Principais por CAU/UF e CAU/BR (Valores e Percentuais).</w:t>
      </w:r>
    </w:p>
    <w:p>
      <w:pPr>
        <w:pStyle w:val="BodyText"/>
        <w:tabs>
          <w:tab w:pos="2103" w:val="left" w:leader="none"/>
        </w:tabs>
        <w:spacing w:line="360" w:lineRule="auto" w:before="160"/>
        <w:ind w:left="2103" w:right="371" w:hanging="1986"/>
        <w:jc w:val="both"/>
      </w:pPr>
      <w:r>
        <w:rPr/>
        <w:t>Anexo 5</w:t>
        <w:tab/>
        <w:t>Demonstrativos das Aplicações por Elementos de Despesa por CAU/UF e </w:t>
      </w:r>
      <w:r>
        <w:rPr>
          <w:spacing w:val="-2"/>
        </w:rPr>
        <w:t>CAU/BR.</w:t>
      </w:r>
    </w:p>
    <w:p>
      <w:pPr>
        <w:pStyle w:val="BodyText"/>
        <w:tabs>
          <w:tab w:pos="2103" w:val="left" w:leader="none"/>
        </w:tabs>
        <w:spacing w:line="360" w:lineRule="auto" w:before="159"/>
        <w:ind w:left="2103" w:right="374" w:hanging="1986"/>
      </w:pPr>
      <w:r>
        <w:rPr/>
        <w:t>Anexo 6</w:t>
        <w:tab/>
        <w:t>Demonstrativo</w:t>
      </w:r>
      <w:r>
        <w:rPr>
          <w:spacing w:val="-13"/>
        </w:rPr>
        <w:t> </w:t>
      </w:r>
      <w:r>
        <w:rPr/>
        <w:t>Comparativo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Limites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Destinação</w:t>
      </w:r>
      <w:r>
        <w:rPr>
          <w:spacing w:val="-12"/>
        </w:rPr>
        <w:t> </w:t>
      </w:r>
      <w:r>
        <w:rPr/>
        <w:t>Estratégica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Recursos por CAU/UF e CAU/BR (Receitas Correntes X Despesas com Pessoal).</w:t>
      </w:r>
    </w:p>
    <w:p>
      <w:pPr>
        <w:pStyle w:val="BodyText"/>
        <w:tabs>
          <w:tab w:pos="2103" w:val="left" w:leader="none"/>
        </w:tabs>
        <w:spacing w:line="360" w:lineRule="auto" w:before="161"/>
        <w:ind w:left="2103" w:right="374" w:hanging="1986"/>
      </w:pPr>
      <w:r>
        <w:rPr/>
        <w:t>Anexo 7</w:t>
        <w:tab/>
        <w:t>Demonstrativos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Limites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Destinação</w:t>
      </w:r>
      <w:r>
        <w:rPr>
          <w:spacing w:val="-12"/>
        </w:rPr>
        <w:t> </w:t>
      </w:r>
      <w:r>
        <w:rPr/>
        <w:t>Estratégica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Recursos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CAU/UF e CAU/BR (demais destinações).</w:t>
      </w:r>
    </w:p>
    <w:p>
      <w:pPr>
        <w:pStyle w:val="BodyText"/>
        <w:tabs>
          <w:tab w:pos="2103" w:val="left" w:leader="none"/>
        </w:tabs>
        <w:spacing w:before="160"/>
        <w:ind w:left="118"/>
      </w:pPr>
      <w:r>
        <w:rPr/>
        <w:t>Anexo</w:t>
      </w:r>
      <w:r>
        <w:rPr>
          <w:spacing w:val="-2"/>
        </w:rPr>
        <w:t> </w:t>
      </w:r>
      <w:r>
        <w:rPr>
          <w:spacing w:val="-10"/>
        </w:rPr>
        <w:t>8</w:t>
      </w:r>
      <w:r>
        <w:rPr/>
        <w:tab/>
        <w:t>Programações</w:t>
      </w:r>
      <w:r>
        <w:rPr>
          <w:spacing w:val="-5"/>
        </w:rPr>
        <w:t> </w:t>
      </w:r>
      <w:r>
        <w:rPr/>
        <w:t>do</w:t>
      </w:r>
      <w:r>
        <w:rPr>
          <w:spacing w:val="-2"/>
        </w:rPr>
        <w:t> </w:t>
      </w:r>
      <w:r>
        <w:rPr/>
        <w:t>Plano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Ação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Orçamento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CAU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CAU/UF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CAU/BR.</w:t>
      </w:r>
    </w:p>
    <w:p>
      <w:pPr>
        <w:spacing w:after="0"/>
        <w:sectPr>
          <w:pgSz w:w="11910" w:h="16840"/>
          <w:pgMar w:header="516" w:footer="442" w:top="1540" w:bottom="640" w:left="130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1"/>
        <w:ind w:left="4035" w:right="4284"/>
      </w:pPr>
      <w:r>
        <w:rPr>
          <w:color w:val="008080"/>
        </w:rPr>
        <w:t>ANEXO</w:t>
      </w:r>
      <w:r>
        <w:rPr>
          <w:color w:val="008080"/>
          <w:spacing w:val="-1"/>
        </w:rPr>
        <w:t> </w:t>
      </w:r>
      <w:r>
        <w:rPr>
          <w:color w:val="008080"/>
          <w:spacing w:val="-10"/>
        </w:rPr>
        <w:t>1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424" w:lineRule="auto" w:before="319"/>
        <w:ind w:left="566" w:right="814" w:firstLine="1"/>
      </w:pPr>
      <w:r>
        <w:rPr>
          <w:color w:val="008080"/>
        </w:rPr>
        <w:t>Demonstrativo Comparativo da Programação do Plano de Ação CAU 2020 (Programação</w:t>
      </w:r>
      <w:r>
        <w:rPr>
          <w:color w:val="008080"/>
          <w:spacing w:val="-10"/>
        </w:rPr>
        <w:t> </w:t>
      </w:r>
      <w:r>
        <w:rPr>
          <w:color w:val="008080"/>
        </w:rPr>
        <w:t>2021</w:t>
      </w:r>
      <w:r>
        <w:rPr>
          <w:color w:val="008080"/>
          <w:spacing w:val="-9"/>
        </w:rPr>
        <w:t> </w:t>
      </w:r>
      <w:r>
        <w:rPr>
          <w:color w:val="008080"/>
        </w:rPr>
        <w:t>X</w:t>
      </w:r>
      <w:r>
        <w:rPr>
          <w:color w:val="008080"/>
          <w:spacing w:val="-9"/>
        </w:rPr>
        <w:t> </w:t>
      </w:r>
      <w:r>
        <w:rPr>
          <w:color w:val="008080"/>
        </w:rPr>
        <w:t>Reprogramação</w:t>
      </w:r>
      <w:r>
        <w:rPr>
          <w:color w:val="008080"/>
          <w:spacing w:val="-8"/>
        </w:rPr>
        <w:t> </w:t>
      </w:r>
      <w:r>
        <w:rPr>
          <w:color w:val="008080"/>
        </w:rPr>
        <w:t>2020)</w:t>
      </w:r>
    </w:p>
    <w:p>
      <w:pPr>
        <w:spacing w:after="0" w:line="424" w:lineRule="auto"/>
        <w:sectPr>
          <w:pgSz w:w="11910" w:h="16840"/>
          <w:pgMar w:header="516" w:footer="442" w:top="1540" w:bottom="640" w:left="1300" w:right="480"/>
        </w:sectPr>
      </w:pPr>
    </w:p>
    <w:p>
      <w:pPr>
        <w:spacing w:before="45"/>
        <w:ind w:left="0" w:right="366" w:firstLine="0"/>
        <w:jc w:val="right"/>
        <w:rPr>
          <w:b/>
          <w:sz w:val="26"/>
        </w:rPr>
      </w:pPr>
      <w:bookmarkStart w:name="_bookmark41" w:id="42"/>
      <w:bookmarkEnd w:id="42"/>
      <w:r>
        <w:rPr/>
      </w:r>
      <w:r>
        <w:rPr>
          <w:b/>
          <w:color w:val="006666"/>
          <w:sz w:val="26"/>
        </w:rPr>
        <w:t>Anexo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1.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Comparativo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da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Programação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do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Plano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Ação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CAU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pacing w:val="-2"/>
          <w:sz w:val="26"/>
        </w:rPr>
        <w:t>2020.</w:t>
      </w:r>
    </w:p>
    <w:p>
      <w:pPr>
        <w:spacing w:before="158"/>
        <w:ind w:left="0" w:right="367" w:firstLine="0"/>
        <w:jc w:val="right"/>
        <w:rPr>
          <w:b/>
          <w:sz w:val="26"/>
        </w:rPr>
      </w:pPr>
      <w:r>
        <w:rPr>
          <w:b/>
          <w:color w:val="006666"/>
          <w:sz w:val="26"/>
        </w:rPr>
        <w:t>(Programação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2021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X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Reprogramação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pacing w:val="-2"/>
          <w:sz w:val="26"/>
        </w:rPr>
        <w:t>2020).</w:t>
      </w:r>
    </w:p>
    <w:p>
      <w:pPr>
        <w:pStyle w:val="BodyText"/>
        <w:spacing w:before="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900683</wp:posOffset>
            </wp:positionH>
            <wp:positionV relativeFrom="paragraph">
              <wp:posOffset>101431</wp:posOffset>
            </wp:positionV>
            <wp:extent cx="6133368" cy="7638954"/>
            <wp:effectExtent l="0" t="0" r="0" b="0"/>
            <wp:wrapTopAndBottom/>
            <wp:docPr id="7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368" cy="763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516" w:footer="442" w:top="1540" w:bottom="640" w:left="130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Heading1"/>
        <w:ind w:left="4035" w:right="4284"/>
      </w:pPr>
      <w:r>
        <w:rPr>
          <w:color w:val="008080"/>
        </w:rPr>
        <w:t>ANEXO</w:t>
      </w:r>
      <w:r>
        <w:rPr>
          <w:color w:val="008080"/>
          <w:spacing w:val="-1"/>
        </w:rPr>
        <w:t> </w:t>
      </w:r>
      <w:r>
        <w:rPr>
          <w:color w:val="008080"/>
          <w:spacing w:val="-10"/>
        </w:rPr>
        <w:t>2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 w:before="321"/>
        <w:ind w:left="680" w:right="933"/>
      </w:pPr>
      <w:r>
        <w:rPr>
          <w:color w:val="008080"/>
        </w:rPr>
        <w:t>Demonstrativo</w:t>
      </w:r>
      <w:r>
        <w:rPr>
          <w:color w:val="008080"/>
          <w:spacing w:val="-12"/>
        </w:rPr>
        <w:t> </w:t>
      </w:r>
      <w:r>
        <w:rPr>
          <w:color w:val="008080"/>
        </w:rPr>
        <w:t>Comparativo</w:t>
      </w:r>
      <w:r>
        <w:rPr>
          <w:color w:val="008080"/>
          <w:spacing w:val="-9"/>
        </w:rPr>
        <w:t> </w:t>
      </w:r>
      <w:r>
        <w:rPr>
          <w:color w:val="008080"/>
        </w:rPr>
        <w:t>das</w:t>
      </w:r>
      <w:r>
        <w:rPr>
          <w:color w:val="008080"/>
          <w:spacing w:val="-9"/>
        </w:rPr>
        <w:t> </w:t>
      </w:r>
      <w:r>
        <w:rPr>
          <w:color w:val="008080"/>
        </w:rPr>
        <w:t>Fontes</w:t>
      </w:r>
      <w:r>
        <w:rPr>
          <w:color w:val="008080"/>
          <w:spacing w:val="-9"/>
        </w:rPr>
        <w:t> </w:t>
      </w:r>
      <w:r>
        <w:rPr>
          <w:color w:val="008080"/>
        </w:rPr>
        <w:t>de Receitas por CAU/UF e CAU/BR.</w:t>
      </w:r>
    </w:p>
    <w:p>
      <w:pPr>
        <w:spacing w:after="0" w:line="360" w:lineRule="auto"/>
        <w:sectPr>
          <w:pgSz w:w="11910" w:h="16840"/>
          <w:pgMar w:header="516" w:footer="442" w:top="1540" w:bottom="640" w:left="1300" w:right="480"/>
        </w:sectPr>
      </w:pPr>
    </w:p>
    <w:p>
      <w:pPr>
        <w:pStyle w:val="BodyText"/>
        <w:ind w:right="-101"/>
        <w:rPr>
          <w:sz w:val="20"/>
        </w:rPr>
      </w:pPr>
      <w:r>
        <w:rPr>
          <w:sz w:val="20"/>
        </w:rPr>
        <w:drawing>
          <wp:inline distT="0" distB="0" distL="0" distR="0">
            <wp:extent cx="10724142" cy="611219"/>
            <wp:effectExtent l="0" t="0" r="0" b="0"/>
            <wp:docPr id="75" name="image37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142" cy="61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before="26"/>
        <w:ind w:left="7109"/>
      </w:pPr>
      <w:bookmarkStart w:name="_bookmark42" w:id="43"/>
      <w:bookmarkEnd w:id="43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5"/>
        </w:rPr>
        <w:t> </w:t>
      </w:r>
      <w:r>
        <w:rPr>
          <w:color w:val="006666"/>
        </w:rPr>
        <w:t>2.</w:t>
      </w:r>
      <w:r>
        <w:rPr>
          <w:color w:val="006666"/>
          <w:spacing w:val="-3"/>
        </w:rPr>
        <w:t> </w:t>
      </w:r>
      <w:r>
        <w:rPr>
          <w:color w:val="006666"/>
        </w:rPr>
        <w:t>Demonstrativo</w:t>
      </w:r>
      <w:r>
        <w:rPr>
          <w:color w:val="006666"/>
          <w:spacing w:val="-2"/>
        </w:rPr>
        <w:t> </w:t>
      </w:r>
      <w:r>
        <w:rPr>
          <w:color w:val="006666"/>
        </w:rPr>
        <w:t>Comparativo</w:t>
      </w:r>
      <w:r>
        <w:rPr>
          <w:color w:val="006666"/>
          <w:spacing w:val="-3"/>
        </w:rPr>
        <w:t> </w:t>
      </w:r>
      <w:r>
        <w:rPr>
          <w:color w:val="006666"/>
        </w:rPr>
        <w:t>das</w:t>
      </w:r>
      <w:r>
        <w:rPr>
          <w:color w:val="006666"/>
          <w:spacing w:val="-4"/>
        </w:rPr>
        <w:t> </w:t>
      </w:r>
      <w:r>
        <w:rPr>
          <w:color w:val="006666"/>
        </w:rPr>
        <w:t>Fontes</w:t>
      </w:r>
      <w:r>
        <w:rPr>
          <w:color w:val="006666"/>
          <w:spacing w:val="-3"/>
        </w:rPr>
        <w:t> </w:t>
      </w:r>
      <w:r>
        <w:rPr>
          <w:color w:val="006666"/>
        </w:rPr>
        <w:t>de</w:t>
      </w:r>
      <w:r>
        <w:rPr>
          <w:color w:val="006666"/>
          <w:spacing w:val="-3"/>
        </w:rPr>
        <w:t> </w:t>
      </w:r>
      <w:r>
        <w:rPr>
          <w:color w:val="006666"/>
        </w:rPr>
        <w:t>Receitas</w:t>
      </w:r>
      <w:r>
        <w:rPr>
          <w:color w:val="006666"/>
          <w:spacing w:val="-3"/>
        </w:rPr>
        <w:t> </w:t>
      </w:r>
      <w:r>
        <w:rPr>
          <w:color w:val="006666"/>
        </w:rPr>
        <w:t>por</w:t>
      </w:r>
      <w:r>
        <w:rPr>
          <w:color w:val="006666"/>
          <w:spacing w:val="-4"/>
        </w:rPr>
        <w:t> </w:t>
      </w:r>
      <w:r>
        <w:rPr>
          <w:color w:val="006666"/>
        </w:rPr>
        <w:t>CAU/UF</w:t>
      </w:r>
      <w:r>
        <w:rPr>
          <w:color w:val="006666"/>
          <w:spacing w:val="-3"/>
        </w:rPr>
        <w:t> </w:t>
      </w:r>
      <w:r>
        <w:rPr>
          <w:color w:val="006666"/>
        </w:rPr>
        <w:t>e</w:t>
      </w:r>
      <w:r>
        <w:rPr>
          <w:color w:val="006666"/>
          <w:spacing w:val="-4"/>
        </w:rPr>
        <w:t> </w:t>
      </w:r>
      <w:r>
        <w:rPr>
          <w:color w:val="006666"/>
          <w:spacing w:val="-2"/>
        </w:rPr>
        <w:t>CAU/BR</w:t>
      </w:r>
    </w:p>
    <w:p>
      <w:pPr>
        <w:pStyle w:val="BodyTex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450341</wp:posOffset>
            </wp:positionH>
            <wp:positionV relativeFrom="paragraph">
              <wp:posOffset>100594</wp:posOffset>
            </wp:positionV>
            <wp:extent cx="9864813" cy="5596128"/>
            <wp:effectExtent l="0" t="0" r="0" b="0"/>
            <wp:wrapTopAndBottom/>
            <wp:docPr id="7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4813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headerReference w:type="default" r:id="rId48"/>
          <w:footerReference w:type="default" r:id="rId49"/>
          <w:pgSz w:w="16840" w:h="11910" w:orient="landscape"/>
          <w:pgMar w:header="0" w:footer="442" w:top="60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1"/>
        <w:spacing w:before="4"/>
        <w:ind w:left="1485" w:right="1481"/>
      </w:pPr>
      <w:r>
        <w:rPr>
          <w:color w:val="008080"/>
        </w:rPr>
        <w:t>ANEXO</w:t>
      </w:r>
      <w:r>
        <w:rPr>
          <w:color w:val="008080"/>
          <w:spacing w:val="-1"/>
        </w:rPr>
        <w:t> </w:t>
      </w:r>
      <w:r>
        <w:rPr>
          <w:color w:val="008080"/>
          <w:spacing w:val="-10"/>
        </w:rPr>
        <w:t>3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424" w:lineRule="auto" w:before="321"/>
        <w:ind w:left="1485" w:right="1485"/>
      </w:pPr>
      <w:r>
        <w:rPr>
          <w:color w:val="008080"/>
        </w:rPr>
        <w:t>Demonstrativo</w:t>
      </w:r>
      <w:r>
        <w:rPr>
          <w:color w:val="008080"/>
          <w:spacing w:val="-15"/>
        </w:rPr>
        <w:t> </w:t>
      </w:r>
      <w:r>
        <w:rPr>
          <w:color w:val="008080"/>
        </w:rPr>
        <w:t>das</w:t>
      </w:r>
      <w:r>
        <w:rPr>
          <w:color w:val="008080"/>
          <w:spacing w:val="-13"/>
        </w:rPr>
        <w:t> </w:t>
      </w:r>
      <w:r>
        <w:rPr>
          <w:color w:val="008080"/>
        </w:rPr>
        <w:t>Aplicações</w:t>
      </w:r>
      <w:r>
        <w:rPr>
          <w:color w:val="008080"/>
          <w:spacing w:val="-13"/>
        </w:rPr>
        <w:t> </w:t>
      </w:r>
      <w:r>
        <w:rPr>
          <w:color w:val="008080"/>
        </w:rPr>
        <w:t>Totais Por Iniciativa Estratégica.</w:t>
      </w:r>
    </w:p>
    <w:p>
      <w:pPr>
        <w:spacing w:after="0" w:line="424" w:lineRule="auto"/>
        <w:sectPr>
          <w:headerReference w:type="default" r:id="rId52"/>
          <w:footerReference w:type="default" r:id="rId53"/>
          <w:pgSz w:w="11910" w:h="16840"/>
          <w:pgMar w:header="516" w:footer="442" w:top="1540" w:bottom="640" w:left="880" w:right="740"/>
          <w:pgNumType w:start="41"/>
        </w:sectPr>
      </w:pPr>
    </w:p>
    <w:p>
      <w:pPr>
        <w:pStyle w:val="Heading4"/>
        <w:spacing w:before="39"/>
        <w:ind w:left="2422"/>
      </w:pPr>
      <w:bookmarkStart w:name="_bookmark43" w:id="44"/>
      <w:bookmarkEnd w:id="44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6"/>
        </w:rPr>
        <w:t> </w:t>
      </w:r>
      <w:r>
        <w:rPr>
          <w:color w:val="006666"/>
        </w:rPr>
        <w:t>3.</w:t>
      </w:r>
      <w:r>
        <w:rPr>
          <w:color w:val="006666"/>
          <w:spacing w:val="-3"/>
        </w:rPr>
        <w:t> </w:t>
      </w:r>
      <w:r>
        <w:rPr>
          <w:color w:val="006666"/>
        </w:rPr>
        <w:t>Demonstrativo</w:t>
      </w:r>
      <w:r>
        <w:rPr>
          <w:color w:val="006666"/>
          <w:spacing w:val="-3"/>
        </w:rPr>
        <w:t> </w:t>
      </w:r>
      <w:r>
        <w:rPr>
          <w:color w:val="006666"/>
        </w:rPr>
        <w:t>das</w:t>
      </w:r>
      <w:r>
        <w:rPr>
          <w:color w:val="006666"/>
          <w:spacing w:val="-3"/>
        </w:rPr>
        <w:t> </w:t>
      </w:r>
      <w:r>
        <w:rPr>
          <w:color w:val="006666"/>
        </w:rPr>
        <w:t>Aplicações</w:t>
      </w:r>
      <w:r>
        <w:rPr>
          <w:color w:val="006666"/>
          <w:spacing w:val="-4"/>
        </w:rPr>
        <w:t> </w:t>
      </w:r>
      <w:r>
        <w:rPr>
          <w:color w:val="006666"/>
        </w:rPr>
        <w:t>Totais</w:t>
      </w:r>
      <w:r>
        <w:rPr>
          <w:color w:val="006666"/>
          <w:spacing w:val="-3"/>
        </w:rPr>
        <w:t> </w:t>
      </w:r>
      <w:r>
        <w:rPr>
          <w:color w:val="006666"/>
        </w:rPr>
        <w:t>por</w:t>
      </w:r>
      <w:r>
        <w:rPr>
          <w:color w:val="006666"/>
          <w:spacing w:val="-3"/>
        </w:rPr>
        <w:t> </w:t>
      </w:r>
      <w:r>
        <w:rPr>
          <w:color w:val="006666"/>
        </w:rPr>
        <w:t>Iniciativa</w:t>
      </w:r>
      <w:r>
        <w:rPr>
          <w:color w:val="006666"/>
          <w:spacing w:val="-3"/>
        </w:rPr>
        <w:t> </w:t>
      </w:r>
      <w:r>
        <w:rPr>
          <w:color w:val="006666"/>
          <w:spacing w:val="-2"/>
        </w:rPr>
        <w:t>Estratégica.</w:t>
      </w: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630173</wp:posOffset>
            </wp:positionH>
            <wp:positionV relativeFrom="paragraph">
              <wp:posOffset>201750</wp:posOffset>
            </wp:positionV>
            <wp:extent cx="6289536" cy="7476934"/>
            <wp:effectExtent l="0" t="0" r="0" b="0"/>
            <wp:wrapTopAndBottom/>
            <wp:docPr id="8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36" cy="7476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516" w:footer="442" w:top="1540" w:bottom="640" w:left="880" w:right="740"/>
        </w:sectPr>
      </w:pPr>
    </w:p>
    <w:p>
      <w:pPr>
        <w:spacing w:line="360" w:lineRule="auto" w:before="37"/>
        <w:ind w:left="2102" w:right="0" w:hanging="915"/>
        <w:jc w:val="lef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3.1.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das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Aplicações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Iniciativa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Estratégica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da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Programação Operacional,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Fundo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Apoio,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Contribuição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CSC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Reserva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pacing w:val="-2"/>
          <w:sz w:val="26"/>
        </w:rPr>
        <w:t>Contingência.</w:t>
      </w:r>
    </w:p>
    <w:p>
      <w:pPr>
        <w:pStyle w:val="BodyText"/>
        <w:spacing w:before="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631698</wp:posOffset>
            </wp:positionH>
            <wp:positionV relativeFrom="paragraph">
              <wp:posOffset>101696</wp:posOffset>
            </wp:positionV>
            <wp:extent cx="6290167" cy="7476934"/>
            <wp:effectExtent l="0" t="0" r="0" b="0"/>
            <wp:wrapTopAndBottom/>
            <wp:docPr id="8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167" cy="7476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516" w:footer="442" w:top="1540" w:bottom="640" w:left="880" w:right="740"/>
        </w:sectPr>
      </w:pPr>
    </w:p>
    <w:p>
      <w:pPr>
        <w:spacing w:before="39"/>
        <w:ind w:left="1477" w:right="0" w:firstLine="0"/>
        <w:jc w:val="lef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3.2.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Aportes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ao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Fundo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Apoio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CAU/UF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2"/>
          <w:sz w:val="26"/>
        </w:rPr>
        <w:t> CAU/BR.</w:t>
      </w: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2214372</wp:posOffset>
            </wp:positionH>
            <wp:positionV relativeFrom="paragraph">
              <wp:posOffset>201275</wp:posOffset>
            </wp:positionV>
            <wp:extent cx="3486912" cy="8314944"/>
            <wp:effectExtent l="0" t="0" r="0" b="0"/>
            <wp:wrapTopAndBottom/>
            <wp:docPr id="8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831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516" w:footer="442" w:top="1540" w:bottom="640" w:left="880" w:right="740"/>
        </w:sectPr>
      </w:pPr>
    </w:p>
    <w:p>
      <w:pPr>
        <w:spacing w:before="37"/>
        <w:ind w:left="0" w:right="105" w:firstLine="0"/>
        <w:jc w:val="righ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3.3.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Aportes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ao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Centro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Serviços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Compartilhados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–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pacing w:val="-2"/>
          <w:sz w:val="26"/>
        </w:rPr>
        <w:t>Serviços</w:t>
      </w:r>
    </w:p>
    <w:p>
      <w:pPr>
        <w:spacing w:before="159"/>
        <w:ind w:left="0" w:right="105" w:firstLine="0"/>
        <w:jc w:val="right"/>
        <w:rPr>
          <w:b/>
          <w:sz w:val="26"/>
        </w:rPr>
      </w:pPr>
      <w:r>
        <w:rPr>
          <w:b/>
          <w:color w:val="006666"/>
          <w:sz w:val="26"/>
        </w:rPr>
        <w:t>Essenciais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–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2"/>
          <w:sz w:val="26"/>
        </w:rPr>
        <w:t> CAU/UF.</w:t>
      </w:r>
    </w:p>
    <w:p>
      <w:pPr>
        <w:pStyle w:val="BodyText"/>
        <w:spacing w:before="1"/>
        <w:rPr>
          <w:b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2283714</wp:posOffset>
            </wp:positionH>
            <wp:positionV relativeFrom="paragraph">
              <wp:posOffset>201910</wp:posOffset>
            </wp:positionV>
            <wp:extent cx="3706367" cy="7620000"/>
            <wp:effectExtent l="0" t="0" r="0" b="0"/>
            <wp:wrapTopAndBottom/>
            <wp:docPr id="8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7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516" w:footer="442" w:top="1540" w:bottom="640" w:left="880" w:right="740"/>
        </w:sectPr>
      </w:pPr>
    </w:p>
    <w:p>
      <w:pPr>
        <w:spacing w:before="39"/>
        <w:ind w:left="1774" w:right="0" w:firstLine="0"/>
        <w:jc w:val="lef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3.4.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Reserva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Contingência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CAU/UF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pacing w:val="-2"/>
          <w:sz w:val="26"/>
        </w:rPr>
        <w:t>CAU/BR.</w:t>
      </w: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2217420</wp:posOffset>
            </wp:positionH>
            <wp:positionV relativeFrom="paragraph">
              <wp:posOffset>201750</wp:posOffset>
            </wp:positionV>
            <wp:extent cx="3421176" cy="8161020"/>
            <wp:effectExtent l="0" t="0" r="0" b="0"/>
            <wp:wrapTopAndBottom/>
            <wp:docPr id="8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176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516" w:footer="442" w:top="1540" w:bottom="640" w:left="880" w:right="740"/>
        </w:sectPr>
      </w:pPr>
    </w:p>
    <w:p>
      <w:pPr>
        <w:spacing w:before="37"/>
        <w:ind w:left="3538" w:right="106" w:hanging="2631"/>
        <w:jc w:val="righ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3.5.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Comparativo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das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Aplicações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Programação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Operacional, Fundo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Apoio,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Contribuição</w:t>
      </w:r>
      <w:r>
        <w:rPr>
          <w:b/>
          <w:color w:val="006666"/>
          <w:spacing w:val="-2"/>
          <w:sz w:val="26"/>
        </w:rPr>
        <w:t> </w:t>
      </w:r>
      <w:r>
        <w:rPr>
          <w:b/>
          <w:color w:val="006666"/>
          <w:sz w:val="26"/>
        </w:rPr>
        <w:t>CSC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Reserva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pacing w:val="-2"/>
          <w:sz w:val="26"/>
        </w:rPr>
        <w:t>Contingência.</w:t>
      </w:r>
    </w:p>
    <w:p>
      <w:pPr>
        <w:spacing w:before="160"/>
        <w:ind w:left="0" w:right="105" w:firstLine="0"/>
        <w:jc w:val="right"/>
        <w:rPr>
          <w:b/>
          <w:sz w:val="26"/>
        </w:rPr>
      </w:pPr>
      <w:r>
        <w:rPr>
          <w:b/>
          <w:color w:val="006666"/>
          <w:sz w:val="26"/>
        </w:rPr>
        <w:t>(Programação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2021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X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Reprogramação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pacing w:val="-4"/>
          <w:sz w:val="26"/>
        </w:rPr>
        <w:t>2020)</w:t>
      </w:r>
    </w:p>
    <w:p>
      <w:pPr>
        <w:pStyle w:val="BodyText"/>
        <w:spacing w:before="2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900683</wp:posOffset>
            </wp:positionH>
            <wp:positionV relativeFrom="paragraph">
              <wp:posOffset>101776</wp:posOffset>
            </wp:positionV>
            <wp:extent cx="6116976" cy="6839711"/>
            <wp:effectExtent l="0" t="0" r="0" b="0"/>
            <wp:wrapTopAndBottom/>
            <wp:docPr id="9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76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516" w:footer="442" w:top="1540" w:bottom="64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Heading1"/>
        <w:ind w:left="1485" w:right="1057"/>
      </w:pPr>
      <w:r>
        <w:rPr>
          <w:color w:val="008080"/>
        </w:rPr>
        <w:t>ANEXO</w:t>
      </w:r>
      <w:r>
        <w:rPr>
          <w:color w:val="008080"/>
          <w:spacing w:val="-1"/>
        </w:rPr>
        <w:t> </w:t>
      </w:r>
      <w:r>
        <w:rPr>
          <w:color w:val="008080"/>
          <w:spacing w:val="-10"/>
        </w:rPr>
        <w:t>4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/>
        <w:ind w:left="905" w:right="475"/>
      </w:pPr>
      <w:r>
        <w:rPr>
          <w:color w:val="008080"/>
        </w:rPr>
        <w:t>Matriz</w:t>
      </w:r>
      <w:r>
        <w:rPr>
          <w:color w:val="008080"/>
          <w:spacing w:val="-10"/>
        </w:rPr>
        <w:t> </w:t>
      </w:r>
      <w:r>
        <w:rPr>
          <w:color w:val="008080"/>
        </w:rPr>
        <w:t>das</w:t>
      </w:r>
      <w:r>
        <w:rPr>
          <w:color w:val="008080"/>
          <w:spacing w:val="-9"/>
        </w:rPr>
        <w:t> </w:t>
      </w:r>
      <w:r>
        <w:rPr>
          <w:color w:val="008080"/>
        </w:rPr>
        <w:t>Iniciativas</w:t>
      </w:r>
      <w:r>
        <w:rPr>
          <w:color w:val="008080"/>
          <w:spacing w:val="-9"/>
        </w:rPr>
        <w:t> </w:t>
      </w:r>
      <w:r>
        <w:rPr>
          <w:color w:val="008080"/>
        </w:rPr>
        <w:t>Estratégicas</w:t>
      </w:r>
      <w:r>
        <w:rPr>
          <w:color w:val="008080"/>
          <w:spacing w:val="-9"/>
        </w:rPr>
        <w:t> </w:t>
      </w:r>
      <w:r>
        <w:rPr>
          <w:color w:val="008080"/>
        </w:rPr>
        <w:t>vinculadas aos Objetivos Estratégicos Principais por CAU/UF e CAU/BR (Quantidades, Valores e </w:t>
      </w:r>
      <w:r>
        <w:rPr>
          <w:color w:val="008080"/>
          <w:spacing w:val="-2"/>
        </w:rPr>
        <w:t>Percentuais).</w:t>
      </w:r>
    </w:p>
    <w:p>
      <w:pPr>
        <w:spacing w:after="0" w:line="360" w:lineRule="auto"/>
        <w:sectPr>
          <w:pgSz w:w="11910" w:h="16840"/>
          <w:pgMar w:header="516" w:footer="442" w:top="1540" w:bottom="640" w:left="880" w:right="74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4"/>
        <w:spacing w:before="48"/>
        <w:ind w:left="1402"/>
      </w:pPr>
      <w:bookmarkStart w:name="_bookmark44" w:id="45"/>
      <w:bookmarkEnd w:id="45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7"/>
        </w:rPr>
        <w:t> </w:t>
      </w:r>
      <w:r>
        <w:rPr>
          <w:color w:val="006666"/>
        </w:rPr>
        <w:t>4.</w:t>
      </w:r>
      <w:r>
        <w:rPr>
          <w:color w:val="006666"/>
          <w:spacing w:val="-5"/>
        </w:rPr>
        <w:t> </w:t>
      </w:r>
      <w:r>
        <w:rPr>
          <w:color w:val="006666"/>
        </w:rPr>
        <w:t>Matriz</w:t>
      </w:r>
      <w:r>
        <w:rPr>
          <w:color w:val="006666"/>
          <w:spacing w:val="-5"/>
        </w:rPr>
        <w:t> </w:t>
      </w:r>
      <w:r>
        <w:rPr>
          <w:color w:val="006666"/>
        </w:rPr>
        <w:t>das</w:t>
      </w:r>
      <w:r>
        <w:rPr>
          <w:color w:val="006666"/>
          <w:spacing w:val="-4"/>
        </w:rPr>
        <w:t> </w:t>
      </w:r>
      <w:r>
        <w:rPr>
          <w:color w:val="006666"/>
        </w:rPr>
        <w:t>Iniciativas</w:t>
      </w:r>
      <w:r>
        <w:rPr>
          <w:color w:val="006666"/>
          <w:spacing w:val="-5"/>
        </w:rPr>
        <w:t> </w:t>
      </w:r>
      <w:r>
        <w:rPr>
          <w:color w:val="006666"/>
        </w:rPr>
        <w:t>Estratégicas</w:t>
      </w:r>
      <w:r>
        <w:rPr>
          <w:color w:val="006666"/>
          <w:spacing w:val="-4"/>
        </w:rPr>
        <w:t> </w:t>
      </w:r>
      <w:r>
        <w:rPr>
          <w:color w:val="006666"/>
        </w:rPr>
        <w:t>vinculadas</w:t>
      </w:r>
      <w:r>
        <w:rPr>
          <w:color w:val="006666"/>
          <w:spacing w:val="-4"/>
        </w:rPr>
        <w:t> </w:t>
      </w:r>
      <w:r>
        <w:rPr>
          <w:color w:val="006666"/>
        </w:rPr>
        <w:t>aos</w:t>
      </w:r>
      <w:r>
        <w:rPr>
          <w:color w:val="006666"/>
          <w:spacing w:val="-4"/>
        </w:rPr>
        <w:t> </w:t>
      </w:r>
      <w:r>
        <w:rPr>
          <w:color w:val="006666"/>
        </w:rPr>
        <w:t>Objetivos</w:t>
      </w:r>
      <w:r>
        <w:rPr>
          <w:color w:val="006666"/>
          <w:spacing w:val="-5"/>
        </w:rPr>
        <w:t> </w:t>
      </w:r>
      <w:r>
        <w:rPr>
          <w:color w:val="006666"/>
        </w:rPr>
        <w:t>Estratégicos</w:t>
      </w:r>
      <w:r>
        <w:rPr>
          <w:color w:val="006666"/>
          <w:spacing w:val="-5"/>
        </w:rPr>
        <w:t> </w:t>
      </w:r>
      <w:r>
        <w:rPr>
          <w:color w:val="006666"/>
        </w:rPr>
        <w:t>Principais</w:t>
      </w:r>
      <w:r>
        <w:rPr>
          <w:color w:val="006666"/>
          <w:spacing w:val="-4"/>
        </w:rPr>
        <w:t> </w:t>
      </w:r>
      <w:r>
        <w:rPr>
          <w:color w:val="006666"/>
        </w:rPr>
        <w:t>por</w:t>
      </w:r>
      <w:r>
        <w:rPr>
          <w:color w:val="006666"/>
          <w:spacing w:val="-6"/>
        </w:rPr>
        <w:t> </w:t>
      </w:r>
      <w:r>
        <w:rPr>
          <w:color w:val="006666"/>
        </w:rPr>
        <w:t>CAU/UF</w:t>
      </w:r>
      <w:r>
        <w:rPr>
          <w:color w:val="006666"/>
          <w:spacing w:val="-4"/>
        </w:rPr>
        <w:t> </w:t>
      </w:r>
      <w:r>
        <w:rPr>
          <w:color w:val="006666"/>
        </w:rPr>
        <w:t>e</w:t>
      </w:r>
      <w:r>
        <w:rPr>
          <w:color w:val="006666"/>
          <w:spacing w:val="-6"/>
        </w:rPr>
        <w:t> </w:t>
      </w:r>
      <w:r>
        <w:rPr>
          <w:color w:val="006666"/>
        </w:rPr>
        <w:t>CAU/BR</w:t>
      </w:r>
      <w:r>
        <w:rPr>
          <w:color w:val="006666"/>
          <w:spacing w:val="-5"/>
        </w:rPr>
        <w:t> </w:t>
      </w:r>
      <w:r>
        <w:rPr>
          <w:color w:val="006666"/>
          <w:spacing w:val="-2"/>
        </w:rPr>
        <w:t>(Quantidades).</w:t>
      </w:r>
    </w:p>
    <w:p>
      <w:pPr>
        <w:pStyle w:val="BodyText"/>
        <w:spacing w:before="1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576072</wp:posOffset>
            </wp:positionH>
            <wp:positionV relativeFrom="paragraph">
              <wp:posOffset>100291</wp:posOffset>
            </wp:positionV>
            <wp:extent cx="9495082" cy="5413248"/>
            <wp:effectExtent l="0" t="0" r="0" b="0"/>
            <wp:wrapTopAndBottom/>
            <wp:docPr id="9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082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</w:rPr>
      </w:pPr>
    </w:p>
    <w:p>
      <w:pPr>
        <w:spacing w:before="0"/>
        <w:ind w:left="107" w:right="0" w:firstLine="0"/>
        <w:jc w:val="left"/>
        <w:rPr>
          <w:b/>
          <w:sz w:val="20"/>
        </w:rPr>
      </w:pPr>
      <w:r>
        <w:rPr>
          <w:b/>
          <w:sz w:val="20"/>
        </w:rPr>
        <w:t>*Os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Objetivos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Estratégicos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locais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priorizados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cada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CAU/UF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estão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sinalizados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verde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quadro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acima.</w:t>
      </w:r>
    </w:p>
    <w:p>
      <w:pPr>
        <w:spacing w:after="0"/>
        <w:jc w:val="left"/>
        <w:rPr>
          <w:sz w:val="20"/>
        </w:rPr>
        <w:sectPr>
          <w:headerReference w:type="default" r:id="rId60"/>
          <w:footerReference w:type="default" r:id="rId61"/>
          <w:pgSz w:w="16840" w:h="11910" w:orient="landscape"/>
          <w:pgMar w:header="523" w:footer="442" w:top="1400" w:bottom="640" w:left="800" w:right="56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before="48"/>
        <w:ind w:left="322" w:right="0" w:firstLine="0"/>
        <w:jc w:val="lef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4.1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Matriz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das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Iniciativas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Estratégicas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vinculadas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aos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Objetivos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Estratégicos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Principais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CAU/UF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CAU/BR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(Valores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pacing w:val="-2"/>
          <w:sz w:val="26"/>
        </w:rPr>
        <w:t>Percentuais).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576072</wp:posOffset>
            </wp:positionH>
            <wp:positionV relativeFrom="paragraph">
              <wp:posOffset>94024</wp:posOffset>
            </wp:positionV>
            <wp:extent cx="9661533" cy="5303520"/>
            <wp:effectExtent l="0" t="0" r="0" b="0"/>
            <wp:wrapTopAndBottom/>
            <wp:docPr id="9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533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6840" w:h="11910" w:orient="landscape"/>
          <w:pgMar w:header="523" w:footer="442" w:top="1400" w:bottom="640" w:left="80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9649386" cy="5474208"/>
            <wp:effectExtent l="0" t="0" r="0" b="0"/>
            <wp:docPr id="10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9386" cy="547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4"/>
          <w:footerReference w:type="default" r:id="rId65"/>
          <w:pgSz w:w="16840" w:h="11910" w:orient="landscape"/>
          <w:pgMar w:header="523" w:footer="442" w:top="1900" w:bottom="640" w:left="80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9643288" cy="5462016"/>
            <wp:effectExtent l="0" t="0" r="0" b="0"/>
            <wp:docPr id="10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288" cy="546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7"/>
          <w:footerReference w:type="default" r:id="rId68"/>
          <w:pgSz w:w="16840" w:h="11910" w:orient="landscape"/>
          <w:pgMar w:header="523" w:footer="442" w:top="1900" w:bottom="640" w:left="80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9088581" cy="5260848"/>
            <wp:effectExtent l="0" t="0" r="0" b="0"/>
            <wp:docPr id="10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8581" cy="5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0"/>
          <w:footerReference w:type="default" r:id="rId71"/>
          <w:pgSz w:w="16840" w:h="11910" w:orient="landscape"/>
          <w:pgMar w:header="523" w:footer="442" w:top="1900" w:bottom="640" w:left="800" w:right="560"/>
        </w:sectPr>
      </w:pPr>
    </w:p>
    <w:p>
      <w:pPr>
        <w:pStyle w:val="BodyText"/>
        <w:ind w:left="24" w:right="-29"/>
        <w:rPr>
          <w:sz w:val="20"/>
        </w:rPr>
      </w:pPr>
      <w:r>
        <w:rPr>
          <w:sz w:val="20"/>
        </w:rPr>
        <w:drawing>
          <wp:inline distT="0" distB="0" distL="0" distR="0">
            <wp:extent cx="7531408" cy="566927"/>
            <wp:effectExtent l="0" t="0" r="0" b="0"/>
            <wp:docPr id="111" name="image51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408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173"/>
        <w:ind w:left="1501" w:right="789"/>
      </w:pPr>
      <w:r>
        <w:rPr>
          <w:color w:val="008080"/>
        </w:rPr>
        <w:t>ANEXO</w:t>
      </w:r>
      <w:r>
        <w:rPr>
          <w:color w:val="008080"/>
          <w:spacing w:val="-1"/>
        </w:rPr>
        <w:t> </w:t>
      </w:r>
      <w:r>
        <w:rPr>
          <w:color w:val="008080"/>
          <w:spacing w:val="-10"/>
        </w:rPr>
        <w:t>5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 w:before="319"/>
        <w:ind w:left="1504" w:right="789"/>
      </w:pPr>
      <w:r>
        <w:rPr>
          <w:color w:val="008080"/>
        </w:rPr>
        <w:t>Demonstrativo</w:t>
      </w:r>
      <w:r>
        <w:rPr>
          <w:color w:val="008080"/>
          <w:spacing w:val="-10"/>
        </w:rPr>
        <w:t> </w:t>
      </w:r>
      <w:r>
        <w:rPr>
          <w:color w:val="008080"/>
        </w:rPr>
        <w:t>das</w:t>
      </w:r>
      <w:r>
        <w:rPr>
          <w:color w:val="008080"/>
          <w:spacing w:val="-2"/>
        </w:rPr>
        <w:t> </w:t>
      </w:r>
      <w:r>
        <w:rPr>
          <w:color w:val="008080"/>
        </w:rPr>
        <w:t>Aplicações</w:t>
      </w:r>
      <w:r>
        <w:rPr>
          <w:color w:val="008080"/>
          <w:spacing w:val="-8"/>
        </w:rPr>
        <w:t> </w:t>
      </w:r>
      <w:r>
        <w:rPr>
          <w:color w:val="008080"/>
        </w:rPr>
        <w:t>por</w:t>
      </w:r>
      <w:r>
        <w:rPr>
          <w:color w:val="008080"/>
          <w:spacing w:val="-9"/>
        </w:rPr>
        <w:t> </w:t>
      </w:r>
      <w:r>
        <w:rPr>
          <w:color w:val="008080"/>
        </w:rPr>
        <w:t>Elementos</w:t>
      </w:r>
      <w:r>
        <w:rPr>
          <w:color w:val="008080"/>
          <w:spacing w:val="-8"/>
        </w:rPr>
        <w:t> </w:t>
      </w:r>
      <w:r>
        <w:rPr>
          <w:color w:val="008080"/>
        </w:rPr>
        <w:t>de Despesa – por CAU/UF e CAU/BR.</w:t>
      </w:r>
    </w:p>
    <w:p>
      <w:pPr>
        <w:spacing w:after="0" w:line="360" w:lineRule="auto"/>
        <w:sectPr>
          <w:headerReference w:type="default" r:id="rId73"/>
          <w:footerReference w:type="default" r:id="rId74"/>
          <w:pgSz w:w="11910" w:h="16840"/>
          <w:pgMar w:header="0" w:footer="442" w:top="62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217"/>
        <w:ind w:left="6185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ragraph">
              <wp:posOffset>-470476</wp:posOffset>
            </wp:positionV>
            <wp:extent cx="10692383" cy="565573"/>
            <wp:effectExtent l="0" t="0" r="0" b="0"/>
            <wp:wrapNone/>
            <wp:docPr id="113" name="image52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5" w:id="46"/>
      <w:bookmarkEnd w:id="46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5"/>
        </w:rPr>
        <w:t> </w:t>
      </w:r>
      <w:r>
        <w:rPr>
          <w:color w:val="006666"/>
        </w:rPr>
        <w:t>5.</w:t>
      </w:r>
      <w:r>
        <w:rPr>
          <w:color w:val="006666"/>
          <w:spacing w:val="-2"/>
        </w:rPr>
        <w:t> </w:t>
      </w:r>
      <w:r>
        <w:rPr>
          <w:color w:val="006666"/>
        </w:rPr>
        <w:t>Demonstrativo</w:t>
      </w:r>
      <w:r>
        <w:rPr>
          <w:color w:val="006666"/>
          <w:spacing w:val="-2"/>
        </w:rPr>
        <w:t> </w:t>
      </w:r>
      <w:r>
        <w:rPr>
          <w:color w:val="006666"/>
        </w:rPr>
        <w:t>das</w:t>
      </w:r>
      <w:r>
        <w:rPr>
          <w:color w:val="006666"/>
          <w:spacing w:val="-3"/>
        </w:rPr>
        <w:t> </w:t>
      </w:r>
      <w:r>
        <w:rPr>
          <w:color w:val="006666"/>
        </w:rPr>
        <w:t>Aplicações</w:t>
      </w:r>
      <w:r>
        <w:rPr>
          <w:color w:val="006666"/>
          <w:spacing w:val="-4"/>
        </w:rPr>
        <w:t> </w:t>
      </w:r>
      <w:r>
        <w:rPr>
          <w:color w:val="006666"/>
        </w:rPr>
        <w:t>por</w:t>
      </w:r>
      <w:r>
        <w:rPr>
          <w:color w:val="006666"/>
          <w:spacing w:val="-3"/>
        </w:rPr>
        <w:t> </w:t>
      </w:r>
      <w:r>
        <w:rPr>
          <w:color w:val="006666"/>
        </w:rPr>
        <w:t>Elementos</w:t>
      </w:r>
      <w:r>
        <w:rPr>
          <w:color w:val="006666"/>
          <w:spacing w:val="-3"/>
        </w:rPr>
        <w:t> </w:t>
      </w:r>
      <w:r>
        <w:rPr>
          <w:color w:val="006666"/>
        </w:rPr>
        <w:t>de</w:t>
      </w:r>
      <w:r>
        <w:rPr>
          <w:color w:val="006666"/>
          <w:spacing w:val="-3"/>
        </w:rPr>
        <w:t> </w:t>
      </w:r>
      <w:r>
        <w:rPr>
          <w:color w:val="006666"/>
        </w:rPr>
        <w:t>Despesa</w:t>
      </w:r>
      <w:r>
        <w:rPr>
          <w:color w:val="006666"/>
          <w:spacing w:val="-2"/>
        </w:rPr>
        <w:t> </w:t>
      </w:r>
      <w:r>
        <w:rPr>
          <w:color w:val="006666"/>
        </w:rPr>
        <w:t>–</w:t>
      </w:r>
      <w:r>
        <w:rPr>
          <w:color w:val="006666"/>
          <w:spacing w:val="-3"/>
        </w:rPr>
        <w:t> </w:t>
      </w:r>
      <w:r>
        <w:rPr>
          <w:color w:val="006666"/>
        </w:rPr>
        <w:t>por</w:t>
      </w:r>
      <w:r>
        <w:rPr>
          <w:color w:val="006666"/>
          <w:spacing w:val="-2"/>
        </w:rPr>
        <w:t> </w:t>
      </w:r>
      <w:r>
        <w:rPr>
          <w:color w:val="006666"/>
        </w:rPr>
        <w:t>CAU/UF</w:t>
      </w:r>
      <w:r>
        <w:rPr>
          <w:color w:val="006666"/>
          <w:spacing w:val="-2"/>
        </w:rPr>
        <w:t> </w:t>
      </w:r>
      <w:r>
        <w:rPr>
          <w:color w:val="006666"/>
        </w:rPr>
        <w:t>e</w:t>
      </w:r>
      <w:r>
        <w:rPr>
          <w:color w:val="006666"/>
          <w:spacing w:val="-3"/>
        </w:rPr>
        <w:t> </w:t>
      </w:r>
      <w:r>
        <w:rPr>
          <w:color w:val="006666"/>
          <w:spacing w:val="-2"/>
        </w:rPr>
        <w:t>CAU/BR</w:t>
      </w:r>
    </w:p>
    <w:p>
      <w:pPr>
        <w:pStyle w:val="BodyText"/>
        <w:spacing w:before="1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900683</wp:posOffset>
            </wp:positionH>
            <wp:positionV relativeFrom="paragraph">
              <wp:posOffset>100327</wp:posOffset>
            </wp:positionV>
            <wp:extent cx="9424375" cy="5116068"/>
            <wp:effectExtent l="0" t="0" r="0" b="0"/>
            <wp:wrapTopAndBottom/>
            <wp:docPr id="11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375" cy="511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5"/>
        </w:rPr>
      </w:pPr>
    </w:p>
    <w:p>
      <w:pPr>
        <w:spacing w:line="360" w:lineRule="auto" w:before="0"/>
        <w:ind w:left="1418" w:right="862" w:firstLine="850"/>
        <w:jc w:val="left"/>
        <w:rPr>
          <w:sz w:val="22"/>
        </w:rPr>
      </w:pPr>
      <w:r>
        <w:rPr>
          <w:sz w:val="22"/>
        </w:rPr>
        <w:t>*Para Salários e Encargos do CAU/BR foi considerado o valor de R$ 187,28 mil destinado a efetivação da fase da "Implantação da CTO" (Reestruturação do organograma).</w:t>
      </w:r>
    </w:p>
    <w:p>
      <w:pPr>
        <w:spacing w:after="0" w:line="360" w:lineRule="auto"/>
        <w:jc w:val="left"/>
        <w:rPr>
          <w:sz w:val="22"/>
        </w:rPr>
        <w:sectPr>
          <w:headerReference w:type="default" r:id="rId76"/>
          <w:footerReference w:type="default" r:id="rId77"/>
          <w:pgSz w:w="16840" w:h="11910" w:orient="landscape"/>
          <w:pgMar w:header="0" w:footer="442" w:top="64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</w:pPr>
      <w:r>
        <w:rPr>
          <w:color w:val="008080"/>
        </w:rPr>
        <w:t>ANEXO</w:t>
      </w:r>
      <w:r>
        <w:rPr>
          <w:color w:val="008080"/>
          <w:spacing w:val="-1"/>
        </w:rPr>
        <w:t> </w:t>
      </w:r>
      <w:r>
        <w:rPr>
          <w:color w:val="008080"/>
          <w:spacing w:val="-10"/>
        </w:rPr>
        <w:t>6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/>
        <w:ind w:left="183" w:right="172" w:hanging="6"/>
      </w:pPr>
      <w:r>
        <w:rPr>
          <w:color w:val="008080"/>
        </w:rPr>
        <w:t>Demonstrativo Comparativo dos Limites de Destinação</w:t>
      </w:r>
      <w:r>
        <w:rPr>
          <w:color w:val="008080"/>
          <w:spacing w:val="-8"/>
        </w:rPr>
        <w:t> </w:t>
      </w:r>
      <w:r>
        <w:rPr>
          <w:color w:val="008080"/>
        </w:rPr>
        <w:t>Estratégica</w:t>
      </w:r>
      <w:r>
        <w:rPr>
          <w:color w:val="008080"/>
          <w:spacing w:val="-8"/>
        </w:rPr>
        <w:t> </w:t>
      </w:r>
      <w:r>
        <w:rPr>
          <w:color w:val="008080"/>
        </w:rPr>
        <w:t>de</w:t>
      </w:r>
      <w:r>
        <w:rPr>
          <w:color w:val="008080"/>
          <w:spacing w:val="-9"/>
        </w:rPr>
        <w:t> </w:t>
      </w:r>
      <w:r>
        <w:rPr>
          <w:color w:val="008080"/>
        </w:rPr>
        <w:t>Recursos</w:t>
      </w:r>
      <w:r>
        <w:rPr>
          <w:color w:val="008080"/>
          <w:spacing w:val="-5"/>
        </w:rPr>
        <w:t> </w:t>
      </w:r>
      <w:r>
        <w:rPr>
          <w:color w:val="008080"/>
        </w:rPr>
        <w:t>por</w:t>
      </w:r>
      <w:r>
        <w:rPr>
          <w:color w:val="008080"/>
          <w:spacing w:val="-9"/>
        </w:rPr>
        <w:t> </w:t>
      </w:r>
      <w:r>
        <w:rPr>
          <w:color w:val="008080"/>
        </w:rPr>
        <w:t>CAU/UF e CAU/BR.</w:t>
      </w:r>
    </w:p>
    <w:p>
      <w:pPr>
        <w:spacing w:before="161"/>
        <w:ind w:left="118" w:right="113" w:firstLine="0"/>
        <w:jc w:val="center"/>
        <w:rPr>
          <w:b/>
          <w:sz w:val="48"/>
        </w:rPr>
      </w:pPr>
      <w:r>
        <w:rPr>
          <w:b/>
          <w:color w:val="008080"/>
          <w:sz w:val="48"/>
        </w:rPr>
        <w:t>(Receitas</w:t>
      </w:r>
      <w:r>
        <w:rPr>
          <w:b/>
          <w:color w:val="008080"/>
          <w:spacing w:val="-7"/>
          <w:sz w:val="48"/>
        </w:rPr>
        <w:t> </w:t>
      </w:r>
      <w:r>
        <w:rPr>
          <w:b/>
          <w:color w:val="008080"/>
          <w:sz w:val="48"/>
        </w:rPr>
        <w:t>Correntes</w:t>
      </w:r>
      <w:r>
        <w:rPr>
          <w:b/>
          <w:color w:val="008080"/>
          <w:spacing w:val="-4"/>
          <w:sz w:val="48"/>
        </w:rPr>
        <w:t> </w:t>
      </w:r>
      <w:r>
        <w:rPr>
          <w:b/>
          <w:color w:val="008080"/>
          <w:sz w:val="48"/>
        </w:rPr>
        <w:t>X</w:t>
      </w:r>
      <w:r>
        <w:rPr>
          <w:b/>
          <w:color w:val="008080"/>
          <w:spacing w:val="-5"/>
          <w:sz w:val="48"/>
        </w:rPr>
        <w:t> </w:t>
      </w:r>
      <w:r>
        <w:rPr>
          <w:b/>
          <w:color w:val="008080"/>
          <w:sz w:val="48"/>
        </w:rPr>
        <w:t>Despesas</w:t>
      </w:r>
      <w:r>
        <w:rPr>
          <w:b/>
          <w:color w:val="008080"/>
          <w:spacing w:val="-5"/>
          <w:sz w:val="48"/>
        </w:rPr>
        <w:t> </w:t>
      </w:r>
      <w:r>
        <w:rPr>
          <w:b/>
          <w:color w:val="008080"/>
          <w:sz w:val="48"/>
        </w:rPr>
        <w:t>com</w:t>
      </w:r>
      <w:r>
        <w:rPr>
          <w:b/>
          <w:color w:val="008080"/>
          <w:spacing w:val="-4"/>
          <w:sz w:val="48"/>
        </w:rPr>
        <w:t> </w:t>
      </w:r>
      <w:r>
        <w:rPr>
          <w:b/>
          <w:color w:val="008080"/>
          <w:spacing w:val="-2"/>
          <w:sz w:val="48"/>
        </w:rPr>
        <w:t>Pessoal).</w:t>
      </w:r>
    </w:p>
    <w:p>
      <w:pPr>
        <w:spacing w:after="0"/>
        <w:jc w:val="center"/>
        <w:rPr>
          <w:sz w:val="48"/>
        </w:rPr>
        <w:sectPr>
          <w:headerReference w:type="default" r:id="rId80"/>
          <w:footerReference w:type="default" r:id="rId81"/>
          <w:pgSz w:w="11910" w:h="16840"/>
          <w:pgMar w:header="663" w:footer="442" w:top="1540" w:bottom="640" w:left="1300" w:right="740"/>
          <w:pgNumType w:start="56"/>
        </w:sectPr>
      </w:pPr>
    </w:p>
    <w:p>
      <w:pPr>
        <w:pStyle w:val="Heading4"/>
        <w:spacing w:line="360" w:lineRule="auto" w:before="37"/>
        <w:ind w:left="2382" w:hanging="2161"/>
      </w:pPr>
      <w:bookmarkStart w:name="_bookmark46" w:id="47"/>
      <w:bookmarkEnd w:id="47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3"/>
        </w:rPr>
        <w:t> </w:t>
      </w:r>
      <w:r>
        <w:rPr>
          <w:color w:val="006666"/>
        </w:rPr>
        <w:t>6.</w:t>
      </w:r>
      <w:r>
        <w:rPr>
          <w:color w:val="006666"/>
          <w:spacing w:val="-3"/>
        </w:rPr>
        <w:t> </w:t>
      </w:r>
      <w:r>
        <w:rPr>
          <w:color w:val="006666"/>
        </w:rPr>
        <w:t>Demonstrativo</w:t>
      </w:r>
      <w:r>
        <w:rPr>
          <w:color w:val="006666"/>
          <w:spacing w:val="-3"/>
        </w:rPr>
        <w:t> </w:t>
      </w:r>
      <w:r>
        <w:rPr>
          <w:color w:val="006666"/>
        </w:rPr>
        <w:t>Comparativo</w:t>
      </w:r>
      <w:r>
        <w:rPr>
          <w:color w:val="006666"/>
          <w:spacing w:val="-3"/>
        </w:rPr>
        <w:t> </w:t>
      </w:r>
      <w:r>
        <w:rPr>
          <w:color w:val="006666"/>
        </w:rPr>
        <w:t>dos</w:t>
      </w:r>
      <w:r>
        <w:rPr>
          <w:color w:val="006666"/>
          <w:spacing w:val="-3"/>
        </w:rPr>
        <w:t> </w:t>
      </w:r>
      <w:r>
        <w:rPr>
          <w:color w:val="006666"/>
        </w:rPr>
        <w:t>Limites</w:t>
      </w:r>
      <w:r>
        <w:rPr>
          <w:color w:val="006666"/>
          <w:spacing w:val="-4"/>
        </w:rPr>
        <w:t> </w:t>
      </w:r>
      <w:r>
        <w:rPr>
          <w:color w:val="006666"/>
        </w:rPr>
        <w:t>de</w:t>
      </w:r>
      <w:r>
        <w:rPr>
          <w:color w:val="006666"/>
          <w:spacing w:val="-3"/>
        </w:rPr>
        <w:t> </w:t>
      </w:r>
      <w:r>
        <w:rPr>
          <w:color w:val="006666"/>
        </w:rPr>
        <w:t>Destinação</w:t>
      </w:r>
      <w:r>
        <w:rPr>
          <w:color w:val="006666"/>
          <w:spacing w:val="-3"/>
        </w:rPr>
        <w:t> </w:t>
      </w:r>
      <w:r>
        <w:rPr>
          <w:color w:val="006666"/>
        </w:rPr>
        <w:t>Estratégica</w:t>
      </w:r>
      <w:r>
        <w:rPr>
          <w:color w:val="006666"/>
          <w:spacing w:val="-5"/>
        </w:rPr>
        <w:t> </w:t>
      </w:r>
      <w:r>
        <w:rPr>
          <w:color w:val="006666"/>
        </w:rPr>
        <w:t>de</w:t>
      </w:r>
      <w:r>
        <w:rPr>
          <w:color w:val="006666"/>
          <w:spacing w:val="-4"/>
        </w:rPr>
        <w:t> </w:t>
      </w:r>
      <w:r>
        <w:rPr>
          <w:color w:val="006666"/>
        </w:rPr>
        <w:t>Recursos por</w:t>
      </w:r>
      <w:r>
        <w:rPr>
          <w:color w:val="006666"/>
          <w:spacing w:val="-5"/>
        </w:rPr>
        <w:t> </w:t>
      </w:r>
      <w:r>
        <w:rPr>
          <w:color w:val="006666"/>
        </w:rPr>
        <w:t>CAU/UF</w:t>
      </w:r>
      <w:r>
        <w:rPr>
          <w:color w:val="006666"/>
          <w:spacing w:val="-3"/>
        </w:rPr>
        <w:t> </w:t>
      </w:r>
      <w:r>
        <w:rPr>
          <w:color w:val="006666"/>
        </w:rPr>
        <w:t>e</w:t>
      </w:r>
      <w:r>
        <w:rPr>
          <w:color w:val="006666"/>
          <w:spacing w:val="-4"/>
        </w:rPr>
        <w:t> </w:t>
      </w:r>
      <w:r>
        <w:rPr>
          <w:color w:val="006666"/>
        </w:rPr>
        <w:t>CAU/BR</w:t>
      </w:r>
      <w:r>
        <w:rPr>
          <w:color w:val="006666"/>
          <w:spacing w:val="-3"/>
        </w:rPr>
        <w:t> </w:t>
      </w:r>
      <w:r>
        <w:rPr>
          <w:color w:val="006666"/>
        </w:rPr>
        <w:t>(Receitas</w:t>
      </w:r>
      <w:r>
        <w:rPr>
          <w:color w:val="006666"/>
          <w:spacing w:val="-4"/>
        </w:rPr>
        <w:t> </w:t>
      </w:r>
      <w:r>
        <w:rPr>
          <w:color w:val="006666"/>
        </w:rPr>
        <w:t>Correntes</w:t>
      </w:r>
      <w:r>
        <w:rPr>
          <w:color w:val="006666"/>
          <w:spacing w:val="-3"/>
        </w:rPr>
        <w:t> </w:t>
      </w:r>
      <w:r>
        <w:rPr>
          <w:color w:val="006666"/>
        </w:rPr>
        <w:t>X</w:t>
      </w:r>
      <w:r>
        <w:rPr>
          <w:color w:val="006666"/>
          <w:spacing w:val="-3"/>
        </w:rPr>
        <w:t> </w:t>
      </w:r>
      <w:r>
        <w:rPr>
          <w:color w:val="006666"/>
        </w:rPr>
        <w:t>Despesas</w:t>
      </w:r>
      <w:r>
        <w:rPr>
          <w:color w:val="006666"/>
          <w:spacing w:val="-4"/>
        </w:rPr>
        <w:t> </w:t>
      </w:r>
      <w:r>
        <w:rPr>
          <w:color w:val="006666"/>
        </w:rPr>
        <w:t>com</w:t>
      </w:r>
      <w:r>
        <w:rPr>
          <w:color w:val="006666"/>
          <w:spacing w:val="-3"/>
        </w:rPr>
        <w:t> </w:t>
      </w:r>
      <w:r>
        <w:rPr>
          <w:color w:val="006666"/>
          <w:spacing w:val="-2"/>
        </w:rPr>
        <w:t>Pessoal).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15180" cy="7696390"/>
            <wp:effectExtent l="0" t="0" r="0" b="0"/>
            <wp:docPr id="11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180" cy="76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23"/>
        </w:rPr>
      </w:pPr>
    </w:p>
    <w:p>
      <w:pPr>
        <w:spacing w:line="360" w:lineRule="auto" w:before="0"/>
        <w:ind w:left="118" w:right="0" w:firstLine="0"/>
        <w:jc w:val="left"/>
        <w:rPr>
          <w:b/>
          <w:sz w:val="16"/>
        </w:rPr>
      </w:pPr>
      <w:r>
        <w:rPr>
          <w:b/>
          <w:sz w:val="16"/>
        </w:rPr>
        <w:t>*Despesas com Pessoal (Salários e Encargos): para efeito do cálculo do limite de pessoal não consideramos as despesas decorrentes de rescisões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contratuais, auxílio alimentação, auxílio transporte, plano de saúde e demais benefícios.</w:t>
      </w:r>
    </w:p>
    <w:p>
      <w:pPr>
        <w:spacing w:after="0" w:line="360" w:lineRule="auto"/>
        <w:jc w:val="left"/>
        <w:rPr>
          <w:sz w:val="16"/>
        </w:rPr>
        <w:sectPr>
          <w:pgSz w:w="11910" w:h="16840"/>
          <w:pgMar w:header="663" w:footer="442" w:top="1540" w:bottom="640" w:left="130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</w:pPr>
      <w:r>
        <w:rPr>
          <w:color w:val="008080"/>
        </w:rPr>
        <w:t>ANEXO</w:t>
      </w:r>
      <w:r>
        <w:rPr>
          <w:color w:val="008080"/>
          <w:spacing w:val="-1"/>
        </w:rPr>
        <w:t> </w:t>
      </w:r>
      <w:r>
        <w:rPr>
          <w:color w:val="008080"/>
          <w:spacing w:val="-10"/>
        </w:rPr>
        <w:t>7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tabs>
          <w:tab w:pos="3549" w:val="left" w:leader="none"/>
          <w:tab w:pos="4709" w:val="left" w:leader="none"/>
          <w:tab w:pos="6588" w:val="left" w:leader="none"/>
          <w:tab w:pos="7538" w:val="left" w:leader="none"/>
        </w:tabs>
        <w:spacing w:line="360" w:lineRule="auto" w:before="321"/>
        <w:ind w:left="118" w:right="117" w:firstLine="0"/>
        <w:jc w:val="center"/>
        <w:rPr>
          <w:b/>
          <w:sz w:val="48"/>
        </w:rPr>
      </w:pPr>
      <w:r>
        <w:rPr>
          <w:b/>
          <w:color w:val="008080"/>
          <w:spacing w:val="-2"/>
          <w:sz w:val="48"/>
        </w:rPr>
        <w:t>Demonstrativo</w:t>
      </w:r>
      <w:r>
        <w:rPr>
          <w:b/>
          <w:color w:val="008080"/>
          <w:sz w:val="48"/>
        </w:rPr>
        <w:tab/>
      </w:r>
      <w:r>
        <w:rPr>
          <w:b/>
          <w:color w:val="008080"/>
          <w:spacing w:val="-4"/>
          <w:sz w:val="48"/>
        </w:rPr>
        <w:t>dos</w:t>
      </w:r>
      <w:r>
        <w:rPr>
          <w:b/>
          <w:color w:val="008080"/>
          <w:sz w:val="48"/>
        </w:rPr>
        <w:tab/>
      </w:r>
      <w:r>
        <w:rPr>
          <w:b/>
          <w:color w:val="008080"/>
          <w:spacing w:val="-2"/>
          <w:sz w:val="48"/>
        </w:rPr>
        <w:t>Limites</w:t>
      </w:r>
      <w:r>
        <w:rPr>
          <w:b/>
          <w:color w:val="008080"/>
          <w:sz w:val="48"/>
        </w:rPr>
        <w:tab/>
      </w:r>
      <w:r>
        <w:rPr>
          <w:b/>
          <w:color w:val="008080"/>
          <w:spacing w:val="-6"/>
          <w:sz w:val="48"/>
        </w:rPr>
        <w:t>de</w:t>
      </w:r>
      <w:r>
        <w:rPr>
          <w:b/>
          <w:color w:val="008080"/>
          <w:sz w:val="48"/>
        </w:rPr>
        <w:tab/>
      </w:r>
      <w:r>
        <w:rPr>
          <w:b/>
          <w:color w:val="008080"/>
          <w:spacing w:val="-2"/>
          <w:sz w:val="48"/>
        </w:rPr>
        <w:t>Destinação </w:t>
      </w:r>
      <w:r>
        <w:rPr>
          <w:b/>
          <w:color w:val="008080"/>
          <w:sz w:val="48"/>
        </w:rPr>
        <w:t>Estratégica</w:t>
      </w:r>
      <w:r>
        <w:rPr>
          <w:b/>
          <w:color w:val="008080"/>
          <w:spacing w:val="-4"/>
          <w:sz w:val="48"/>
        </w:rPr>
        <w:t> </w:t>
      </w:r>
      <w:r>
        <w:rPr>
          <w:b/>
          <w:color w:val="008080"/>
          <w:sz w:val="48"/>
        </w:rPr>
        <w:t>de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z w:val="48"/>
        </w:rPr>
        <w:t>Recursos</w:t>
      </w:r>
      <w:r>
        <w:rPr>
          <w:b/>
          <w:color w:val="008080"/>
          <w:spacing w:val="-2"/>
          <w:sz w:val="48"/>
        </w:rPr>
        <w:t> </w:t>
      </w:r>
      <w:r>
        <w:rPr>
          <w:b/>
          <w:color w:val="008080"/>
          <w:sz w:val="48"/>
        </w:rPr>
        <w:t>–</w:t>
      </w:r>
      <w:r>
        <w:rPr>
          <w:b/>
          <w:color w:val="008080"/>
          <w:spacing w:val="-2"/>
          <w:sz w:val="48"/>
        </w:rPr>
        <w:t> </w:t>
      </w:r>
      <w:r>
        <w:rPr>
          <w:b/>
          <w:color w:val="008080"/>
          <w:sz w:val="48"/>
        </w:rPr>
        <w:t>por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z w:val="48"/>
        </w:rPr>
        <w:t>CAU/UF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z w:val="48"/>
        </w:rPr>
        <w:t>e</w:t>
      </w:r>
      <w:r>
        <w:rPr>
          <w:b/>
          <w:color w:val="008080"/>
          <w:spacing w:val="-2"/>
          <w:sz w:val="48"/>
        </w:rPr>
        <w:t> CAU/BR</w:t>
      </w:r>
    </w:p>
    <w:p>
      <w:pPr>
        <w:spacing w:line="360" w:lineRule="auto" w:before="160"/>
        <w:ind w:left="118" w:right="109" w:firstLine="0"/>
        <w:jc w:val="center"/>
        <w:rPr>
          <w:b/>
          <w:sz w:val="48"/>
        </w:rPr>
      </w:pPr>
      <w:r>
        <w:rPr>
          <w:b/>
          <w:color w:val="008080"/>
          <w:sz w:val="48"/>
        </w:rPr>
        <w:t>(Receitas</w:t>
      </w:r>
      <w:r>
        <w:rPr>
          <w:b/>
          <w:color w:val="008080"/>
          <w:spacing w:val="-7"/>
          <w:sz w:val="48"/>
        </w:rPr>
        <w:t> </w:t>
      </w:r>
      <w:r>
        <w:rPr>
          <w:b/>
          <w:color w:val="008080"/>
          <w:sz w:val="48"/>
        </w:rPr>
        <w:t>de</w:t>
      </w:r>
      <w:r>
        <w:rPr>
          <w:b/>
          <w:color w:val="008080"/>
          <w:spacing w:val="-7"/>
          <w:sz w:val="48"/>
        </w:rPr>
        <w:t> </w:t>
      </w:r>
      <w:r>
        <w:rPr>
          <w:b/>
          <w:color w:val="008080"/>
          <w:sz w:val="48"/>
        </w:rPr>
        <w:t>Arrecadação</w:t>
      </w:r>
      <w:r>
        <w:rPr>
          <w:b/>
          <w:color w:val="008080"/>
          <w:spacing w:val="-8"/>
          <w:sz w:val="48"/>
        </w:rPr>
        <w:t> </w:t>
      </w:r>
      <w:r>
        <w:rPr>
          <w:b/>
          <w:color w:val="008080"/>
          <w:sz w:val="48"/>
        </w:rPr>
        <w:t>Líquida</w:t>
      </w:r>
      <w:r>
        <w:rPr>
          <w:b/>
          <w:color w:val="008080"/>
          <w:spacing w:val="-8"/>
          <w:sz w:val="48"/>
        </w:rPr>
        <w:t> </w:t>
      </w:r>
      <w:r>
        <w:rPr>
          <w:b/>
          <w:color w:val="008080"/>
          <w:sz w:val="48"/>
        </w:rPr>
        <w:t>X</w:t>
      </w:r>
      <w:r>
        <w:rPr>
          <w:b/>
          <w:color w:val="008080"/>
          <w:spacing w:val="-7"/>
          <w:sz w:val="48"/>
        </w:rPr>
        <w:t> </w:t>
      </w:r>
      <w:r>
        <w:rPr>
          <w:b/>
          <w:color w:val="008080"/>
          <w:sz w:val="48"/>
        </w:rPr>
        <w:t>Fiscalização, Atendimento, Comunicação, Patrocínios e Objetivos Estratégico priorizados pelos CAU/UF e pelo CAU/BR).</w:t>
      </w:r>
    </w:p>
    <w:p>
      <w:pPr>
        <w:spacing w:before="160"/>
        <w:ind w:left="118" w:right="114" w:firstLine="0"/>
        <w:jc w:val="center"/>
        <w:rPr>
          <w:b/>
          <w:sz w:val="48"/>
        </w:rPr>
      </w:pPr>
      <w:r>
        <w:rPr>
          <w:b/>
          <w:color w:val="008080"/>
          <w:sz w:val="48"/>
        </w:rPr>
        <w:t>(Folha</w:t>
      </w:r>
      <w:r>
        <w:rPr>
          <w:b/>
          <w:color w:val="008080"/>
          <w:spacing w:val="-4"/>
          <w:sz w:val="48"/>
        </w:rPr>
        <w:t> </w:t>
      </w:r>
      <w:r>
        <w:rPr>
          <w:b/>
          <w:color w:val="008080"/>
          <w:sz w:val="48"/>
        </w:rPr>
        <w:t>de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z w:val="48"/>
        </w:rPr>
        <w:t>Pagamento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z w:val="48"/>
        </w:rPr>
        <w:t>X</w:t>
      </w:r>
      <w:r>
        <w:rPr>
          <w:b/>
          <w:color w:val="008080"/>
          <w:spacing w:val="-2"/>
          <w:sz w:val="48"/>
        </w:rPr>
        <w:t> Capacitação).</w:t>
      </w:r>
    </w:p>
    <w:p>
      <w:pPr>
        <w:spacing w:after="0"/>
        <w:jc w:val="center"/>
        <w:rPr>
          <w:sz w:val="48"/>
        </w:rPr>
        <w:sectPr>
          <w:pgSz w:w="11910" w:h="16840"/>
          <w:pgMar w:header="663" w:footer="442" w:top="1540" w:bottom="640" w:left="130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97"/>
        <w:ind w:left="5322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ragraph">
              <wp:posOffset>-467796</wp:posOffset>
            </wp:positionV>
            <wp:extent cx="10692383" cy="564671"/>
            <wp:effectExtent l="0" t="0" r="0" b="0"/>
            <wp:wrapNone/>
            <wp:docPr id="121" name="image55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7" w:id="48"/>
      <w:bookmarkEnd w:id="48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5"/>
        </w:rPr>
        <w:t> </w:t>
      </w:r>
      <w:r>
        <w:rPr>
          <w:color w:val="006666"/>
        </w:rPr>
        <w:t>7.</w:t>
      </w:r>
      <w:r>
        <w:rPr>
          <w:color w:val="006666"/>
          <w:spacing w:val="-2"/>
        </w:rPr>
        <w:t> </w:t>
      </w:r>
      <w:r>
        <w:rPr>
          <w:color w:val="006666"/>
        </w:rPr>
        <w:t>Demonstrativo</w:t>
      </w:r>
      <w:r>
        <w:rPr>
          <w:color w:val="006666"/>
          <w:spacing w:val="-2"/>
        </w:rPr>
        <w:t> </w:t>
      </w:r>
      <w:r>
        <w:rPr>
          <w:color w:val="006666"/>
        </w:rPr>
        <w:t>dos</w:t>
      </w:r>
      <w:r>
        <w:rPr>
          <w:color w:val="006666"/>
          <w:spacing w:val="-2"/>
        </w:rPr>
        <w:t> </w:t>
      </w:r>
      <w:r>
        <w:rPr>
          <w:color w:val="006666"/>
        </w:rPr>
        <w:t>Limites</w:t>
      </w:r>
      <w:r>
        <w:rPr>
          <w:color w:val="006666"/>
          <w:spacing w:val="-3"/>
        </w:rPr>
        <w:t> </w:t>
      </w:r>
      <w:r>
        <w:rPr>
          <w:color w:val="006666"/>
        </w:rPr>
        <w:t>de</w:t>
      </w:r>
      <w:r>
        <w:rPr>
          <w:color w:val="006666"/>
          <w:spacing w:val="-3"/>
        </w:rPr>
        <w:t> </w:t>
      </w:r>
      <w:r>
        <w:rPr>
          <w:color w:val="006666"/>
        </w:rPr>
        <w:t>Destinação</w:t>
      </w:r>
      <w:r>
        <w:rPr>
          <w:color w:val="006666"/>
          <w:spacing w:val="-2"/>
        </w:rPr>
        <w:t> </w:t>
      </w:r>
      <w:r>
        <w:rPr>
          <w:color w:val="006666"/>
        </w:rPr>
        <w:t>Estratégica</w:t>
      </w:r>
      <w:r>
        <w:rPr>
          <w:color w:val="006666"/>
          <w:spacing w:val="-3"/>
        </w:rPr>
        <w:t> </w:t>
      </w:r>
      <w:r>
        <w:rPr>
          <w:color w:val="006666"/>
        </w:rPr>
        <w:t>de</w:t>
      </w:r>
      <w:r>
        <w:rPr>
          <w:color w:val="006666"/>
          <w:spacing w:val="-4"/>
        </w:rPr>
        <w:t> </w:t>
      </w:r>
      <w:r>
        <w:rPr>
          <w:color w:val="006666"/>
        </w:rPr>
        <w:t>Recursos</w:t>
      </w:r>
      <w:r>
        <w:rPr>
          <w:color w:val="006666"/>
          <w:spacing w:val="-2"/>
        </w:rPr>
        <w:t> </w:t>
      </w:r>
      <w:r>
        <w:rPr>
          <w:color w:val="006666"/>
        </w:rPr>
        <w:t>por</w:t>
      </w:r>
      <w:r>
        <w:rPr>
          <w:color w:val="006666"/>
          <w:spacing w:val="-2"/>
        </w:rPr>
        <w:t> </w:t>
      </w:r>
      <w:r>
        <w:rPr>
          <w:color w:val="006666"/>
        </w:rPr>
        <w:t>CAU/UF</w:t>
      </w:r>
      <w:r>
        <w:rPr>
          <w:color w:val="006666"/>
          <w:spacing w:val="-3"/>
        </w:rPr>
        <w:t> </w:t>
      </w:r>
      <w:r>
        <w:rPr>
          <w:color w:val="006666"/>
        </w:rPr>
        <w:t>e</w:t>
      </w:r>
      <w:r>
        <w:rPr>
          <w:color w:val="006666"/>
          <w:spacing w:val="-3"/>
        </w:rPr>
        <w:t> </w:t>
      </w:r>
      <w:r>
        <w:rPr>
          <w:color w:val="006666"/>
          <w:spacing w:val="-2"/>
        </w:rPr>
        <w:t>CAU/BR</w:t>
      </w:r>
    </w:p>
    <w:p>
      <w:pPr>
        <w:pStyle w:val="BodyText"/>
        <w:spacing w:before="1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450341</wp:posOffset>
            </wp:positionH>
            <wp:positionV relativeFrom="paragraph">
              <wp:posOffset>100327</wp:posOffset>
            </wp:positionV>
            <wp:extent cx="9694582" cy="5079492"/>
            <wp:effectExtent l="0" t="0" r="0" b="0"/>
            <wp:wrapTopAndBottom/>
            <wp:docPr id="12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582" cy="507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5"/>
        </w:rPr>
      </w:pPr>
    </w:p>
    <w:p>
      <w:pPr>
        <w:spacing w:line="360" w:lineRule="auto" w:before="0"/>
        <w:ind w:left="709" w:right="862" w:firstLine="0"/>
        <w:jc w:val="left"/>
        <w:rPr>
          <w:sz w:val="20"/>
        </w:rPr>
      </w:pPr>
      <w:r>
        <w:rPr>
          <w:sz w:val="20"/>
        </w:rPr>
        <w:t>*Para</w:t>
      </w:r>
      <w:r>
        <w:rPr>
          <w:spacing w:val="34"/>
          <w:sz w:val="20"/>
        </w:rPr>
        <w:t> </w:t>
      </w:r>
      <w:r>
        <w:rPr>
          <w:sz w:val="20"/>
        </w:rPr>
        <w:t>o</w:t>
      </w:r>
      <w:r>
        <w:rPr>
          <w:spacing w:val="35"/>
          <w:sz w:val="20"/>
        </w:rPr>
        <w:t> </w:t>
      </w:r>
      <w:r>
        <w:rPr>
          <w:sz w:val="20"/>
        </w:rPr>
        <w:t>cálculo</w:t>
      </w:r>
      <w:r>
        <w:rPr>
          <w:spacing w:val="35"/>
          <w:sz w:val="20"/>
        </w:rPr>
        <w:t> </w:t>
      </w:r>
      <w:r>
        <w:rPr>
          <w:sz w:val="20"/>
        </w:rPr>
        <w:t>de</w:t>
      </w:r>
      <w:r>
        <w:rPr>
          <w:spacing w:val="34"/>
          <w:sz w:val="20"/>
        </w:rPr>
        <w:t> </w:t>
      </w:r>
      <w:r>
        <w:rPr>
          <w:sz w:val="20"/>
        </w:rPr>
        <w:t>Pessoal</w:t>
      </w:r>
      <w:r>
        <w:rPr>
          <w:spacing w:val="34"/>
          <w:sz w:val="20"/>
        </w:rPr>
        <w:t> </w:t>
      </w:r>
      <w:r>
        <w:rPr>
          <w:sz w:val="20"/>
        </w:rPr>
        <w:t>(Salários,</w:t>
      </w:r>
      <w:r>
        <w:rPr>
          <w:spacing w:val="34"/>
          <w:sz w:val="20"/>
        </w:rPr>
        <w:t> </w:t>
      </w:r>
      <w:r>
        <w:rPr>
          <w:sz w:val="20"/>
        </w:rPr>
        <w:t>Encargos</w:t>
      </w:r>
      <w:r>
        <w:rPr>
          <w:spacing w:val="35"/>
          <w:sz w:val="20"/>
        </w:rPr>
        <w:t> </w:t>
      </w:r>
      <w:r>
        <w:rPr>
          <w:sz w:val="20"/>
        </w:rPr>
        <w:t>e</w:t>
      </w:r>
      <w:r>
        <w:rPr>
          <w:spacing w:val="34"/>
          <w:sz w:val="20"/>
        </w:rPr>
        <w:t> </w:t>
      </w:r>
      <w:r>
        <w:rPr>
          <w:sz w:val="20"/>
        </w:rPr>
        <w:t>Benefícios)</w:t>
      </w:r>
      <w:r>
        <w:rPr>
          <w:spacing w:val="35"/>
          <w:sz w:val="20"/>
        </w:rPr>
        <w:t> </w:t>
      </w:r>
      <w:r>
        <w:rPr>
          <w:sz w:val="20"/>
        </w:rPr>
        <w:t>do</w:t>
      </w:r>
      <w:r>
        <w:rPr>
          <w:spacing w:val="35"/>
          <w:sz w:val="20"/>
        </w:rPr>
        <w:t> </w:t>
      </w:r>
      <w:r>
        <w:rPr>
          <w:sz w:val="20"/>
        </w:rPr>
        <w:t>CAU/BR</w:t>
      </w:r>
      <w:r>
        <w:rPr>
          <w:spacing w:val="35"/>
          <w:sz w:val="20"/>
        </w:rPr>
        <w:t> </w:t>
      </w:r>
      <w:r>
        <w:rPr>
          <w:sz w:val="20"/>
        </w:rPr>
        <w:t>não</w:t>
      </w:r>
      <w:r>
        <w:rPr>
          <w:spacing w:val="34"/>
          <w:sz w:val="20"/>
        </w:rPr>
        <w:t> </w:t>
      </w:r>
      <w:r>
        <w:rPr>
          <w:sz w:val="20"/>
        </w:rPr>
        <w:t>foi</w:t>
      </w:r>
      <w:r>
        <w:rPr>
          <w:spacing w:val="34"/>
          <w:sz w:val="20"/>
        </w:rPr>
        <w:t> </w:t>
      </w:r>
      <w:r>
        <w:rPr>
          <w:sz w:val="20"/>
        </w:rPr>
        <w:t>considerado</w:t>
      </w:r>
      <w:r>
        <w:rPr>
          <w:spacing w:val="34"/>
          <w:sz w:val="20"/>
        </w:rPr>
        <w:t> </w:t>
      </w:r>
      <w:r>
        <w:rPr>
          <w:sz w:val="20"/>
        </w:rPr>
        <w:t>o</w:t>
      </w:r>
      <w:r>
        <w:rPr>
          <w:spacing w:val="34"/>
          <w:sz w:val="20"/>
        </w:rPr>
        <w:t> </w:t>
      </w:r>
      <w:r>
        <w:rPr>
          <w:sz w:val="20"/>
        </w:rPr>
        <w:t>valor</w:t>
      </w:r>
      <w:r>
        <w:rPr>
          <w:spacing w:val="40"/>
          <w:sz w:val="20"/>
        </w:rPr>
        <w:t> </w:t>
      </w:r>
      <w:r>
        <w:rPr>
          <w:sz w:val="20"/>
        </w:rPr>
        <w:t>de</w:t>
      </w:r>
      <w:r>
        <w:rPr>
          <w:spacing w:val="34"/>
          <w:sz w:val="20"/>
        </w:rPr>
        <w:t> </w:t>
      </w:r>
      <w:r>
        <w:rPr>
          <w:sz w:val="20"/>
        </w:rPr>
        <w:t>R$</w:t>
      </w:r>
      <w:r>
        <w:rPr>
          <w:spacing w:val="34"/>
          <w:sz w:val="20"/>
        </w:rPr>
        <w:t> </w:t>
      </w:r>
      <w:r>
        <w:rPr>
          <w:sz w:val="20"/>
        </w:rPr>
        <w:t>189</w:t>
      </w:r>
      <w:r>
        <w:rPr>
          <w:spacing w:val="33"/>
          <w:sz w:val="20"/>
        </w:rPr>
        <w:t> </w:t>
      </w:r>
      <w:r>
        <w:rPr>
          <w:sz w:val="20"/>
        </w:rPr>
        <w:t>mil</w:t>
      </w:r>
      <w:r>
        <w:rPr>
          <w:spacing w:val="34"/>
          <w:sz w:val="20"/>
        </w:rPr>
        <w:t> </w:t>
      </w:r>
      <w:r>
        <w:rPr>
          <w:sz w:val="20"/>
        </w:rPr>
        <w:t>destinado</w:t>
      </w:r>
      <w:r>
        <w:rPr>
          <w:spacing w:val="33"/>
          <w:sz w:val="20"/>
        </w:rPr>
        <w:t> </w:t>
      </w:r>
      <w:r>
        <w:rPr>
          <w:sz w:val="20"/>
        </w:rPr>
        <w:t>a</w:t>
      </w:r>
      <w:r>
        <w:rPr>
          <w:spacing w:val="34"/>
          <w:sz w:val="20"/>
        </w:rPr>
        <w:t> </w:t>
      </w:r>
      <w:r>
        <w:rPr>
          <w:sz w:val="20"/>
        </w:rPr>
        <w:t>efetivação</w:t>
      </w:r>
      <w:r>
        <w:rPr>
          <w:spacing w:val="33"/>
          <w:sz w:val="20"/>
        </w:rPr>
        <w:t> </w:t>
      </w:r>
      <w:r>
        <w:rPr>
          <w:sz w:val="20"/>
        </w:rPr>
        <w:t>da</w:t>
      </w:r>
      <w:r>
        <w:rPr>
          <w:spacing w:val="34"/>
          <w:sz w:val="20"/>
        </w:rPr>
        <w:t> </w:t>
      </w:r>
      <w:r>
        <w:rPr>
          <w:sz w:val="20"/>
        </w:rPr>
        <w:t>fase</w:t>
      </w:r>
      <w:r>
        <w:rPr>
          <w:spacing w:val="34"/>
          <w:sz w:val="20"/>
        </w:rPr>
        <w:t> </w:t>
      </w:r>
      <w:r>
        <w:rPr>
          <w:sz w:val="20"/>
        </w:rPr>
        <w:t>da</w:t>
      </w:r>
      <w:r>
        <w:rPr>
          <w:spacing w:val="33"/>
          <w:sz w:val="20"/>
        </w:rPr>
        <w:t> </w:t>
      </w:r>
      <w:r>
        <w:rPr>
          <w:sz w:val="20"/>
        </w:rPr>
        <w:t>"Implantação</w:t>
      </w:r>
      <w:r>
        <w:rPr>
          <w:spacing w:val="34"/>
          <w:sz w:val="20"/>
        </w:rPr>
        <w:t> </w:t>
      </w:r>
      <w:r>
        <w:rPr>
          <w:sz w:val="20"/>
        </w:rPr>
        <w:t>da</w:t>
      </w:r>
      <w:r>
        <w:rPr>
          <w:spacing w:val="33"/>
          <w:sz w:val="20"/>
        </w:rPr>
        <w:t> </w:t>
      </w:r>
      <w:r>
        <w:rPr>
          <w:sz w:val="20"/>
        </w:rPr>
        <w:t>CTO" (Reestruturação do organograma), pois só será efetivado após a contratação dos novos colaboradores. .</w:t>
      </w:r>
    </w:p>
    <w:p>
      <w:pPr>
        <w:spacing w:after="0" w:line="360" w:lineRule="auto"/>
        <w:jc w:val="left"/>
        <w:rPr>
          <w:sz w:val="20"/>
        </w:rPr>
        <w:sectPr>
          <w:headerReference w:type="default" r:id="rId83"/>
          <w:footerReference w:type="default" r:id="rId84"/>
          <w:pgSz w:w="16840" w:h="11910" w:orient="landscape"/>
          <w:pgMar w:header="0" w:footer="442" w:top="66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ind w:left="4150" w:right="3528"/>
      </w:pPr>
      <w:r>
        <w:rPr>
          <w:color w:val="008080"/>
        </w:rPr>
        <w:t>ANEXO</w:t>
      </w:r>
      <w:r>
        <w:rPr>
          <w:color w:val="008080"/>
          <w:spacing w:val="-1"/>
        </w:rPr>
        <w:t> </w:t>
      </w:r>
      <w:r>
        <w:rPr>
          <w:color w:val="008080"/>
          <w:spacing w:val="-10"/>
        </w:rPr>
        <w:t>8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/>
        <w:ind w:left="1606" w:right="841" w:hanging="1"/>
      </w:pPr>
      <w:r>
        <w:rPr>
          <w:color w:val="008080"/>
        </w:rPr>
        <w:t>Programação do Plano de Ação e Orçamento</w:t>
      </w:r>
      <w:r>
        <w:rPr>
          <w:color w:val="008080"/>
          <w:spacing w:val="-7"/>
        </w:rPr>
        <w:t> </w:t>
      </w:r>
      <w:r>
        <w:rPr>
          <w:color w:val="008080"/>
        </w:rPr>
        <w:t>do</w:t>
      </w:r>
      <w:r>
        <w:rPr>
          <w:color w:val="008080"/>
          <w:spacing w:val="-6"/>
        </w:rPr>
        <w:t> </w:t>
      </w:r>
      <w:r>
        <w:rPr>
          <w:color w:val="008080"/>
        </w:rPr>
        <w:t>CAU</w:t>
      </w:r>
      <w:r>
        <w:rPr>
          <w:color w:val="008080"/>
          <w:spacing w:val="-4"/>
        </w:rPr>
        <w:t> </w:t>
      </w:r>
      <w:r>
        <w:rPr>
          <w:color w:val="008080"/>
        </w:rPr>
        <w:t>–</w:t>
      </w:r>
      <w:r>
        <w:rPr>
          <w:color w:val="008080"/>
          <w:spacing w:val="-6"/>
        </w:rPr>
        <w:t> </w:t>
      </w:r>
      <w:r>
        <w:rPr>
          <w:color w:val="008080"/>
        </w:rPr>
        <w:t>por</w:t>
      </w:r>
      <w:r>
        <w:rPr>
          <w:color w:val="008080"/>
          <w:spacing w:val="-7"/>
        </w:rPr>
        <w:t> </w:t>
      </w:r>
      <w:r>
        <w:rPr>
          <w:color w:val="008080"/>
        </w:rPr>
        <w:t>CAU/UF</w:t>
      </w:r>
      <w:r>
        <w:rPr>
          <w:color w:val="008080"/>
          <w:spacing w:val="-7"/>
        </w:rPr>
        <w:t> </w:t>
      </w:r>
      <w:r>
        <w:rPr>
          <w:color w:val="008080"/>
        </w:rPr>
        <w:t>e </w:t>
      </w:r>
      <w:r>
        <w:rPr>
          <w:color w:val="008080"/>
          <w:spacing w:val="-2"/>
        </w:rPr>
        <w:t>CAU/BR.</w:t>
      </w:r>
    </w:p>
    <w:p>
      <w:pPr>
        <w:spacing w:after="0" w:line="360" w:lineRule="auto"/>
        <w:sectPr>
          <w:headerReference w:type="default" r:id="rId87"/>
          <w:footerReference w:type="default" r:id="rId88"/>
          <w:pgSz w:w="11910" w:h="16840"/>
          <w:pgMar w:header="652" w:footer="532" w:top="1600" w:bottom="720" w:left="1680" w:right="740"/>
          <w:pgNumType w:start="60"/>
        </w:sectPr>
      </w:pPr>
    </w:p>
    <w:p>
      <w:pPr>
        <w:pStyle w:val="Heading4"/>
        <w:spacing w:line="299" w:lineRule="exact"/>
        <w:ind w:left="1763"/>
      </w:pPr>
      <w:bookmarkStart w:name="_bookmark48" w:id="49"/>
      <w:bookmarkEnd w:id="49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5"/>
        </w:rPr>
        <w:t> </w:t>
      </w:r>
      <w:r>
        <w:rPr>
          <w:color w:val="006666"/>
        </w:rPr>
        <w:t>8.</w:t>
      </w:r>
      <w:r>
        <w:rPr>
          <w:color w:val="006666"/>
          <w:spacing w:val="-2"/>
        </w:rPr>
        <w:t> </w:t>
      </w:r>
      <w:r>
        <w:rPr>
          <w:color w:val="006666"/>
        </w:rPr>
        <w:t>Programação</w:t>
      </w:r>
      <w:r>
        <w:rPr>
          <w:color w:val="006666"/>
          <w:spacing w:val="-3"/>
        </w:rPr>
        <w:t> </w:t>
      </w:r>
      <w:r>
        <w:rPr>
          <w:color w:val="006666"/>
        </w:rPr>
        <w:t>2021</w:t>
      </w:r>
      <w:r>
        <w:rPr>
          <w:color w:val="006666"/>
          <w:spacing w:val="-2"/>
        </w:rPr>
        <w:t> </w:t>
      </w:r>
      <w:r>
        <w:rPr>
          <w:color w:val="006666"/>
        </w:rPr>
        <w:t>-</w:t>
      </w:r>
      <w:r>
        <w:rPr>
          <w:color w:val="006666"/>
          <w:spacing w:val="-3"/>
        </w:rPr>
        <w:t> </w:t>
      </w:r>
      <w:r>
        <w:rPr>
          <w:color w:val="006666"/>
        </w:rPr>
        <w:t>Link</w:t>
      </w:r>
      <w:r>
        <w:rPr>
          <w:color w:val="006666"/>
          <w:spacing w:val="-2"/>
        </w:rPr>
        <w:t> </w:t>
      </w:r>
      <w:r>
        <w:rPr>
          <w:color w:val="006666"/>
        </w:rPr>
        <w:t>para</w:t>
      </w:r>
      <w:r>
        <w:rPr>
          <w:color w:val="006666"/>
          <w:spacing w:val="-3"/>
        </w:rPr>
        <w:t> </w:t>
      </w:r>
      <w:r>
        <w:rPr>
          <w:color w:val="006666"/>
        </w:rPr>
        <w:t>acesso</w:t>
      </w:r>
      <w:r>
        <w:rPr>
          <w:color w:val="006666"/>
          <w:spacing w:val="-2"/>
        </w:rPr>
        <w:t> </w:t>
      </w:r>
      <w:r>
        <w:rPr>
          <w:color w:val="006666"/>
        </w:rPr>
        <w:t>no</w:t>
      </w:r>
      <w:r>
        <w:rPr>
          <w:color w:val="006666"/>
          <w:spacing w:val="-3"/>
        </w:rPr>
        <w:t> </w:t>
      </w:r>
      <w:r>
        <w:rPr>
          <w:color w:val="006666"/>
        </w:rPr>
        <w:t>Portal</w:t>
      </w:r>
      <w:r>
        <w:rPr>
          <w:color w:val="006666"/>
          <w:spacing w:val="-2"/>
        </w:rPr>
        <w:t> Transparência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line="360" w:lineRule="auto" w:before="0"/>
        <w:ind w:left="589" w:right="1523" w:firstLine="0"/>
        <w:jc w:val="left"/>
        <w:rPr>
          <w:b/>
          <w:sz w:val="20"/>
        </w:rPr>
      </w:pPr>
      <w:r>
        <w:rPr>
          <w:b/>
          <w:smallCaps/>
          <w:sz w:val="20"/>
        </w:rPr>
        <w:t>CAU/AC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89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https://transparencia.caubr.gov.br/arquivos/plano-acao-2021-cauac.xlsx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CAU/AM</w:t>
      </w:r>
      <w:r>
        <w:rPr>
          <w:b/>
          <w:smallCaps/>
          <w:spacing w:val="-10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10"/>
          <w:sz w:val="20"/>
        </w:rPr>
        <w:t> </w:t>
      </w:r>
      <w:hyperlink r:id="rId90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https://transparencia.caubr.gov.br/arquivos/plano-acao-2021-cauam.xlsx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CAU/AP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91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https://transparencia.caubr.gov.br/arquivos/plano-acao-2021-cauap.xlsx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CAU/AL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92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https://transparencia.caubr.gov.br/arquivos/plano-acao-2021-caual.xlsx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CAU/BA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93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https://transparencia.caubr.gov.br/arquivos/plano-acao-2021-cauba.xlsx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CAU/CE</w:t>
      </w:r>
      <w:r>
        <w:rPr>
          <w:b/>
          <w:smallCaps/>
          <w:spacing w:val="-6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5"/>
          <w:sz w:val="20"/>
        </w:rPr>
        <w:t> </w:t>
      </w:r>
      <w:hyperlink r:id="rId94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https://transparencia.caubr.gov.br/arquivos/plano-acao-2021-cauce.xlsx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CAU/DF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95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https://transparencia.caubr.gov.br/arquivos/plano-acao-2021-caudf.xlsx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CAU/ES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96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https://transparencia.caubr.gov.br/arquivos/plano-acao-2021-caues.xlsx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CAU/GO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97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https://transparencia.caubr.gov.br/arquivos/plano-acao-2021-caugo.xlsx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CAU/MA</w:t>
      </w:r>
      <w:r>
        <w:rPr>
          <w:b/>
          <w:smallCaps/>
          <w:spacing w:val="-10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10"/>
          <w:sz w:val="20"/>
        </w:rPr>
        <w:t> </w:t>
      </w:r>
      <w:hyperlink r:id="rId98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https://transparencia.caubr.gov.br/arquivos/plano-acao-2021-cauma.xlsx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CAU/MG</w:t>
      </w:r>
      <w:r>
        <w:rPr>
          <w:b/>
          <w:smallCaps/>
          <w:spacing w:val="-10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10"/>
          <w:sz w:val="20"/>
        </w:rPr>
        <w:t> </w:t>
      </w:r>
      <w:hyperlink r:id="rId99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https://transparencia.caubr.gov.br/arquivos/plano-acao-2021-caumg.xlsx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CAU/MS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0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https://transparencia.caubr.gov.br/arquivos/plano-acao-2021-caums.xlsx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CAU/MT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1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https://transparencia.caubr.gov.br/arquivos/plano-acao-2021-caumt.xlsx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CAU/PA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2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https://transparencia.caubr.gov.br/arquivos/plano-acao-2021-caupa.xlsx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CAU/PB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3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https://transparencia.caubr.gov.br/arquivos/plano-acao-2021-caupb.xlsx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CAU/PE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4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https://transparencia.caubr.gov.br/arquivos/plano-acao-2021-caupe.xlsx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CAU/PI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5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https://transparencia.caubr.gov.br/arquivos/plano-acao-2021-caupi.xlsx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CAU/PR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6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https://transparencia.caubr.gov.br/arquivos/plano-acao-2021-caupr.xlsx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CAU/RJ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7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https://transparencia.caubr.gov.br/arquivos/plano-acao-2021-caurj.xlsx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CAU/RN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8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https://transparencia.caubr.gov.br/arquivos/plano-acao-2021-caurn.xlsx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CAU/RO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09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https://transparencia.caubr.gov.br/arquivos/plano-acao-2021-cauro.xlsx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CAU/RR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10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https://transparencia.caubr.gov.br/arquivos/plano-acao-2021-caurr.xlsx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CAU/RS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11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https://transparencia.caubr.gov.br/arquivos/plano-acao-2021-caurs.xlsx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CAU/SC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12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https://transparencia.caubr.gov.br/arquivos/plano-acao-2021-causc.xlsx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CAU/SE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13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https://transparencia.caubr.gov.br/arquivos/plano-acao-2021-cause.xlsx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CAU/TO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14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https://transparencia.caubr.gov.br/arquivos/plano-acao-2021-cauto.xlsx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CAU/BR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4"/>
          <w:sz w:val="20"/>
        </w:rPr>
        <w:t> </w:t>
      </w:r>
      <w:hyperlink r:id="rId115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https://transparencia.caubr.gov.br/arquivos/plano-acao-2021-caubr.xlsx</w:t>
        </w:r>
      </w:hyperlink>
    </w:p>
    <w:sectPr>
      <w:pgSz w:w="11910" w:h="16840"/>
      <w:pgMar w:header="652" w:footer="532" w:top="1600" w:bottom="720" w:left="16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840027pt;margin-top:808.804993pt;width:28.2pt;height:12.05pt;mso-position-horizontal-relative:page;mso-position-vertical-relative:page;z-index:-16310784" type="#_x0000_t202" id="docshape1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10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61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4.919983pt;margin-top:808.804993pt;width:26.2pt;height:12.05pt;mso-position-horizontal-relative:page;mso-position-vertical-relative:page;z-index:-16301568" type="#_x0000_t202" id="docshape14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54/61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1.5pt;margin-top:562.225037pt;width:26.2pt;height:12.05pt;mso-position-horizontal-relative:page;mso-position-vertical-relative:page;z-index:-16301056" type="#_x0000_t202" id="docshape15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55/61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840027pt;margin-top:808.804993pt;width:28.2pt;height:12.05pt;mso-position-horizontal-relative:page;mso-position-vertical-relative:page;z-index:-16300032" type="#_x0000_t202" id="docshape16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56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61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7.5pt;margin-top:562.225037pt;width:26.2pt;height:12.05pt;mso-position-horizontal-relative:page;mso-position-vertical-relative:page;z-index:-16299520" type="#_x0000_t202" id="docshape17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59/61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719971pt;margin-top:804.304993pt;width:28.15pt;height:12.05pt;mso-position-horizontal-relative:page;mso-position-vertical-relative:page;z-index:-16298496" type="#_x0000_t202" id="docshape18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60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61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1.400024pt;margin-top:562.225037pt;width:26.2pt;height:12.05pt;mso-position-horizontal-relative:page;mso-position-vertical-relative:page;z-index:-16310272" type="#_x0000_t202" id="docshape3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34/61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799988pt;margin-top:808.804993pt;width:28.2pt;height:12.05pt;mso-position-horizontal-relative:page;mso-position-vertical-relative:page;z-index:-16309248" type="#_x0000_t202" id="docshape4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35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61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2.960022pt;margin-top:562.225037pt;width:26.2pt;height:12.05pt;mso-position-horizontal-relative:page;mso-position-vertical-relative:page;z-index:-16308736" type="#_x0000_t202" id="docshape5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40/61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780029pt;margin-top:808.804993pt;width:28.2pt;height:12.05pt;mso-position-horizontal-relative:page;mso-position-vertical-relative:page;z-index:-16307712" type="#_x0000_t202" id="docshape6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41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61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0.840027pt;margin-top:562.225037pt;width:28.2pt;height:12.05pt;mso-position-horizontal-relative:page;mso-position-vertical-relative:page;z-index:-16306688" type="#_x0000_t202" id="docshape7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49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61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0.840027pt;margin-top:562.225037pt;width:28.2pt;height:12.05pt;mso-position-horizontal-relative:page;mso-position-vertical-relative:page;z-index:-16305152" type="#_x0000_t202" id="docshape9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51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61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0.840027pt;margin-top:562.225037pt;width:28.2pt;height:12.05pt;mso-position-horizontal-relative:page;mso-position-vertical-relative:page;z-index:-16303616" type="#_x0000_t202" id="docshape11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52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61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0.840027pt;margin-top:562.225037pt;width:28.2pt;height:12.05pt;mso-position-horizontal-relative:page;mso-position-vertical-relative:page;z-index:-16302080" type="#_x0000_t202" id="docshape13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53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61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05184">
          <wp:simplePos x="0" y="0"/>
          <wp:positionH relativeFrom="page">
            <wp:posOffset>21335</wp:posOffset>
          </wp:positionH>
          <wp:positionV relativeFrom="page">
            <wp:posOffset>327784</wp:posOffset>
          </wp:positionV>
          <wp:extent cx="7539228" cy="564517"/>
          <wp:effectExtent l="0" t="0" r="0" b="0"/>
          <wp:wrapNone/>
          <wp:docPr id="3" name="image2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228" cy="564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15936">
          <wp:simplePos x="0" y="0"/>
          <wp:positionH relativeFrom="page">
            <wp:posOffset>0</wp:posOffset>
          </wp:positionH>
          <wp:positionV relativeFrom="page">
            <wp:posOffset>420905</wp:posOffset>
          </wp:positionV>
          <wp:extent cx="7531608" cy="565122"/>
          <wp:effectExtent l="0" t="0" r="0" b="0"/>
          <wp:wrapNone/>
          <wp:docPr id="117" name="image51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1608" cy="565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17472">
          <wp:simplePos x="0" y="0"/>
          <wp:positionH relativeFrom="page">
            <wp:posOffset>0</wp:posOffset>
          </wp:positionH>
          <wp:positionV relativeFrom="page">
            <wp:posOffset>413897</wp:posOffset>
          </wp:positionV>
          <wp:extent cx="7548372" cy="610991"/>
          <wp:effectExtent l="0" t="0" r="0" b="0"/>
          <wp:wrapNone/>
          <wp:docPr id="125" name="image51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8372" cy="6109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06720">
          <wp:simplePos x="0" y="0"/>
          <wp:positionH relativeFrom="page">
            <wp:posOffset>21335</wp:posOffset>
          </wp:positionH>
          <wp:positionV relativeFrom="page">
            <wp:posOffset>327784</wp:posOffset>
          </wp:positionV>
          <wp:extent cx="7539228" cy="564517"/>
          <wp:effectExtent l="0" t="0" r="0" b="0"/>
          <wp:wrapNone/>
          <wp:docPr id="69" name="image2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228" cy="564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08256">
          <wp:simplePos x="0" y="0"/>
          <wp:positionH relativeFrom="page">
            <wp:posOffset>21335</wp:posOffset>
          </wp:positionH>
          <wp:positionV relativeFrom="page">
            <wp:posOffset>327784</wp:posOffset>
          </wp:positionV>
          <wp:extent cx="7539228" cy="564517"/>
          <wp:effectExtent l="0" t="0" r="0" b="0"/>
          <wp:wrapNone/>
          <wp:docPr id="79" name="image2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9228" cy="564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09280">
          <wp:simplePos x="0" y="0"/>
          <wp:positionH relativeFrom="page">
            <wp:posOffset>0</wp:posOffset>
          </wp:positionH>
          <wp:positionV relativeFrom="page">
            <wp:posOffset>332165</wp:posOffset>
          </wp:positionV>
          <wp:extent cx="10692383" cy="561660"/>
          <wp:effectExtent l="0" t="0" r="0" b="0"/>
          <wp:wrapNone/>
          <wp:docPr id="93" name="image45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383" cy="561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10304">
          <wp:simplePos x="0" y="0"/>
          <wp:positionH relativeFrom="page">
            <wp:posOffset>0</wp:posOffset>
          </wp:positionH>
          <wp:positionV relativeFrom="page">
            <wp:posOffset>332165</wp:posOffset>
          </wp:positionV>
          <wp:extent cx="10692383" cy="561660"/>
          <wp:effectExtent l="0" t="0" r="0" b="0"/>
          <wp:wrapNone/>
          <wp:docPr id="99" name="image45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383" cy="561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5.080002pt;margin-top:81.415009pt;width:763.95pt;height:15.05pt;mso-position-horizontal-relative:page;mso-position-vertical-relative:page;z-index:-16305664" type="#_x0000_t202" id="docshape8" filled="false" stroked="false">
          <v:textbox inset="0,0,0,0">
            <w:txbxContent>
              <w:p>
                <w:pPr>
                  <w:spacing w:line="285" w:lineRule="exact" w:before="0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color w:val="006666"/>
                    <w:sz w:val="26"/>
                  </w:rPr>
                  <w:t>Anexo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4.1.</w:t>
                </w:r>
                <w:r>
                  <w:rPr>
                    <w:b/>
                    <w:color w:val="006666"/>
                    <w:sz w:val="26"/>
                  </w:rPr>
                  <w:fldChar w:fldCharType="begin"/>
                </w:r>
                <w:r>
                  <w:rPr>
                    <w:b/>
                    <w:color w:val="006666"/>
                    <w:sz w:val="26"/>
                  </w:rPr>
                  <w:instrText> PAGE </w:instrText>
                </w:r>
                <w:r>
                  <w:rPr>
                    <w:b/>
                    <w:color w:val="006666"/>
                    <w:sz w:val="26"/>
                  </w:rPr>
                  <w:fldChar w:fldCharType="separate"/>
                </w:r>
                <w:r>
                  <w:rPr>
                    <w:b/>
                    <w:color w:val="006666"/>
                    <w:sz w:val="26"/>
                  </w:rPr>
                  <w:t>1</w:t>
                </w:r>
                <w:r>
                  <w:rPr>
                    <w:b/>
                    <w:color w:val="006666"/>
                    <w:sz w:val="26"/>
                  </w:rPr>
                  <w:fldChar w:fldCharType="end"/>
                </w:r>
                <w:r>
                  <w:rPr>
                    <w:b/>
                    <w:color w:val="006666"/>
                    <w:sz w:val="26"/>
                  </w:rPr>
                  <w:t>.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Matriz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das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Iniciativas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Estratégicas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vinculadas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aos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Objetivos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Estratégicos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Principais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por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CAU/UF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5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CAU/BR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(Valores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pacing w:val="-2"/>
                    <w:sz w:val="26"/>
                  </w:rPr>
                  <w:t>Percentuais)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11840">
          <wp:simplePos x="0" y="0"/>
          <wp:positionH relativeFrom="page">
            <wp:posOffset>0</wp:posOffset>
          </wp:positionH>
          <wp:positionV relativeFrom="page">
            <wp:posOffset>332165</wp:posOffset>
          </wp:positionV>
          <wp:extent cx="10692383" cy="561660"/>
          <wp:effectExtent l="0" t="0" r="0" b="0"/>
          <wp:wrapNone/>
          <wp:docPr id="103" name="image45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383" cy="561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5.080002pt;margin-top:81.415009pt;width:764pt;height:15.05pt;mso-position-horizontal-relative:page;mso-position-vertical-relative:page;z-index:-16304128" type="#_x0000_t202" id="docshape10" filled="false" stroked="false">
          <v:textbox inset="0,0,0,0">
            <w:txbxContent>
              <w:p>
                <w:pPr>
                  <w:spacing w:line="285" w:lineRule="exact" w:before="0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color w:val="006666"/>
                    <w:sz w:val="26"/>
                  </w:rPr>
                  <w:t>Anexo</w:t>
                </w:r>
                <w:r>
                  <w:rPr>
                    <w:b/>
                    <w:color w:val="006666"/>
                    <w:spacing w:val="-6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4.1.</w:t>
                </w:r>
                <w:r>
                  <w:rPr>
                    <w:b/>
                    <w:color w:val="006666"/>
                    <w:sz w:val="26"/>
                  </w:rPr>
                  <w:fldChar w:fldCharType="begin"/>
                </w:r>
                <w:r>
                  <w:rPr>
                    <w:b/>
                    <w:color w:val="006666"/>
                    <w:sz w:val="26"/>
                  </w:rPr>
                  <w:instrText> PAGE </w:instrText>
                </w:r>
                <w:r>
                  <w:rPr>
                    <w:b/>
                    <w:color w:val="006666"/>
                    <w:sz w:val="26"/>
                  </w:rPr>
                  <w:fldChar w:fldCharType="separate"/>
                </w:r>
                <w:r>
                  <w:rPr>
                    <w:b/>
                    <w:color w:val="006666"/>
                    <w:sz w:val="26"/>
                  </w:rPr>
                  <w:t>2</w:t>
                </w:r>
                <w:r>
                  <w:rPr>
                    <w:b/>
                    <w:color w:val="006666"/>
                    <w:sz w:val="26"/>
                  </w:rPr>
                  <w:fldChar w:fldCharType="end"/>
                </w:r>
                <w:r>
                  <w:rPr>
                    <w:b/>
                    <w:color w:val="006666"/>
                    <w:sz w:val="26"/>
                  </w:rPr>
                  <w:t>.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Matriz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das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Iniciativas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Estratégicas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vinculadas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aos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Objetivos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Estratégicos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Principais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por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CAU/UF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CAU/BR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(Valores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pacing w:val="-2"/>
                    <w:sz w:val="26"/>
                  </w:rPr>
                  <w:t>Percentuais)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13376">
          <wp:simplePos x="0" y="0"/>
          <wp:positionH relativeFrom="page">
            <wp:posOffset>0</wp:posOffset>
          </wp:positionH>
          <wp:positionV relativeFrom="page">
            <wp:posOffset>332165</wp:posOffset>
          </wp:positionV>
          <wp:extent cx="10692383" cy="561660"/>
          <wp:effectExtent l="0" t="0" r="0" b="0"/>
          <wp:wrapNone/>
          <wp:docPr id="107" name="image45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383" cy="561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6.099998pt;margin-top:81.415009pt;width:763.95pt;height:15.05pt;mso-position-horizontal-relative:page;mso-position-vertical-relative:page;z-index:-16302592" type="#_x0000_t202" id="docshape12" filled="false" stroked="false">
          <v:textbox inset="0,0,0,0">
            <w:txbxContent>
              <w:p>
                <w:pPr>
                  <w:spacing w:line="285" w:lineRule="exact" w:before="0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color w:val="006666"/>
                    <w:sz w:val="26"/>
                  </w:rPr>
                  <w:t>Anexo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4.1.</w:t>
                </w:r>
                <w:r>
                  <w:rPr>
                    <w:b/>
                    <w:color w:val="006666"/>
                    <w:sz w:val="26"/>
                  </w:rPr>
                  <w:fldChar w:fldCharType="begin"/>
                </w:r>
                <w:r>
                  <w:rPr>
                    <w:b/>
                    <w:color w:val="006666"/>
                    <w:sz w:val="26"/>
                  </w:rPr>
                  <w:instrText> PAGE </w:instrText>
                </w:r>
                <w:r>
                  <w:rPr>
                    <w:b/>
                    <w:color w:val="006666"/>
                    <w:sz w:val="26"/>
                  </w:rPr>
                  <w:fldChar w:fldCharType="separate"/>
                </w:r>
                <w:r>
                  <w:rPr>
                    <w:b/>
                    <w:color w:val="006666"/>
                    <w:sz w:val="26"/>
                  </w:rPr>
                  <w:t>3</w:t>
                </w:r>
                <w:r>
                  <w:rPr>
                    <w:b/>
                    <w:color w:val="006666"/>
                    <w:sz w:val="26"/>
                  </w:rPr>
                  <w:fldChar w:fldCharType="end"/>
                </w:r>
                <w:r>
                  <w:rPr>
                    <w:b/>
                    <w:color w:val="006666"/>
                    <w:sz w:val="26"/>
                  </w:rPr>
                  <w:t>.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Matriz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das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Iniciativas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Estratégicas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vinculadas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aos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Objetivos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Estratégicos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Principais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por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CAU/UF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5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CAU/BR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(Valores</w:t>
                </w:r>
                <w:r>
                  <w:rPr>
                    <w:b/>
                    <w:color w:val="006666"/>
                    <w:spacing w:val="-3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4"/>
                    <w:sz w:val="26"/>
                  </w:rPr>
                  <w:t> </w:t>
                </w:r>
                <w:r>
                  <w:rPr>
                    <w:b/>
                    <w:color w:val="006666"/>
                    <w:spacing w:val="-2"/>
                    <w:sz w:val="26"/>
                  </w:rPr>
                  <w:t>Percentuais)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"/>
      <w:lvlJc w:val="left"/>
      <w:pPr>
        <w:ind w:left="1198" w:hanging="71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558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4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8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2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44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67" w:hanging="25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6666"/>
        <w:w w:val="100"/>
        <w:sz w:val="30"/>
        <w:szCs w:val="3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45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008080"/>
        <w:spacing w:val="-3"/>
        <w:w w:val="100"/>
        <w:sz w:val="26"/>
        <w:szCs w:val="2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76" w:hanging="4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32" w:hanging="4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88" w:hanging="4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45" w:hanging="4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01" w:hanging="4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57" w:hanging="4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13" w:hanging="45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4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8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0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4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85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8" w:hanging="85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10" w:hanging="85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01" w:hanging="85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91" w:hanging="85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82" w:hanging="85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73" w:hanging="85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63" w:hanging="85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54" w:hanging="85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45" w:hanging="85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15" w:hanging="17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6666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69" w:hanging="2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67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74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8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89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6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04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11" w:hanging="284"/>
      </w:pPr>
      <w:rPr>
        <w:rFonts w:hint="default"/>
        <w:lang w:val="pt-PT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764" w:hanging="221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96"/>
      <w:ind w:left="544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234"/>
      <w:ind w:left="969" w:hanging="284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3"/>
      <w:ind w:left="118" w:right="110"/>
      <w:jc w:val="center"/>
      <w:outlineLvl w:val="1"/>
    </w:pPr>
    <w:rPr>
      <w:rFonts w:ascii="Calibri" w:hAnsi="Calibri" w:eastAsia="Calibri" w:cs="Calibri"/>
      <w:b/>
      <w:bCs/>
      <w:sz w:val="48"/>
      <w:szCs w:val="4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320"/>
      <w:ind w:left="118" w:right="109"/>
      <w:jc w:val="center"/>
      <w:outlineLvl w:val="2"/>
    </w:pPr>
    <w:rPr>
      <w:rFonts w:ascii="Calibri" w:hAnsi="Calibri" w:eastAsia="Calibri" w:cs="Calibri"/>
      <w:b/>
      <w:bCs/>
      <w:sz w:val="48"/>
      <w:szCs w:val="48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45"/>
      <w:ind w:left="437" w:hanging="320"/>
      <w:outlineLvl w:val="3"/>
    </w:pPr>
    <w:rPr>
      <w:rFonts w:ascii="Calibri" w:hAnsi="Calibri" w:eastAsia="Calibri" w:cs="Calibri"/>
      <w:b/>
      <w:bCs/>
      <w:sz w:val="32"/>
      <w:szCs w:val="32"/>
      <w:lang w:val="pt-PT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before="48"/>
      <w:ind w:left="1419" w:hanging="451"/>
      <w:outlineLvl w:val="5"/>
    </w:pPr>
    <w:rPr>
      <w:rFonts w:ascii="Calibri Light" w:hAnsi="Calibri Light" w:eastAsia="Calibri Light" w:cs="Calibri Light"/>
      <w:sz w:val="26"/>
      <w:szCs w:val="26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118"/>
      <w:outlineLvl w:val="6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828" w:hanging="360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hyperlink" Target="ftp://ftp.ibge.gov.br/Pib_Municipios/2015/base/%20base_de_dados_2010_2015_xls.zip" TargetMode="External"/><Relationship Id="rId10" Type="http://schemas.openxmlformats.org/officeDocument/2006/relationships/image" Target="media/image4.jpeg"/><Relationship Id="rId11" Type="http://schemas.openxmlformats.org/officeDocument/2006/relationships/hyperlink" Target="http://www.estrategiaods.org.br/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header" Target="header2.xml"/><Relationship Id="rId41" Type="http://schemas.openxmlformats.org/officeDocument/2006/relationships/footer" Target="footer2.xml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header" Target="header3.xml"/><Relationship Id="rId45" Type="http://schemas.openxmlformats.org/officeDocument/2006/relationships/footer" Target="footer3.xml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header" Target="header4.xml"/><Relationship Id="rId49" Type="http://schemas.openxmlformats.org/officeDocument/2006/relationships/footer" Target="footer4.xml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header" Target="header5.xml"/><Relationship Id="rId53" Type="http://schemas.openxmlformats.org/officeDocument/2006/relationships/footer" Target="footer5.xml"/><Relationship Id="rId54" Type="http://schemas.openxmlformats.org/officeDocument/2006/relationships/image" Target="media/image39.jpeg"/><Relationship Id="rId55" Type="http://schemas.openxmlformats.org/officeDocument/2006/relationships/image" Target="media/image40.jpeg"/><Relationship Id="rId56" Type="http://schemas.openxmlformats.org/officeDocument/2006/relationships/image" Target="media/image41.jpeg"/><Relationship Id="rId57" Type="http://schemas.openxmlformats.org/officeDocument/2006/relationships/image" Target="media/image42.jpeg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header" Target="header6.xml"/><Relationship Id="rId61" Type="http://schemas.openxmlformats.org/officeDocument/2006/relationships/footer" Target="footer6.xml"/><Relationship Id="rId62" Type="http://schemas.openxmlformats.org/officeDocument/2006/relationships/image" Target="media/image46.png"/><Relationship Id="rId63" Type="http://schemas.openxmlformats.org/officeDocument/2006/relationships/image" Target="media/image47.jpeg"/><Relationship Id="rId64" Type="http://schemas.openxmlformats.org/officeDocument/2006/relationships/header" Target="header7.xml"/><Relationship Id="rId65" Type="http://schemas.openxmlformats.org/officeDocument/2006/relationships/footer" Target="footer7.xml"/><Relationship Id="rId66" Type="http://schemas.openxmlformats.org/officeDocument/2006/relationships/image" Target="media/image48.jpeg"/><Relationship Id="rId67" Type="http://schemas.openxmlformats.org/officeDocument/2006/relationships/header" Target="header8.xml"/><Relationship Id="rId68" Type="http://schemas.openxmlformats.org/officeDocument/2006/relationships/footer" Target="footer8.xml"/><Relationship Id="rId69" Type="http://schemas.openxmlformats.org/officeDocument/2006/relationships/image" Target="media/image49.jpeg"/><Relationship Id="rId70" Type="http://schemas.openxmlformats.org/officeDocument/2006/relationships/header" Target="header9.xml"/><Relationship Id="rId71" Type="http://schemas.openxmlformats.org/officeDocument/2006/relationships/footer" Target="footer9.xml"/><Relationship Id="rId72" Type="http://schemas.openxmlformats.org/officeDocument/2006/relationships/image" Target="media/image50.jpeg"/><Relationship Id="rId73" Type="http://schemas.openxmlformats.org/officeDocument/2006/relationships/header" Target="header10.xml"/><Relationship Id="rId74" Type="http://schemas.openxmlformats.org/officeDocument/2006/relationships/footer" Target="footer10.xml"/><Relationship Id="rId75" Type="http://schemas.openxmlformats.org/officeDocument/2006/relationships/image" Target="media/image51.jpeg"/><Relationship Id="rId76" Type="http://schemas.openxmlformats.org/officeDocument/2006/relationships/header" Target="header11.xml"/><Relationship Id="rId77" Type="http://schemas.openxmlformats.org/officeDocument/2006/relationships/footer" Target="footer11.xml"/><Relationship Id="rId78" Type="http://schemas.openxmlformats.org/officeDocument/2006/relationships/image" Target="media/image52.jpeg"/><Relationship Id="rId79" Type="http://schemas.openxmlformats.org/officeDocument/2006/relationships/image" Target="media/image53.jpeg"/><Relationship Id="rId80" Type="http://schemas.openxmlformats.org/officeDocument/2006/relationships/header" Target="header12.xml"/><Relationship Id="rId81" Type="http://schemas.openxmlformats.org/officeDocument/2006/relationships/footer" Target="footer12.xml"/><Relationship Id="rId82" Type="http://schemas.openxmlformats.org/officeDocument/2006/relationships/image" Target="media/image54.jpeg"/><Relationship Id="rId83" Type="http://schemas.openxmlformats.org/officeDocument/2006/relationships/header" Target="header13.xml"/><Relationship Id="rId84" Type="http://schemas.openxmlformats.org/officeDocument/2006/relationships/footer" Target="footer13.xml"/><Relationship Id="rId85" Type="http://schemas.openxmlformats.org/officeDocument/2006/relationships/image" Target="media/image55.jpeg"/><Relationship Id="rId86" Type="http://schemas.openxmlformats.org/officeDocument/2006/relationships/image" Target="media/image56.jpeg"/><Relationship Id="rId87" Type="http://schemas.openxmlformats.org/officeDocument/2006/relationships/header" Target="header14.xml"/><Relationship Id="rId88" Type="http://schemas.openxmlformats.org/officeDocument/2006/relationships/footer" Target="footer14.xml"/><Relationship Id="rId89" Type="http://schemas.openxmlformats.org/officeDocument/2006/relationships/hyperlink" Target="https://transparencia.caubr.gov.br/arquivos/plano-acao-2020-cauac.xlsx" TargetMode="External"/><Relationship Id="rId90" Type="http://schemas.openxmlformats.org/officeDocument/2006/relationships/hyperlink" Target="https://transparencia.caubr.gov.br/arquivos/plano-acao-2020-cauam.xlsx" TargetMode="External"/><Relationship Id="rId91" Type="http://schemas.openxmlformats.org/officeDocument/2006/relationships/hyperlink" Target="https://transparencia.caubr.gov.br/arquivos/plano-acao-2021-cauap.xlsx" TargetMode="External"/><Relationship Id="rId92" Type="http://schemas.openxmlformats.org/officeDocument/2006/relationships/hyperlink" Target="https://transparencia.caubr.gov.br/arquivos/plano-acao-2021-caual.xlsx" TargetMode="External"/><Relationship Id="rId93" Type="http://schemas.openxmlformats.org/officeDocument/2006/relationships/hyperlink" Target="https://transparencia.caubr.gov.br/arquivos/plano-acao-2021-cauba.xlsx" TargetMode="External"/><Relationship Id="rId94" Type="http://schemas.openxmlformats.org/officeDocument/2006/relationships/hyperlink" Target="https://transparencia.caubr.gov.br/arquivos/plano-acao-2021-cauce.xlsx" TargetMode="External"/><Relationship Id="rId95" Type="http://schemas.openxmlformats.org/officeDocument/2006/relationships/hyperlink" Target="https://transparencia.caubr.gov.br/arquivos/plano-acao-2021-caudf.xlsx" TargetMode="External"/><Relationship Id="rId96" Type="http://schemas.openxmlformats.org/officeDocument/2006/relationships/hyperlink" Target="https://transparencia.caubr.gov.br/arquivos/plano-acao-2021-caues.xlsx" TargetMode="External"/><Relationship Id="rId97" Type="http://schemas.openxmlformats.org/officeDocument/2006/relationships/hyperlink" Target="https://transparencia.caubr.gov.br/arquivos/plano-acao-2021-caugo.xlsx" TargetMode="External"/><Relationship Id="rId98" Type="http://schemas.openxmlformats.org/officeDocument/2006/relationships/hyperlink" Target="https://transparencia.caubr.gov.br/arquivos/plano-acao-2021-cauma.xlsx" TargetMode="External"/><Relationship Id="rId99" Type="http://schemas.openxmlformats.org/officeDocument/2006/relationships/hyperlink" Target="https://transparencia.caubr.gov.br/arquivos/plano-acao-2021-caumg.xlsx" TargetMode="External"/><Relationship Id="rId100" Type="http://schemas.openxmlformats.org/officeDocument/2006/relationships/hyperlink" Target="https://transparencia.caubr.gov.br/arquivos/plano-acao-2021-caums.xlsx" TargetMode="External"/><Relationship Id="rId101" Type="http://schemas.openxmlformats.org/officeDocument/2006/relationships/hyperlink" Target="https://transparencia.caubr.gov.br/arquivos/plano-acao-2021-caumt.xlsx" TargetMode="External"/><Relationship Id="rId102" Type="http://schemas.openxmlformats.org/officeDocument/2006/relationships/hyperlink" Target="https://transparencia.caubr.gov.br/arquivos/plano-acao-2021-caupa.xlsx" TargetMode="External"/><Relationship Id="rId103" Type="http://schemas.openxmlformats.org/officeDocument/2006/relationships/hyperlink" Target="https://transparencia.caubr.gov.br/arquivos/plano-acao-2021-caupb.xlsx" TargetMode="External"/><Relationship Id="rId104" Type="http://schemas.openxmlformats.org/officeDocument/2006/relationships/hyperlink" Target="https://transparencia.caubr.gov.br/arquivos/plano-acao-2021-caupe.xlsx" TargetMode="External"/><Relationship Id="rId105" Type="http://schemas.openxmlformats.org/officeDocument/2006/relationships/hyperlink" Target="https://transparencia.caubr.gov.br/arquivos/plano-acao-2021-caupi.xlsx" TargetMode="External"/><Relationship Id="rId106" Type="http://schemas.openxmlformats.org/officeDocument/2006/relationships/hyperlink" Target="https://transparencia.caubr.gov.br/arquivos/plano-acao-2021-caupr.xlsx" TargetMode="External"/><Relationship Id="rId107" Type="http://schemas.openxmlformats.org/officeDocument/2006/relationships/hyperlink" Target="https://transparencia.caubr.gov.br/arquivos/plano-acao-2021-caurj.xlsx" TargetMode="External"/><Relationship Id="rId108" Type="http://schemas.openxmlformats.org/officeDocument/2006/relationships/hyperlink" Target="https://transparencia.caubr.gov.br/arquivos/plano-acao-2021-caurn.xlsx" TargetMode="External"/><Relationship Id="rId109" Type="http://schemas.openxmlformats.org/officeDocument/2006/relationships/hyperlink" Target="https://transparencia.caubr.gov.br/arquivos/plano-acao-2021-cauro.xlsx" TargetMode="External"/><Relationship Id="rId110" Type="http://schemas.openxmlformats.org/officeDocument/2006/relationships/hyperlink" Target="https://transparencia.caubr.gov.br/arquivos/plano-acao-2021-caurr.xlsx" TargetMode="External"/><Relationship Id="rId111" Type="http://schemas.openxmlformats.org/officeDocument/2006/relationships/hyperlink" Target="https://transparencia.caubr.gov.br/arquivos/plano-acao-2021-caurs.xlsx" TargetMode="External"/><Relationship Id="rId112" Type="http://schemas.openxmlformats.org/officeDocument/2006/relationships/hyperlink" Target="https://transparencia.caubr.gov.br/arquivos/plano-acao-2021-causc.xlsx" TargetMode="External"/><Relationship Id="rId113" Type="http://schemas.openxmlformats.org/officeDocument/2006/relationships/hyperlink" Target="https://transparencia.caubr.gov.br/arquivos/plano-acao-2021-cause.xlsx" TargetMode="External"/><Relationship Id="rId114" Type="http://schemas.openxmlformats.org/officeDocument/2006/relationships/hyperlink" Target="https://transparencia.caubr.gov.br/arquivos/plano-acao-2021-cauto.xlsx" TargetMode="External"/><Relationship Id="rId115" Type="http://schemas.openxmlformats.org/officeDocument/2006/relationships/hyperlink" Target="https://transparencia.caubr.gov.br/arquivos/plano-acao-2021-caubr.xlsx" TargetMode="External"/><Relationship Id="rId11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 Oliveira Marques</dc:creator>
  <dcterms:created xsi:type="dcterms:W3CDTF">2022-10-31T17:10:05Z</dcterms:created>
  <dcterms:modified xsi:type="dcterms:W3CDTF">2022-10-31T17:10:05Z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2022-10-31T00:00:00Z</vt:filetime>
  </property>
  <property fmtid="{D5CDD505-2E9C-101B-9397-08002B2CF9AE}" pid="5" name="Producer">
    <vt:lpwstr>Microsoft® Word 2013</vt:lpwstr>
  </property>
</Properties>
</file>