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536" w:lineRule="exact" w:before="0"/>
        <w:ind w:left="1086" w:right="865" w:firstLine="0"/>
        <w:jc w:val="center"/>
        <w:rPr>
          <w:sz w:val="44"/>
        </w:rPr>
      </w:pPr>
      <w:r>
        <w:rPr/>
        <w:pict>
          <v:group style="position:absolute;margin-left:.000009pt;margin-top:0pt;width:595.35pt;height:841.95pt;mso-position-horizontal-relative:page;mso-position-vertical-relative:page;z-index:-16263680" id="docshapegroup1" coordorigin="0,0" coordsize="11907,16839">
            <v:shape style="position:absolute;left:25;top:689;width:11882;height:893" type="#_x0000_t75" id="docshape2" stroked="false">
              <v:imagedata r:id="rId5" o:title=""/>
            </v:shape>
            <v:shape style="position:absolute;left:0;top:0;width:11907;height:16839" type="#_x0000_t75" id="docshape3" alt=":apresentacao:capas:CAU-timbradocapa-01comissoesOrdinarias.jpg" stroked="false">
              <v:imagedata r:id="rId6" o:title=""/>
            </v:shape>
            <w10:wrap type="none"/>
          </v:group>
        </w:pict>
      </w:r>
      <w:r>
        <w:rPr>
          <w:color w:val="FFFFFF"/>
          <w:sz w:val="44"/>
        </w:rPr>
        <w:t>Comissão</w:t>
      </w:r>
      <w:r>
        <w:rPr>
          <w:color w:val="FFFFFF"/>
          <w:spacing w:val="-12"/>
          <w:sz w:val="44"/>
        </w:rPr>
        <w:t> </w:t>
      </w:r>
      <w:r>
        <w:rPr>
          <w:color w:val="FFFFFF"/>
          <w:sz w:val="44"/>
        </w:rPr>
        <w:t>de</w:t>
      </w:r>
      <w:r>
        <w:rPr>
          <w:color w:val="FFFFFF"/>
          <w:spacing w:val="-13"/>
          <w:sz w:val="44"/>
        </w:rPr>
        <w:t> </w:t>
      </w:r>
      <w:r>
        <w:rPr>
          <w:color w:val="FFFFFF"/>
          <w:sz w:val="44"/>
        </w:rPr>
        <w:t>Planejamento</w:t>
      </w:r>
      <w:r>
        <w:rPr>
          <w:color w:val="FFFFFF"/>
          <w:spacing w:val="-11"/>
          <w:sz w:val="44"/>
        </w:rPr>
        <w:t> </w:t>
      </w:r>
      <w:r>
        <w:rPr>
          <w:color w:val="FFFFFF"/>
          <w:sz w:val="44"/>
        </w:rPr>
        <w:t>e</w:t>
      </w:r>
      <w:r>
        <w:rPr>
          <w:color w:val="FFFFFF"/>
          <w:spacing w:val="-15"/>
          <w:sz w:val="44"/>
        </w:rPr>
        <w:t> </w:t>
      </w:r>
      <w:r>
        <w:rPr>
          <w:color w:val="FFFFFF"/>
          <w:spacing w:val="-2"/>
          <w:sz w:val="44"/>
        </w:rPr>
        <w:t>Finanças</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6"/>
        <w:rPr>
          <w:sz w:val="46"/>
        </w:rPr>
      </w:pPr>
    </w:p>
    <w:p>
      <w:pPr>
        <w:pStyle w:val="Heading1"/>
        <w:spacing w:line="424" w:lineRule="auto" w:before="1"/>
        <w:ind w:left="1090" w:right="865"/>
      </w:pPr>
      <w:r>
        <w:rPr>
          <w:color w:val="FFFFFF"/>
        </w:rPr>
        <w:t>REPROGRAMAÇÃO</w:t>
      </w:r>
      <w:r>
        <w:rPr>
          <w:color w:val="FFFFFF"/>
          <w:spacing w:val="-9"/>
        </w:rPr>
        <w:t> </w:t>
      </w:r>
      <w:r>
        <w:rPr>
          <w:color w:val="FFFFFF"/>
        </w:rPr>
        <w:t>DO</w:t>
      </w:r>
      <w:r>
        <w:rPr>
          <w:color w:val="FFFFFF"/>
          <w:spacing w:val="-9"/>
        </w:rPr>
        <w:t> </w:t>
      </w:r>
      <w:r>
        <w:rPr>
          <w:color w:val="FFFFFF"/>
        </w:rPr>
        <w:t>PLANO</w:t>
      </w:r>
      <w:r>
        <w:rPr>
          <w:color w:val="FFFFFF"/>
          <w:spacing w:val="-9"/>
        </w:rPr>
        <w:t> </w:t>
      </w:r>
      <w:r>
        <w:rPr>
          <w:color w:val="FFFFFF"/>
        </w:rPr>
        <w:t>DE</w:t>
      </w:r>
      <w:r>
        <w:rPr>
          <w:color w:val="FFFFFF"/>
          <w:spacing w:val="-9"/>
        </w:rPr>
        <w:t> </w:t>
      </w:r>
      <w:r>
        <w:rPr>
          <w:color w:val="FFFFFF"/>
        </w:rPr>
        <w:t>AÇÃO E ORÇAMENTO DO CAU</w:t>
      </w:r>
    </w:p>
    <w:p>
      <w:pPr>
        <w:spacing w:before="6"/>
        <w:ind w:left="1090" w:right="860" w:firstLine="0"/>
        <w:jc w:val="center"/>
        <w:rPr>
          <w:b/>
          <w:sz w:val="44"/>
        </w:rPr>
      </w:pPr>
      <w:r>
        <w:rPr>
          <w:b/>
          <w:color w:val="FFFFFF"/>
          <w:sz w:val="44"/>
        </w:rPr>
        <w:t>EXERCÍCIO</w:t>
      </w:r>
      <w:r>
        <w:rPr>
          <w:b/>
          <w:color w:val="FFFFFF"/>
          <w:spacing w:val="-21"/>
          <w:sz w:val="44"/>
        </w:rPr>
        <w:t> </w:t>
      </w:r>
      <w:r>
        <w:rPr>
          <w:b/>
          <w:color w:val="FFFFFF"/>
          <w:spacing w:val="-4"/>
          <w:sz w:val="44"/>
        </w:rPr>
        <w:t>2020</w:t>
      </w: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rPr>
          <w:b/>
          <w:sz w:val="44"/>
        </w:rPr>
      </w:pPr>
    </w:p>
    <w:p>
      <w:pPr>
        <w:pStyle w:val="BodyText"/>
        <w:spacing w:before="7"/>
        <w:rPr>
          <w:b/>
          <w:sz w:val="62"/>
        </w:rPr>
      </w:pPr>
    </w:p>
    <w:p>
      <w:pPr>
        <w:spacing w:line="472" w:lineRule="auto" w:before="0"/>
        <w:ind w:left="2934" w:right="2702" w:firstLine="2"/>
        <w:jc w:val="center"/>
        <w:rPr>
          <w:sz w:val="24"/>
        </w:rPr>
      </w:pPr>
      <w:r>
        <w:rPr/>
        <w:pict>
          <v:shapetype id="_x0000_t202" o:spt="202" coordsize="21600,21600" path="m,l,21600r21600,l21600,xe">
            <v:stroke joinstyle="miter"/>
            <v:path gradientshapeok="t" o:connecttype="rect"/>
          </v:shapetype>
          <v:shape style="position:absolute;margin-left:535.679993pt;margin-top:165.480072pt;width:17.2pt;height:9pt;mso-position-horizontal-relative:page;mso-position-vertical-relative:paragraph;z-index:-16264192" type="#_x0000_t202" id="docshape4" filled="false" stroked="false">
            <v:textbox inset="0,0,0,0">
              <w:txbxContent>
                <w:p>
                  <w:pPr>
                    <w:spacing w:line="180" w:lineRule="exact" w:before="0"/>
                    <w:ind w:left="0" w:right="0" w:firstLine="0"/>
                    <w:jc w:val="left"/>
                    <w:rPr>
                      <w:b/>
                      <w:sz w:val="18"/>
                    </w:rPr>
                  </w:pPr>
                  <w:r>
                    <w:rPr>
                      <w:b/>
                      <w:spacing w:val="-4"/>
                      <w:sz w:val="18"/>
                    </w:rPr>
                    <w:t>1</w:t>
                  </w:r>
                  <w:r>
                    <w:rPr>
                      <w:spacing w:val="-4"/>
                      <w:sz w:val="18"/>
                    </w:rPr>
                    <w:t>/</w:t>
                  </w:r>
                  <w:r>
                    <w:rPr>
                      <w:b/>
                      <w:spacing w:val="-4"/>
                      <w:sz w:val="18"/>
                    </w:rPr>
                    <w:t>40</w:t>
                  </w:r>
                </w:p>
              </w:txbxContent>
            </v:textbox>
            <w10:wrap type="none"/>
          </v:shape>
        </w:pict>
      </w:r>
      <w:r>
        <w:rPr>
          <w:color w:val="FFFFFF"/>
          <w:sz w:val="28"/>
        </w:rPr>
        <w:t>106ª Reunião Plenária Ordinária Brasília/DF,</w:t>
      </w:r>
      <w:r>
        <w:rPr>
          <w:color w:val="FFFFFF"/>
          <w:spacing w:val="-6"/>
          <w:sz w:val="28"/>
        </w:rPr>
        <w:t> </w:t>
      </w:r>
      <w:r>
        <w:rPr>
          <w:color w:val="FFFFFF"/>
          <w:sz w:val="28"/>
        </w:rPr>
        <w:t>15</w:t>
      </w:r>
      <w:r>
        <w:rPr>
          <w:color w:val="FFFFFF"/>
          <w:spacing w:val="-8"/>
          <w:sz w:val="28"/>
        </w:rPr>
        <w:t> </w:t>
      </w:r>
      <w:r>
        <w:rPr>
          <w:color w:val="FFFFFF"/>
          <w:sz w:val="28"/>
        </w:rPr>
        <w:t>de</w:t>
      </w:r>
      <w:r>
        <w:rPr>
          <w:color w:val="FFFFFF"/>
          <w:spacing w:val="-7"/>
          <w:sz w:val="28"/>
        </w:rPr>
        <w:t> </w:t>
      </w:r>
      <w:r>
        <w:rPr>
          <w:color w:val="FFFFFF"/>
          <w:sz w:val="28"/>
        </w:rPr>
        <w:t>dezembro</w:t>
      </w:r>
      <w:r>
        <w:rPr>
          <w:color w:val="FFFFFF"/>
          <w:spacing w:val="-5"/>
          <w:sz w:val="28"/>
        </w:rPr>
        <w:t> </w:t>
      </w:r>
      <w:r>
        <w:rPr>
          <w:color w:val="FFFFFF"/>
          <w:sz w:val="28"/>
        </w:rPr>
        <w:t>de</w:t>
      </w:r>
      <w:r>
        <w:rPr>
          <w:color w:val="FFFFFF"/>
          <w:spacing w:val="-7"/>
          <w:sz w:val="28"/>
        </w:rPr>
        <w:t> </w:t>
      </w:r>
      <w:r>
        <w:rPr>
          <w:color w:val="FFFFFF"/>
          <w:sz w:val="28"/>
        </w:rPr>
        <w:t>2020. </w:t>
      </w:r>
      <w:r>
        <w:rPr>
          <w:color w:val="FFFFFF"/>
          <w:sz w:val="24"/>
        </w:rPr>
        <w:t>(Republicada em fevereiro de 2021)</w:t>
      </w:r>
    </w:p>
    <w:p>
      <w:pPr>
        <w:spacing w:after="0" w:line="472" w:lineRule="auto"/>
        <w:jc w:val="center"/>
        <w:rPr>
          <w:sz w:val="24"/>
        </w:rPr>
        <w:sectPr>
          <w:type w:val="continuous"/>
          <w:pgSz w:w="11910" w:h="16840"/>
          <w:pgMar w:top="1580" w:bottom="280" w:left="1300" w:right="700"/>
        </w:sectPr>
      </w:pPr>
    </w:p>
    <w:p>
      <w:pPr>
        <w:spacing w:before="14"/>
        <w:ind w:left="118" w:right="0" w:firstLine="0"/>
        <w:jc w:val="left"/>
        <w:rPr>
          <w:b/>
          <w:sz w:val="22"/>
        </w:rPr>
      </w:pPr>
      <w:r>
        <w:rPr>
          <w:b/>
          <w:color w:val="006666"/>
          <w:sz w:val="22"/>
        </w:rPr>
        <w:t>CONSELHO</w:t>
      </w:r>
      <w:r>
        <w:rPr>
          <w:b/>
          <w:color w:val="006666"/>
          <w:spacing w:val="-7"/>
          <w:sz w:val="22"/>
        </w:rPr>
        <w:t> </w:t>
      </w:r>
      <w:r>
        <w:rPr>
          <w:b/>
          <w:color w:val="006666"/>
          <w:sz w:val="22"/>
        </w:rPr>
        <w:t>DE</w:t>
      </w:r>
      <w:r>
        <w:rPr>
          <w:b/>
          <w:color w:val="006666"/>
          <w:spacing w:val="-6"/>
          <w:sz w:val="22"/>
        </w:rPr>
        <w:t> </w:t>
      </w:r>
      <w:r>
        <w:rPr>
          <w:b/>
          <w:color w:val="006666"/>
          <w:sz w:val="22"/>
        </w:rPr>
        <w:t>ARQUITETURA</w:t>
      </w:r>
      <w:r>
        <w:rPr>
          <w:b/>
          <w:color w:val="006666"/>
          <w:spacing w:val="-3"/>
          <w:sz w:val="22"/>
        </w:rPr>
        <w:t> </w:t>
      </w:r>
      <w:r>
        <w:rPr>
          <w:b/>
          <w:color w:val="006666"/>
          <w:sz w:val="22"/>
        </w:rPr>
        <w:t>E</w:t>
      </w:r>
      <w:r>
        <w:rPr>
          <w:b/>
          <w:color w:val="006666"/>
          <w:spacing w:val="-6"/>
          <w:sz w:val="22"/>
        </w:rPr>
        <w:t> </w:t>
      </w:r>
      <w:r>
        <w:rPr>
          <w:b/>
          <w:color w:val="006666"/>
          <w:sz w:val="22"/>
        </w:rPr>
        <w:t>URBANISMO</w:t>
      </w:r>
      <w:r>
        <w:rPr>
          <w:b/>
          <w:color w:val="006666"/>
          <w:spacing w:val="-4"/>
          <w:sz w:val="22"/>
        </w:rPr>
        <w:t> </w:t>
      </w:r>
      <w:r>
        <w:rPr>
          <w:b/>
          <w:color w:val="006666"/>
          <w:sz w:val="22"/>
        </w:rPr>
        <w:t>DO</w:t>
      </w:r>
      <w:r>
        <w:rPr>
          <w:b/>
          <w:color w:val="006666"/>
          <w:spacing w:val="-6"/>
          <w:sz w:val="22"/>
        </w:rPr>
        <w:t> </w:t>
      </w:r>
      <w:r>
        <w:rPr>
          <w:b/>
          <w:color w:val="006666"/>
          <w:sz w:val="22"/>
        </w:rPr>
        <w:t>BRASIL</w:t>
      </w:r>
      <w:r>
        <w:rPr>
          <w:b/>
          <w:color w:val="006666"/>
          <w:spacing w:val="-3"/>
          <w:sz w:val="22"/>
        </w:rPr>
        <w:t> </w:t>
      </w:r>
      <w:r>
        <w:rPr>
          <w:b/>
          <w:color w:val="006666"/>
          <w:spacing w:val="-2"/>
          <w:sz w:val="22"/>
        </w:rPr>
        <w:t>CAU/BR</w:t>
      </w:r>
    </w:p>
    <w:p>
      <w:pPr>
        <w:pStyle w:val="BodyText"/>
        <w:spacing w:line="360" w:lineRule="auto" w:before="135"/>
        <w:ind w:left="118"/>
      </w:pPr>
      <w:r>
        <w:rPr/>
        <w:t>Setor</w:t>
      </w:r>
      <w:r>
        <w:rPr>
          <w:spacing w:val="30"/>
        </w:rPr>
        <w:t> </w:t>
      </w:r>
      <w:r>
        <w:rPr/>
        <w:t>de</w:t>
      </w:r>
      <w:r>
        <w:rPr>
          <w:spacing w:val="30"/>
        </w:rPr>
        <w:t> </w:t>
      </w:r>
      <w:r>
        <w:rPr/>
        <w:t>Edifícios</w:t>
      </w:r>
      <w:r>
        <w:rPr>
          <w:spacing w:val="30"/>
        </w:rPr>
        <w:t> </w:t>
      </w:r>
      <w:r>
        <w:rPr/>
        <w:t>Públicos</w:t>
      </w:r>
      <w:r>
        <w:rPr>
          <w:spacing w:val="32"/>
        </w:rPr>
        <w:t> </w:t>
      </w:r>
      <w:r>
        <w:rPr/>
        <w:t>Sul</w:t>
      </w:r>
      <w:r>
        <w:rPr>
          <w:spacing w:val="33"/>
        </w:rPr>
        <w:t> </w:t>
      </w:r>
      <w:r>
        <w:rPr/>
        <w:t>(SEPS),</w:t>
      </w:r>
      <w:r>
        <w:rPr>
          <w:spacing w:val="32"/>
        </w:rPr>
        <w:t> </w:t>
      </w:r>
      <w:r>
        <w:rPr/>
        <w:t>Quadra</w:t>
      </w:r>
      <w:r>
        <w:rPr>
          <w:spacing w:val="30"/>
        </w:rPr>
        <w:t> </w:t>
      </w:r>
      <w:r>
        <w:rPr/>
        <w:t>702/902,</w:t>
      </w:r>
      <w:r>
        <w:rPr>
          <w:spacing w:val="29"/>
        </w:rPr>
        <w:t> </w:t>
      </w:r>
      <w:r>
        <w:rPr/>
        <w:t>Conjunto</w:t>
      </w:r>
      <w:r>
        <w:rPr>
          <w:spacing w:val="30"/>
        </w:rPr>
        <w:t> </w:t>
      </w:r>
      <w:r>
        <w:rPr/>
        <w:t>B,</w:t>
      </w:r>
      <w:r>
        <w:rPr>
          <w:spacing w:val="29"/>
        </w:rPr>
        <w:t> </w:t>
      </w:r>
      <w:r>
        <w:rPr/>
        <w:t>2º</w:t>
      </w:r>
      <w:r>
        <w:rPr>
          <w:spacing w:val="29"/>
        </w:rPr>
        <w:t> </w:t>
      </w:r>
      <w:r>
        <w:rPr/>
        <w:t>andar</w:t>
      </w:r>
      <w:r>
        <w:rPr>
          <w:spacing w:val="31"/>
        </w:rPr>
        <w:t> </w:t>
      </w:r>
      <w:r>
        <w:rPr/>
        <w:t>–</w:t>
      </w:r>
      <w:r>
        <w:rPr>
          <w:spacing w:val="30"/>
        </w:rPr>
        <w:t> </w:t>
      </w:r>
      <w:r>
        <w:rPr/>
        <w:t>Edifício</w:t>
      </w:r>
      <w:r>
        <w:rPr>
          <w:spacing w:val="30"/>
        </w:rPr>
        <w:t> </w:t>
      </w:r>
      <w:r>
        <w:rPr/>
        <w:t>General </w:t>
      </w:r>
      <w:r>
        <w:rPr>
          <w:spacing w:val="-2"/>
        </w:rPr>
        <w:t>Alencastro</w:t>
      </w:r>
    </w:p>
    <w:p>
      <w:pPr>
        <w:pStyle w:val="BodyText"/>
        <w:spacing w:line="292" w:lineRule="exact"/>
        <w:ind w:left="118"/>
      </w:pPr>
      <w:r>
        <w:rPr/>
        <w:t>CEP:</w:t>
      </w:r>
      <w:r>
        <w:rPr>
          <w:spacing w:val="-1"/>
        </w:rPr>
        <w:t> </w:t>
      </w:r>
      <w:r>
        <w:rPr/>
        <w:t>70.390-025</w:t>
      </w:r>
      <w:r>
        <w:rPr>
          <w:spacing w:val="-2"/>
        </w:rPr>
        <w:t> </w:t>
      </w:r>
      <w:r>
        <w:rPr/>
        <w:t>-</w:t>
      </w:r>
      <w:r>
        <w:rPr>
          <w:spacing w:val="-2"/>
        </w:rPr>
        <w:t> Brasília/DF</w:t>
      </w:r>
    </w:p>
    <w:p>
      <w:pPr>
        <w:pStyle w:val="Heading5"/>
        <w:tabs>
          <w:tab w:pos="4374" w:val="left" w:leader="none"/>
        </w:tabs>
        <w:spacing w:line="880" w:lineRule="exact" w:before="110"/>
        <w:ind w:left="118" w:right="4289"/>
        <w:jc w:val="left"/>
      </w:pPr>
      <w:r>
        <w:rPr/>
        <w:t>Antônio Luciano de Lima Guimarães</w:t>
        <w:tab/>
        <w:t>|</w:t>
      </w:r>
      <w:r>
        <w:rPr>
          <w:spacing w:val="-14"/>
        </w:rPr>
        <w:t> </w:t>
      </w:r>
      <w:r>
        <w:rPr/>
        <w:t>Presidente Conselho Diretor</w:t>
      </w:r>
    </w:p>
    <w:p>
      <w:pPr>
        <w:pStyle w:val="BodyText"/>
        <w:tabs>
          <w:tab w:pos="4374" w:val="left" w:leader="none"/>
        </w:tabs>
        <w:spacing w:line="360" w:lineRule="auto" w:before="34"/>
        <w:ind w:left="118" w:right="535"/>
      </w:pPr>
      <w:r>
        <w:rPr/>
        <w:t>Patrícia Silva Luz de Macedo</w:t>
        <w:tab/>
        <w:t>| Coord. da Comissão de Exercício Profissional Jeferson Dantas Navolar</w:t>
        <w:tab/>
        <w:t>|</w:t>
      </w:r>
      <w:r>
        <w:rPr>
          <w:spacing w:val="-6"/>
        </w:rPr>
        <w:t> </w:t>
      </w:r>
      <w:r>
        <w:rPr/>
        <w:t>Coord.</w:t>
      </w:r>
      <w:r>
        <w:rPr>
          <w:spacing w:val="-7"/>
        </w:rPr>
        <w:t> </w:t>
      </w:r>
      <w:r>
        <w:rPr/>
        <w:t>Comissão</w:t>
      </w:r>
      <w:r>
        <w:rPr>
          <w:spacing w:val="-6"/>
        </w:rPr>
        <w:t> </w:t>
      </w:r>
      <w:r>
        <w:rPr/>
        <w:t>de</w:t>
      </w:r>
      <w:r>
        <w:rPr>
          <w:spacing w:val="-6"/>
        </w:rPr>
        <w:t> </w:t>
      </w:r>
      <w:r>
        <w:rPr/>
        <w:t>Organização</w:t>
      </w:r>
      <w:r>
        <w:rPr>
          <w:spacing w:val="-8"/>
        </w:rPr>
        <w:t> </w:t>
      </w:r>
      <w:r>
        <w:rPr/>
        <w:t>e</w:t>
      </w:r>
      <w:r>
        <w:rPr>
          <w:spacing w:val="-6"/>
        </w:rPr>
        <w:t> </w:t>
      </w:r>
      <w:r>
        <w:rPr/>
        <w:t>Administração Andrea Lucia Vilella Arruda</w:t>
        <w:tab/>
        <w:t>| Coord. Comissão de Ensino e Formação</w:t>
      </w:r>
    </w:p>
    <w:p>
      <w:pPr>
        <w:pStyle w:val="BodyText"/>
        <w:tabs>
          <w:tab w:pos="4374" w:val="left" w:leader="none"/>
        </w:tabs>
        <w:spacing w:before="2"/>
        <w:ind w:left="118"/>
      </w:pPr>
      <w:r>
        <w:rPr/>
        <w:t>Guivaldo</w:t>
      </w:r>
      <w:r>
        <w:rPr>
          <w:spacing w:val="-3"/>
        </w:rPr>
        <w:t> </w:t>
      </w:r>
      <w:r>
        <w:rPr/>
        <w:t>D’Alexandria</w:t>
      </w:r>
      <w:r>
        <w:rPr>
          <w:spacing w:val="-3"/>
        </w:rPr>
        <w:t> </w:t>
      </w:r>
      <w:r>
        <w:rPr>
          <w:spacing w:val="-2"/>
        </w:rPr>
        <w:t>Baptista</w:t>
      </w:r>
      <w:r>
        <w:rPr/>
        <w:tab/>
        <w:t>|</w:t>
      </w:r>
      <w:r>
        <w:rPr>
          <w:spacing w:val="-5"/>
        </w:rPr>
        <w:t> </w:t>
      </w:r>
      <w:r>
        <w:rPr/>
        <w:t>Coord.</w:t>
      </w:r>
      <w:r>
        <w:rPr>
          <w:spacing w:val="-3"/>
        </w:rPr>
        <w:t> </w:t>
      </w:r>
      <w:r>
        <w:rPr/>
        <w:t>Comissão</w:t>
      </w:r>
      <w:r>
        <w:rPr>
          <w:spacing w:val="-1"/>
        </w:rPr>
        <w:t> </w:t>
      </w:r>
      <w:r>
        <w:rPr/>
        <w:t>de</w:t>
      </w:r>
      <w:r>
        <w:rPr>
          <w:spacing w:val="-1"/>
        </w:rPr>
        <w:t> </w:t>
      </w:r>
      <w:r>
        <w:rPr/>
        <w:t>Ética</w:t>
      </w:r>
      <w:r>
        <w:rPr>
          <w:spacing w:val="-2"/>
        </w:rPr>
        <w:t> </w:t>
      </w:r>
      <w:r>
        <w:rPr/>
        <w:t>e</w:t>
      </w:r>
      <w:r>
        <w:rPr>
          <w:spacing w:val="-1"/>
        </w:rPr>
        <w:t> </w:t>
      </w:r>
      <w:r>
        <w:rPr>
          <w:spacing w:val="-2"/>
        </w:rPr>
        <w:t>Disciplina</w:t>
      </w:r>
    </w:p>
    <w:p>
      <w:pPr>
        <w:pStyle w:val="BodyText"/>
        <w:tabs>
          <w:tab w:pos="4374" w:val="left" w:leader="none"/>
        </w:tabs>
        <w:spacing w:before="146"/>
        <w:ind w:left="118"/>
      </w:pPr>
      <w:r>
        <w:rPr/>
        <w:t>Raul</w:t>
      </w:r>
      <w:r>
        <w:rPr>
          <w:spacing w:val="-1"/>
        </w:rPr>
        <w:t> </w:t>
      </w:r>
      <w:r>
        <w:rPr/>
        <w:t>Wanderley</w:t>
      </w:r>
      <w:r>
        <w:rPr>
          <w:spacing w:val="-2"/>
        </w:rPr>
        <w:t> Gradim</w:t>
      </w:r>
      <w:r>
        <w:rPr/>
        <w:tab/>
        <w:t>|</w:t>
      </w:r>
      <w:r>
        <w:rPr>
          <w:spacing w:val="-4"/>
        </w:rPr>
        <w:t> </w:t>
      </w:r>
      <w:r>
        <w:rPr/>
        <w:t>Coord.</w:t>
      </w:r>
      <w:r>
        <w:rPr>
          <w:spacing w:val="-3"/>
        </w:rPr>
        <w:t> </w:t>
      </w:r>
      <w:r>
        <w:rPr/>
        <w:t>da</w:t>
      </w:r>
      <w:r>
        <w:rPr>
          <w:spacing w:val="-1"/>
        </w:rPr>
        <w:t> </w:t>
      </w:r>
      <w:r>
        <w:rPr/>
        <w:t>Comissão</w:t>
      </w:r>
      <w:r>
        <w:rPr>
          <w:spacing w:val="-3"/>
        </w:rPr>
        <w:t> </w:t>
      </w:r>
      <w:r>
        <w:rPr/>
        <w:t>de</w:t>
      </w:r>
      <w:r>
        <w:rPr>
          <w:spacing w:val="-2"/>
        </w:rPr>
        <w:t> </w:t>
      </w:r>
      <w:r>
        <w:rPr/>
        <w:t>Planejamento</w:t>
      </w:r>
      <w:r>
        <w:rPr>
          <w:spacing w:val="-2"/>
        </w:rPr>
        <w:t> </w:t>
      </w:r>
      <w:r>
        <w:rPr/>
        <w:t>e </w:t>
      </w:r>
      <w:r>
        <w:rPr>
          <w:spacing w:val="-2"/>
        </w:rPr>
        <w:t>Finanças</w:t>
      </w:r>
    </w:p>
    <w:p>
      <w:pPr>
        <w:pStyle w:val="BodyText"/>
      </w:pPr>
    </w:p>
    <w:p>
      <w:pPr>
        <w:pStyle w:val="BodyText"/>
        <w:spacing w:before="12"/>
        <w:rPr>
          <w:sz w:val="23"/>
        </w:rPr>
      </w:pPr>
    </w:p>
    <w:p>
      <w:pPr>
        <w:pStyle w:val="Heading5"/>
        <w:ind w:left="118"/>
        <w:jc w:val="left"/>
      </w:pPr>
      <w:r>
        <w:rPr/>
        <w:t>Comissão</w:t>
      </w:r>
      <w:r>
        <w:rPr>
          <w:spacing w:val="-3"/>
        </w:rPr>
        <w:t> </w:t>
      </w:r>
      <w:r>
        <w:rPr/>
        <w:t>de</w:t>
      </w:r>
      <w:r>
        <w:rPr>
          <w:spacing w:val="-3"/>
        </w:rPr>
        <w:t> </w:t>
      </w:r>
      <w:r>
        <w:rPr/>
        <w:t>Planejamento</w:t>
      </w:r>
      <w:r>
        <w:rPr>
          <w:spacing w:val="-2"/>
        </w:rPr>
        <w:t> </w:t>
      </w:r>
      <w:r>
        <w:rPr/>
        <w:t>e</w:t>
      </w:r>
      <w:r>
        <w:rPr>
          <w:spacing w:val="-3"/>
        </w:rPr>
        <w:t> </w:t>
      </w:r>
      <w:r>
        <w:rPr>
          <w:spacing w:val="-2"/>
        </w:rPr>
        <w:t>Finanças</w:t>
      </w:r>
    </w:p>
    <w:p>
      <w:pPr>
        <w:pStyle w:val="BodyText"/>
        <w:tabs>
          <w:tab w:pos="4374" w:val="left" w:leader="none"/>
        </w:tabs>
        <w:spacing w:before="146"/>
        <w:ind w:left="118"/>
      </w:pPr>
      <w:r>
        <w:rPr/>
        <w:t>Raul</w:t>
      </w:r>
      <w:r>
        <w:rPr>
          <w:spacing w:val="-1"/>
        </w:rPr>
        <w:t> </w:t>
      </w:r>
      <w:r>
        <w:rPr/>
        <w:t>Wanderley</w:t>
      </w:r>
      <w:r>
        <w:rPr>
          <w:spacing w:val="-2"/>
        </w:rPr>
        <w:t> Gradim</w:t>
      </w:r>
      <w:r>
        <w:rPr/>
        <w:tab/>
        <w:t>| </w:t>
      </w:r>
      <w:r>
        <w:rPr>
          <w:spacing w:val="-2"/>
        </w:rPr>
        <w:t>Coordenador</w:t>
      </w:r>
    </w:p>
    <w:p>
      <w:pPr>
        <w:pStyle w:val="BodyText"/>
        <w:tabs>
          <w:tab w:pos="4374" w:val="left" w:leader="none"/>
        </w:tabs>
        <w:spacing w:line="360" w:lineRule="auto" w:before="146"/>
        <w:ind w:left="118" w:right="3242"/>
      </w:pPr>
      <w:r>
        <w:rPr/>
        <w:t>Osvaldo Abrão de Souza</w:t>
        <w:tab/>
        <w:t>|</w:t>
      </w:r>
      <w:r>
        <w:rPr>
          <w:spacing w:val="-14"/>
        </w:rPr>
        <w:t> </w:t>
      </w:r>
      <w:r>
        <w:rPr/>
        <w:t>Coordenador</w:t>
      </w:r>
      <w:r>
        <w:rPr>
          <w:spacing w:val="-14"/>
        </w:rPr>
        <w:t> </w:t>
      </w:r>
      <w:r>
        <w:rPr/>
        <w:t>Adjunto Eduardo Pasquinelli Rocio</w:t>
      </w:r>
    </w:p>
    <w:p>
      <w:pPr>
        <w:pStyle w:val="BodyText"/>
        <w:spacing w:line="292" w:lineRule="exact"/>
        <w:ind w:left="118"/>
      </w:pPr>
      <w:r>
        <w:rPr/>
        <w:t>Nádia</w:t>
      </w:r>
      <w:r>
        <w:rPr>
          <w:spacing w:val="-1"/>
        </w:rPr>
        <w:t> </w:t>
      </w:r>
      <w:r>
        <w:rPr>
          <w:spacing w:val="-2"/>
        </w:rPr>
        <w:t>Somekh</w:t>
      </w:r>
    </w:p>
    <w:p>
      <w:pPr>
        <w:pStyle w:val="BodyText"/>
        <w:spacing w:before="149"/>
        <w:ind w:left="118"/>
      </w:pPr>
      <w:r>
        <w:rPr/>
        <w:t>Wilson Fernando</w:t>
      </w:r>
      <w:r>
        <w:rPr>
          <w:spacing w:val="-3"/>
        </w:rPr>
        <w:t> </w:t>
      </w:r>
      <w:r>
        <w:rPr/>
        <w:t>Vargas</w:t>
      </w:r>
      <w:r>
        <w:rPr>
          <w:spacing w:val="-3"/>
        </w:rPr>
        <w:t> </w:t>
      </w:r>
      <w:r>
        <w:rPr/>
        <w:t>de </w:t>
      </w:r>
      <w:r>
        <w:rPr>
          <w:spacing w:val="-2"/>
        </w:rPr>
        <w:t>Andrade</w:t>
      </w:r>
    </w:p>
    <w:p>
      <w:pPr>
        <w:pStyle w:val="Heading5"/>
        <w:tabs>
          <w:tab w:pos="4374" w:val="left" w:leader="none"/>
        </w:tabs>
        <w:spacing w:line="880" w:lineRule="atLeast"/>
        <w:ind w:left="118" w:right="3957"/>
        <w:jc w:val="left"/>
      </w:pPr>
      <w:r>
        <w:rPr/>
        <w:t>Eduardo Pereira</w:t>
        <w:tab/>
        <w:t>|</w:t>
      </w:r>
      <w:r>
        <w:rPr>
          <w:spacing w:val="-14"/>
        </w:rPr>
        <w:t> </w:t>
      </w:r>
      <w:r>
        <w:rPr/>
        <w:t>Gerente</w:t>
      </w:r>
      <w:r>
        <w:rPr>
          <w:spacing w:val="-14"/>
        </w:rPr>
        <w:t> </w:t>
      </w:r>
      <w:r>
        <w:rPr/>
        <w:t>Geral Coordenação e Elaboração</w:t>
      </w:r>
    </w:p>
    <w:p>
      <w:pPr>
        <w:pStyle w:val="BodyText"/>
        <w:spacing w:before="144"/>
        <w:ind w:left="118"/>
      </w:pPr>
      <w:r>
        <w:rPr/>
        <w:t>Gerência</w:t>
      </w:r>
      <w:r>
        <w:rPr>
          <w:spacing w:val="-3"/>
        </w:rPr>
        <w:t> </w:t>
      </w:r>
      <w:r>
        <w:rPr/>
        <w:t>de</w:t>
      </w:r>
      <w:r>
        <w:rPr>
          <w:spacing w:val="-3"/>
        </w:rPr>
        <w:t> </w:t>
      </w:r>
      <w:r>
        <w:rPr/>
        <w:t>Planejamento</w:t>
      </w:r>
      <w:r>
        <w:rPr>
          <w:spacing w:val="-1"/>
        </w:rPr>
        <w:t> </w:t>
      </w:r>
      <w:r>
        <w:rPr/>
        <w:t>e</w:t>
      </w:r>
      <w:r>
        <w:rPr>
          <w:spacing w:val="-1"/>
        </w:rPr>
        <w:t> </w:t>
      </w:r>
      <w:r>
        <w:rPr/>
        <w:t>Gestão</w:t>
      </w:r>
      <w:r>
        <w:rPr>
          <w:spacing w:val="-3"/>
        </w:rPr>
        <w:t> </w:t>
      </w:r>
      <w:r>
        <w:rPr/>
        <w:t>da</w:t>
      </w:r>
      <w:r>
        <w:rPr>
          <w:spacing w:val="-3"/>
        </w:rPr>
        <w:t> </w:t>
      </w:r>
      <w:r>
        <w:rPr>
          <w:spacing w:val="-2"/>
        </w:rPr>
        <w:t>Estratégia</w:t>
      </w:r>
    </w:p>
    <w:p>
      <w:pPr>
        <w:pStyle w:val="Heading5"/>
        <w:spacing w:before="146"/>
        <w:ind w:left="118"/>
        <w:jc w:val="left"/>
      </w:pPr>
      <w:r>
        <w:rPr/>
        <w:t>Equipe</w:t>
      </w:r>
      <w:r>
        <w:rPr>
          <w:spacing w:val="-2"/>
        </w:rPr>
        <w:t> </w:t>
      </w:r>
      <w:r>
        <w:rPr/>
        <w:t>de</w:t>
      </w:r>
      <w:r>
        <w:rPr>
          <w:spacing w:val="-1"/>
        </w:rPr>
        <w:t> </w:t>
      </w:r>
      <w:r>
        <w:rPr>
          <w:spacing w:val="-2"/>
        </w:rPr>
        <w:t>Elaboração</w:t>
      </w:r>
    </w:p>
    <w:p>
      <w:pPr>
        <w:pStyle w:val="BodyText"/>
        <w:tabs>
          <w:tab w:pos="4374" w:val="left" w:leader="none"/>
        </w:tabs>
        <w:spacing w:before="146"/>
        <w:ind w:left="118"/>
      </w:pPr>
      <w:r>
        <w:rPr/>
        <w:t>Tania</w:t>
      </w:r>
      <w:r>
        <w:rPr>
          <w:spacing w:val="-2"/>
        </w:rPr>
        <w:t> </w:t>
      </w:r>
      <w:r>
        <w:rPr/>
        <w:t>Mara</w:t>
      </w:r>
      <w:r>
        <w:rPr>
          <w:spacing w:val="-2"/>
        </w:rPr>
        <w:t> </w:t>
      </w:r>
      <w:r>
        <w:rPr/>
        <w:t>C.</w:t>
      </w:r>
      <w:r>
        <w:rPr>
          <w:spacing w:val="-1"/>
        </w:rPr>
        <w:t> </w:t>
      </w:r>
      <w:r>
        <w:rPr>
          <w:spacing w:val="-2"/>
        </w:rPr>
        <w:t>Daldegan</w:t>
      </w:r>
      <w:r>
        <w:rPr/>
        <w:tab/>
        <w:t>|</w:t>
      </w:r>
      <w:r>
        <w:rPr>
          <w:spacing w:val="-4"/>
        </w:rPr>
        <w:t> </w:t>
      </w:r>
      <w:r>
        <w:rPr/>
        <w:t>Gerente</w:t>
      </w:r>
      <w:r>
        <w:rPr>
          <w:spacing w:val="-2"/>
        </w:rPr>
        <w:t> </w:t>
      </w:r>
      <w:r>
        <w:rPr/>
        <w:t>de</w:t>
      </w:r>
      <w:r>
        <w:rPr>
          <w:spacing w:val="-3"/>
        </w:rPr>
        <w:t> </w:t>
      </w:r>
      <w:r>
        <w:rPr/>
        <w:t>Planejamento</w:t>
      </w:r>
      <w:r>
        <w:rPr>
          <w:spacing w:val="-3"/>
        </w:rPr>
        <w:t> </w:t>
      </w:r>
      <w:r>
        <w:rPr/>
        <w:t>e</w:t>
      </w:r>
      <w:r>
        <w:rPr>
          <w:spacing w:val="-1"/>
        </w:rPr>
        <w:t> </w:t>
      </w:r>
      <w:r>
        <w:rPr/>
        <w:t>Gestão </w:t>
      </w:r>
      <w:r>
        <w:rPr>
          <w:spacing w:val="-2"/>
        </w:rPr>
        <w:t>Estratégica</w:t>
      </w:r>
    </w:p>
    <w:p>
      <w:pPr>
        <w:pStyle w:val="BodyText"/>
        <w:tabs>
          <w:tab w:pos="4374" w:val="left" w:leader="none"/>
        </w:tabs>
        <w:spacing w:before="147"/>
        <w:ind w:left="118"/>
      </w:pPr>
      <w:r>
        <w:rPr/>
        <w:t>Flávia</w:t>
      </w:r>
      <w:r>
        <w:rPr>
          <w:spacing w:val="-3"/>
        </w:rPr>
        <w:t> </w:t>
      </w:r>
      <w:r>
        <w:rPr/>
        <w:t>Rios</w:t>
      </w:r>
      <w:r>
        <w:rPr>
          <w:spacing w:val="-2"/>
        </w:rPr>
        <w:t> </w:t>
      </w:r>
      <w:r>
        <w:rPr>
          <w:spacing w:val="-4"/>
        </w:rPr>
        <w:t>Costa</w:t>
      </w:r>
      <w:r>
        <w:rPr/>
        <w:tab/>
        <w:t>|</w:t>
      </w:r>
      <w:r>
        <w:rPr>
          <w:spacing w:val="-3"/>
        </w:rPr>
        <w:t> </w:t>
      </w:r>
      <w:r>
        <w:rPr/>
        <w:t>Analista</w:t>
      </w:r>
      <w:r>
        <w:rPr>
          <w:spacing w:val="-1"/>
        </w:rPr>
        <w:t> </w:t>
      </w:r>
      <w:r>
        <w:rPr>
          <w:spacing w:val="-2"/>
        </w:rPr>
        <w:t>Técnica</w:t>
      </w:r>
    </w:p>
    <w:p>
      <w:pPr>
        <w:pStyle w:val="BodyText"/>
        <w:tabs>
          <w:tab w:pos="4374" w:val="left" w:leader="none"/>
        </w:tabs>
        <w:spacing w:before="148"/>
        <w:ind w:left="118"/>
      </w:pPr>
      <w:r>
        <w:rPr/>
        <w:t>Marcos</w:t>
      </w:r>
      <w:r>
        <w:rPr>
          <w:spacing w:val="-1"/>
        </w:rPr>
        <w:t> </w:t>
      </w:r>
      <w:r>
        <w:rPr/>
        <w:t>Cristino</w:t>
      </w:r>
      <w:r>
        <w:rPr>
          <w:spacing w:val="-2"/>
        </w:rPr>
        <w:t> </w:t>
      </w:r>
      <w:r>
        <w:rPr/>
        <w:t>de </w:t>
      </w:r>
      <w:r>
        <w:rPr>
          <w:spacing w:val="-2"/>
        </w:rPr>
        <w:t>Oliveira</w:t>
      </w:r>
      <w:r>
        <w:rPr/>
        <w:tab/>
        <w:t>|</w:t>
      </w:r>
      <w:r>
        <w:rPr>
          <w:spacing w:val="-3"/>
        </w:rPr>
        <w:t> </w:t>
      </w:r>
      <w:r>
        <w:rPr/>
        <w:t>Analista</w:t>
      </w:r>
      <w:r>
        <w:rPr>
          <w:spacing w:val="-1"/>
        </w:rPr>
        <w:t> </w:t>
      </w:r>
      <w:r>
        <w:rPr>
          <w:spacing w:val="-2"/>
        </w:rPr>
        <w:t>Técnico</w:t>
      </w:r>
    </w:p>
    <w:p>
      <w:pPr>
        <w:pStyle w:val="BodyText"/>
        <w:tabs>
          <w:tab w:pos="4374" w:val="left" w:leader="none"/>
        </w:tabs>
        <w:spacing w:before="147"/>
        <w:ind w:left="118"/>
      </w:pPr>
      <w:r>
        <w:rPr/>
        <w:t>Fabiana</w:t>
      </w:r>
      <w:r>
        <w:rPr>
          <w:spacing w:val="-3"/>
        </w:rPr>
        <w:t> </w:t>
      </w:r>
      <w:r>
        <w:rPr/>
        <w:t>Pereira </w:t>
      </w:r>
      <w:r>
        <w:rPr>
          <w:spacing w:val="-2"/>
        </w:rPr>
        <w:t>Siqueira</w:t>
      </w:r>
      <w:r>
        <w:rPr/>
        <w:tab/>
        <w:t>|</w:t>
      </w:r>
      <w:r>
        <w:rPr>
          <w:spacing w:val="-1"/>
        </w:rPr>
        <w:t> </w:t>
      </w:r>
      <w:r>
        <w:rPr/>
        <w:t>Profissional</w:t>
      </w:r>
      <w:r>
        <w:rPr>
          <w:spacing w:val="-2"/>
        </w:rPr>
        <w:t> </w:t>
      </w:r>
      <w:r>
        <w:rPr/>
        <w:t>-</w:t>
      </w:r>
      <w:r>
        <w:rPr>
          <w:spacing w:val="1"/>
        </w:rPr>
        <w:t> </w:t>
      </w:r>
      <w:r>
        <w:rPr>
          <w:spacing w:val="-5"/>
        </w:rPr>
        <w:t>RPA</w:t>
      </w:r>
    </w:p>
    <w:p>
      <w:pPr>
        <w:pStyle w:val="BodyText"/>
        <w:tabs>
          <w:tab w:pos="4374" w:val="left" w:leader="none"/>
        </w:tabs>
        <w:spacing w:before="146"/>
        <w:ind w:left="118"/>
      </w:pPr>
      <w:r>
        <w:rPr/>
        <w:t>Lyzandra</w:t>
      </w:r>
      <w:r>
        <w:rPr>
          <w:spacing w:val="-4"/>
        </w:rPr>
        <w:t> </w:t>
      </w:r>
      <w:r>
        <w:rPr/>
        <w:t>Dias</w:t>
      </w:r>
      <w:r>
        <w:rPr>
          <w:spacing w:val="-3"/>
        </w:rPr>
        <w:t> </w:t>
      </w:r>
      <w:r>
        <w:rPr/>
        <w:t>Teixeira</w:t>
      </w:r>
      <w:r>
        <w:rPr>
          <w:spacing w:val="-3"/>
        </w:rPr>
        <w:t> </w:t>
      </w:r>
      <w:r>
        <w:rPr/>
        <w:t>de </w:t>
      </w:r>
      <w:r>
        <w:rPr>
          <w:spacing w:val="-2"/>
        </w:rPr>
        <w:t>Paula</w:t>
      </w:r>
      <w:r>
        <w:rPr/>
        <w:tab/>
        <w:t>| </w:t>
      </w:r>
      <w:r>
        <w:rPr>
          <w:spacing w:val="-2"/>
        </w:rPr>
        <w:t>Estagiária</w:t>
      </w:r>
    </w:p>
    <w:p>
      <w:pPr>
        <w:pStyle w:val="BodyText"/>
      </w:pPr>
    </w:p>
    <w:p>
      <w:pPr>
        <w:pStyle w:val="BodyText"/>
        <w:spacing w:before="11"/>
        <w:rPr>
          <w:sz w:val="23"/>
        </w:rPr>
      </w:pPr>
    </w:p>
    <w:p>
      <w:pPr>
        <w:pStyle w:val="BodyText"/>
        <w:ind w:left="6451"/>
      </w:pPr>
      <w:r>
        <w:rPr/>
        <w:t>Brasília,</w:t>
      </w:r>
      <w:r>
        <w:rPr>
          <w:spacing w:val="-1"/>
        </w:rPr>
        <w:t> </w:t>
      </w:r>
      <w:r>
        <w:rPr/>
        <w:t>15</w:t>
      </w:r>
      <w:r>
        <w:rPr>
          <w:spacing w:val="-2"/>
        </w:rPr>
        <w:t> </w:t>
      </w:r>
      <w:r>
        <w:rPr/>
        <w:t>de</w:t>
      </w:r>
      <w:r>
        <w:rPr>
          <w:spacing w:val="-1"/>
        </w:rPr>
        <w:t> </w:t>
      </w:r>
      <w:r>
        <w:rPr/>
        <w:t>dezembro</w:t>
      </w:r>
      <w:r>
        <w:rPr>
          <w:spacing w:val="-2"/>
        </w:rPr>
        <w:t> </w:t>
      </w:r>
      <w:r>
        <w:rPr/>
        <w:t>de</w:t>
      </w:r>
      <w:r>
        <w:rPr>
          <w:spacing w:val="-1"/>
        </w:rPr>
        <w:t> </w:t>
      </w:r>
      <w:r>
        <w:rPr>
          <w:spacing w:val="-4"/>
        </w:rPr>
        <w:t>2021.</w:t>
      </w:r>
    </w:p>
    <w:p>
      <w:pPr>
        <w:spacing w:after="0"/>
        <w:sectPr>
          <w:headerReference w:type="default" r:id="rId7"/>
          <w:footerReference w:type="default" r:id="rId8"/>
          <w:pgSz w:w="11910" w:h="16840"/>
          <w:pgMar w:header="689" w:footer="261" w:top="1580" w:bottom="460" w:left="1300" w:right="700"/>
          <w:pgNumType w:start="2"/>
        </w:sectPr>
      </w:pPr>
    </w:p>
    <w:p>
      <w:pPr>
        <w:pStyle w:val="Heading3"/>
        <w:spacing w:before="16"/>
        <w:ind w:left="835" w:right="865" w:firstLine="0"/>
        <w:jc w:val="center"/>
      </w:pPr>
      <w:r>
        <w:rPr>
          <w:color w:val="006666"/>
          <w:spacing w:val="-2"/>
        </w:rPr>
        <w:t>SUMÁRIO</w:t>
      </w:r>
    </w:p>
    <w:sdt>
      <w:sdtPr>
        <w:docPartObj>
          <w:docPartGallery w:val="Table of Contents"/>
          <w:docPartUnique/>
        </w:docPartObj>
      </w:sdtPr>
      <w:sdtEndPr/>
      <w:sdtContent>
        <w:p>
          <w:pPr>
            <w:pStyle w:val="TOC1"/>
            <w:tabs>
              <w:tab w:pos="9646" w:val="left" w:leader="dot"/>
            </w:tabs>
            <w:spacing w:before="841"/>
            <w:ind w:left="546" w:firstLine="0"/>
          </w:pPr>
          <w:hyperlink w:history="true" w:anchor="_bookmark0">
            <w:r>
              <w:rPr>
                <w:color w:val="006666"/>
              </w:rPr>
              <w:t>ÍNDICE</w:t>
            </w:r>
            <w:r>
              <w:rPr>
                <w:color w:val="006666"/>
                <w:spacing w:val="-4"/>
              </w:rPr>
              <w:t> </w:t>
            </w:r>
            <w:r>
              <w:rPr>
                <w:color w:val="006666"/>
              </w:rPr>
              <w:t>DE</w:t>
            </w:r>
            <w:r>
              <w:rPr>
                <w:color w:val="006666"/>
                <w:spacing w:val="-5"/>
              </w:rPr>
              <w:t> </w:t>
            </w:r>
            <w:r>
              <w:rPr>
                <w:color w:val="006666"/>
              </w:rPr>
              <w:t>MAPA,</w:t>
            </w:r>
            <w:r>
              <w:rPr>
                <w:color w:val="006666"/>
                <w:spacing w:val="-3"/>
              </w:rPr>
              <w:t> </w:t>
            </w:r>
            <w:r>
              <w:rPr>
                <w:color w:val="006666"/>
              </w:rPr>
              <w:t>QUADROS</w:t>
            </w:r>
            <w:r>
              <w:rPr>
                <w:color w:val="006666"/>
                <w:spacing w:val="-3"/>
              </w:rPr>
              <w:t> </w:t>
            </w:r>
            <w:r>
              <w:rPr>
                <w:color w:val="006666"/>
              </w:rPr>
              <w:t>E</w:t>
            </w:r>
            <w:r>
              <w:rPr>
                <w:color w:val="006666"/>
                <w:spacing w:val="-5"/>
              </w:rPr>
              <w:t> </w:t>
            </w:r>
            <w:r>
              <w:rPr>
                <w:color w:val="006666"/>
                <w:spacing w:val="-2"/>
              </w:rPr>
              <w:t>GRÁFICOS</w:t>
            </w:r>
            <w:r>
              <w:rPr>
                <w:color w:val="006666"/>
              </w:rPr>
              <w:tab/>
            </w:r>
            <w:r>
              <w:rPr>
                <w:color w:val="006666"/>
                <w:spacing w:val="-10"/>
              </w:rPr>
              <w:t>4</w:t>
            </w:r>
          </w:hyperlink>
        </w:p>
        <w:p>
          <w:pPr>
            <w:pStyle w:val="TOC1"/>
            <w:tabs>
              <w:tab w:pos="9646" w:val="left" w:leader="dot"/>
            </w:tabs>
            <w:ind w:left="546" w:firstLine="0"/>
          </w:pPr>
          <w:hyperlink w:history="true" w:anchor="_bookmark1">
            <w:r>
              <w:rPr>
                <w:color w:val="006666"/>
                <w:spacing w:val="-2"/>
              </w:rPr>
              <w:t>INTRODUÇÃO</w:t>
            </w:r>
            <w:r>
              <w:rPr>
                <w:color w:val="006666"/>
              </w:rPr>
              <w:tab/>
            </w:r>
            <w:r>
              <w:rPr>
                <w:color w:val="006666"/>
                <w:spacing w:val="-10"/>
              </w:rPr>
              <w:t>5</w:t>
            </w:r>
          </w:hyperlink>
        </w:p>
        <w:p>
          <w:pPr>
            <w:pStyle w:val="TOC1"/>
            <w:numPr>
              <w:ilvl w:val="0"/>
              <w:numId w:val="1"/>
            </w:numPr>
            <w:tabs>
              <w:tab w:pos="719" w:val="left" w:leader="none"/>
              <w:tab w:pos="9533" w:val="left" w:leader="dot"/>
            </w:tabs>
            <w:spacing w:line="240" w:lineRule="auto" w:before="296" w:after="0"/>
            <w:ind w:left="718" w:right="0" w:hanging="173"/>
            <w:jc w:val="left"/>
          </w:pPr>
          <w:hyperlink w:history="true" w:anchor="_bookmark3">
            <w:r>
              <w:rPr>
                <w:color w:val="006666"/>
              </w:rPr>
              <w:t>ORIGEM</w:t>
            </w:r>
            <w:r>
              <w:rPr>
                <w:color w:val="006666"/>
                <w:spacing w:val="-6"/>
              </w:rPr>
              <w:t> </w:t>
            </w:r>
            <w:r>
              <w:rPr>
                <w:color w:val="006666"/>
              </w:rPr>
              <w:t>DOS</w:t>
            </w:r>
            <w:r>
              <w:rPr>
                <w:color w:val="006666"/>
                <w:spacing w:val="-6"/>
              </w:rPr>
              <w:t> </w:t>
            </w:r>
            <w:r>
              <w:rPr>
                <w:color w:val="006666"/>
                <w:spacing w:val="-2"/>
              </w:rPr>
              <w:t>RECURSOS</w:t>
            </w:r>
            <w:r>
              <w:rPr>
                <w:color w:val="006666"/>
              </w:rPr>
              <w:tab/>
            </w:r>
            <w:r>
              <w:rPr>
                <w:color w:val="006666"/>
                <w:spacing w:val="-5"/>
              </w:rPr>
              <w:t>10</w:t>
            </w:r>
          </w:hyperlink>
        </w:p>
        <w:p>
          <w:pPr>
            <w:pStyle w:val="TOC3"/>
            <w:numPr>
              <w:ilvl w:val="1"/>
              <w:numId w:val="1"/>
            </w:numPr>
            <w:tabs>
              <w:tab w:pos="971" w:val="left" w:leader="none"/>
              <w:tab w:pos="9533" w:val="left" w:leader="dot"/>
            </w:tabs>
            <w:spacing w:line="240" w:lineRule="auto" w:before="293" w:after="0"/>
            <w:ind w:left="970" w:right="0" w:hanging="286"/>
            <w:jc w:val="left"/>
          </w:pPr>
          <w:hyperlink w:history="true" w:anchor="_bookmark5">
            <w:r>
              <w:rPr/>
              <w:t>Dos</w:t>
            </w:r>
            <w:r>
              <w:rPr>
                <w:spacing w:val="-4"/>
              </w:rPr>
              <w:t> </w:t>
            </w:r>
            <w:r>
              <w:rPr/>
              <w:t>Recursos</w:t>
            </w:r>
            <w:r>
              <w:rPr>
                <w:spacing w:val="-4"/>
              </w:rPr>
              <w:t> </w:t>
            </w:r>
            <w:r>
              <w:rPr/>
              <w:t>do</w:t>
            </w:r>
            <w:r>
              <w:rPr>
                <w:spacing w:val="-3"/>
              </w:rPr>
              <w:t> </w:t>
            </w:r>
            <w:r>
              <w:rPr>
                <w:spacing w:val="-2"/>
              </w:rPr>
              <w:t>CAU/BR</w:t>
            </w:r>
            <w:r>
              <w:rPr/>
              <w:tab/>
            </w:r>
            <w:r>
              <w:rPr>
                <w:spacing w:val="-5"/>
              </w:rPr>
              <w:t>11</w:t>
            </w:r>
          </w:hyperlink>
        </w:p>
        <w:p>
          <w:pPr>
            <w:pStyle w:val="TOC3"/>
            <w:numPr>
              <w:ilvl w:val="1"/>
              <w:numId w:val="1"/>
            </w:numPr>
            <w:tabs>
              <w:tab w:pos="1014" w:val="left" w:leader="none"/>
              <w:tab w:pos="9533" w:val="left" w:leader="dot"/>
            </w:tabs>
            <w:spacing w:line="240" w:lineRule="auto" w:before="236" w:after="0"/>
            <w:ind w:left="1013" w:right="0" w:hanging="329"/>
            <w:jc w:val="left"/>
          </w:pPr>
          <w:hyperlink w:history="true" w:anchor="_bookmark7">
            <w:r>
              <w:rPr/>
              <w:t>Dos</w:t>
            </w:r>
            <w:r>
              <w:rPr>
                <w:spacing w:val="-4"/>
              </w:rPr>
              <w:t> </w:t>
            </w:r>
            <w:r>
              <w:rPr/>
              <w:t>Recursos</w:t>
            </w:r>
            <w:r>
              <w:rPr>
                <w:spacing w:val="-3"/>
              </w:rPr>
              <w:t> </w:t>
            </w:r>
            <w:r>
              <w:rPr/>
              <w:t>do</w:t>
            </w:r>
            <w:r>
              <w:rPr>
                <w:spacing w:val="-4"/>
              </w:rPr>
              <w:t> </w:t>
            </w:r>
            <w:r>
              <w:rPr>
                <w:spacing w:val="-2"/>
              </w:rPr>
              <w:t>CAU/UF</w:t>
            </w:r>
            <w:r>
              <w:rPr/>
              <w:tab/>
            </w:r>
            <w:r>
              <w:rPr>
                <w:spacing w:val="-5"/>
              </w:rPr>
              <w:t>12</w:t>
            </w:r>
          </w:hyperlink>
        </w:p>
        <w:p>
          <w:pPr>
            <w:pStyle w:val="TOC1"/>
            <w:numPr>
              <w:ilvl w:val="0"/>
              <w:numId w:val="1"/>
            </w:numPr>
            <w:tabs>
              <w:tab w:pos="767" w:val="left" w:leader="none"/>
              <w:tab w:pos="9533" w:val="left" w:leader="dot"/>
            </w:tabs>
            <w:spacing w:line="240" w:lineRule="auto" w:before="233" w:after="0"/>
            <w:ind w:left="766" w:right="0" w:hanging="221"/>
            <w:jc w:val="left"/>
          </w:pPr>
          <w:hyperlink w:history="true" w:anchor="_bookmark10">
            <w:r>
              <w:rPr>
                <w:color w:val="006666"/>
              </w:rPr>
              <w:t>APLICAÇÃO</w:t>
            </w:r>
            <w:r>
              <w:rPr>
                <w:color w:val="006666"/>
                <w:spacing w:val="-5"/>
              </w:rPr>
              <w:t> </w:t>
            </w:r>
            <w:r>
              <w:rPr>
                <w:color w:val="006666"/>
              </w:rPr>
              <w:t>DOS</w:t>
            </w:r>
            <w:r>
              <w:rPr>
                <w:color w:val="006666"/>
                <w:spacing w:val="-4"/>
              </w:rPr>
              <w:t> </w:t>
            </w:r>
            <w:r>
              <w:rPr>
                <w:color w:val="006666"/>
                <w:spacing w:val="-2"/>
              </w:rPr>
              <w:t>RECURSOS</w:t>
            </w:r>
            <w:r>
              <w:rPr>
                <w:color w:val="006666"/>
              </w:rPr>
              <w:tab/>
            </w:r>
            <w:r>
              <w:rPr>
                <w:color w:val="006666"/>
                <w:spacing w:val="-5"/>
              </w:rPr>
              <w:t>15</w:t>
            </w:r>
          </w:hyperlink>
        </w:p>
        <w:p>
          <w:pPr>
            <w:pStyle w:val="TOC1"/>
            <w:numPr>
              <w:ilvl w:val="0"/>
              <w:numId w:val="1"/>
            </w:numPr>
            <w:tabs>
              <w:tab w:pos="767" w:val="left" w:leader="none"/>
              <w:tab w:pos="9533" w:val="left" w:leader="dot"/>
            </w:tabs>
            <w:spacing w:line="240" w:lineRule="auto" w:before="295" w:after="0"/>
            <w:ind w:left="766" w:right="0" w:hanging="221"/>
            <w:jc w:val="left"/>
          </w:pPr>
          <w:hyperlink w:history="true" w:anchor="_bookmark14">
            <w:r>
              <w:rPr>
                <w:color w:val="006666"/>
              </w:rPr>
              <w:t>APLICAÇÃO</w:t>
            </w:r>
            <w:r>
              <w:rPr>
                <w:color w:val="006666"/>
                <w:spacing w:val="-7"/>
              </w:rPr>
              <w:t> </w:t>
            </w:r>
            <w:r>
              <w:rPr>
                <w:color w:val="006666"/>
              </w:rPr>
              <w:t>DOS</w:t>
            </w:r>
            <w:r>
              <w:rPr>
                <w:color w:val="006666"/>
                <w:spacing w:val="-5"/>
              </w:rPr>
              <w:t> </w:t>
            </w:r>
            <w:r>
              <w:rPr>
                <w:color w:val="006666"/>
              </w:rPr>
              <w:t>RECURSOS</w:t>
            </w:r>
            <w:r>
              <w:rPr>
                <w:color w:val="006666"/>
                <w:spacing w:val="-9"/>
              </w:rPr>
              <w:t> </w:t>
            </w:r>
            <w:r>
              <w:rPr>
                <w:color w:val="006666"/>
              </w:rPr>
              <w:t>POR</w:t>
            </w:r>
            <w:r>
              <w:rPr>
                <w:color w:val="006666"/>
                <w:spacing w:val="-6"/>
              </w:rPr>
              <w:t> </w:t>
            </w:r>
            <w:r>
              <w:rPr>
                <w:color w:val="006666"/>
              </w:rPr>
              <w:t>OBJETIVOS</w:t>
            </w:r>
            <w:r>
              <w:rPr>
                <w:color w:val="006666"/>
                <w:spacing w:val="-5"/>
              </w:rPr>
              <w:t> </w:t>
            </w:r>
            <w:r>
              <w:rPr>
                <w:color w:val="006666"/>
                <w:spacing w:val="-2"/>
              </w:rPr>
              <w:t>ESTRATÉGICOS</w:t>
            </w:r>
            <w:r>
              <w:rPr>
                <w:color w:val="006666"/>
              </w:rPr>
              <w:tab/>
            </w:r>
            <w:r>
              <w:rPr>
                <w:color w:val="006666"/>
                <w:spacing w:val="-5"/>
              </w:rPr>
              <w:t>18</w:t>
            </w:r>
          </w:hyperlink>
        </w:p>
        <w:p>
          <w:pPr>
            <w:pStyle w:val="TOC1"/>
            <w:numPr>
              <w:ilvl w:val="0"/>
              <w:numId w:val="1"/>
            </w:numPr>
            <w:tabs>
              <w:tab w:pos="767" w:val="left" w:leader="none"/>
              <w:tab w:pos="9533" w:val="left" w:leader="dot"/>
            </w:tabs>
            <w:spacing w:line="240" w:lineRule="auto" w:before="293" w:after="0"/>
            <w:ind w:left="766" w:right="0" w:hanging="221"/>
            <w:jc w:val="left"/>
          </w:pPr>
          <w:hyperlink w:history="true" w:anchor="_bookmark16">
            <w:r>
              <w:rPr>
                <w:color w:val="006666"/>
              </w:rPr>
              <w:t>APLICAÇÃO</w:t>
            </w:r>
            <w:r>
              <w:rPr>
                <w:color w:val="006666"/>
                <w:spacing w:val="-8"/>
              </w:rPr>
              <w:t> </w:t>
            </w:r>
            <w:r>
              <w:rPr>
                <w:color w:val="006666"/>
              </w:rPr>
              <w:t>ORÇAMENTÁRIA</w:t>
            </w:r>
            <w:r>
              <w:rPr>
                <w:color w:val="006666"/>
                <w:spacing w:val="-6"/>
              </w:rPr>
              <w:t> </w:t>
            </w:r>
            <w:r>
              <w:rPr>
                <w:color w:val="006666"/>
              </w:rPr>
              <w:t>DE</w:t>
            </w:r>
            <w:r>
              <w:rPr>
                <w:color w:val="006666"/>
                <w:spacing w:val="-7"/>
              </w:rPr>
              <w:t> </w:t>
            </w:r>
            <w:r>
              <w:rPr>
                <w:color w:val="006666"/>
                <w:spacing w:val="-2"/>
              </w:rPr>
              <w:t>RECURSOS</w:t>
            </w:r>
            <w:r>
              <w:rPr>
                <w:color w:val="006666"/>
              </w:rPr>
              <w:tab/>
            </w:r>
            <w:r>
              <w:rPr>
                <w:color w:val="006666"/>
                <w:spacing w:val="-5"/>
              </w:rPr>
              <w:t>22</w:t>
            </w:r>
          </w:hyperlink>
        </w:p>
        <w:p>
          <w:pPr>
            <w:pStyle w:val="TOC1"/>
            <w:numPr>
              <w:ilvl w:val="0"/>
              <w:numId w:val="1"/>
            </w:numPr>
            <w:tabs>
              <w:tab w:pos="767" w:val="left" w:leader="none"/>
              <w:tab w:pos="9533" w:val="left" w:leader="dot"/>
            </w:tabs>
            <w:spacing w:line="240" w:lineRule="auto" w:before="296" w:after="0"/>
            <w:ind w:left="766" w:right="0" w:hanging="221"/>
            <w:jc w:val="left"/>
          </w:pPr>
          <w:hyperlink w:history="true" w:anchor="_bookmark19">
            <w:r>
              <w:rPr>
                <w:color w:val="006666"/>
                <w:spacing w:val="-2"/>
              </w:rPr>
              <w:t>ANEXOS</w:t>
            </w:r>
            <w:r>
              <w:rPr>
                <w:color w:val="006666"/>
              </w:rPr>
              <w:tab/>
            </w:r>
            <w:r>
              <w:rPr>
                <w:color w:val="006666"/>
                <w:spacing w:val="-5"/>
              </w:rPr>
              <w:t>25</w:t>
            </w:r>
          </w:hyperlink>
        </w:p>
        <w:p>
          <w:pPr>
            <w:pStyle w:val="TOC2"/>
            <w:tabs>
              <w:tab w:pos="9526" w:val="left" w:leader="dot"/>
            </w:tabs>
            <w:spacing w:line="360" w:lineRule="auto" w:before="293"/>
            <w:ind w:right="152"/>
          </w:pPr>
          <w:hyperlink w:history="true" w:anchor="_bookmark20">
            <w:r>
              <w:rPr/>
              <w:t>Anexo 1. Demonstrativo Comparativo da Reprogramação do Plano de Ação CAU 2020 (Programação</w:t>
            </w:r>
          </w:hyperlink>
          <w:r>
            <w:rPr>
              <w:spacing w:val="40"/>
            </w:rPr>
            <w:t> </w:t>
          </w:r>
          <w:hyperlink w:history="true" w:anchor="_bookmark20">
            <w:r>
              <w:rPr/>
              <w:t>2020</w:t>
            </w:r>
            <w:r>
              <w:rPr>
                <w:spacing w:val="-8"/>
              </w:rPr>
              <w:t> </w:t>
            </w:r>
            <w:r>
              <w:rPr/>
              <w:t>X</w:t>
            </w:r>
            <w:r>
              <w:rPr>
                <w:spacing w:val="-4"/>
              </w:rPr>
              <w:t> </w:t>
            </w:r>
            <w:r>
              <w:rPr/>
              <w:t>Reprogramação</w:t>
            </w:r>
            <w:r>
              <w:rPr>
                <w:spacing w:val="-4"/>
              </w:rPr>
              <w:t> </w:t>
            </w:r>
            <w:r>
              <w:rPr>
                <w:spacing w:val="-2"/>
              </w:rPr>
              <w:t>2020)</w:t>
            </w:r>
            <w:r>
              <w:rPr/>
              <w:tab/>
            </w:r>
            <w:r>
              <w:rPr>
                <w:spacing w:val="-5"/>
              </w:rPr>
              <w:t>27</w:t>
            </w:r>
          </w:hyperlink>
        </w:p>
        <w:p>
          <w:pPr>
            <w:pStyle w:val="TOC2"/>
            <w:tabs>
              <w:tab w:pos="9526" w:val="left" w:leader="dot"/>
            </w:tabs>
            <w:spacing w:before="102"/>
          </w:pPr>
          <w:hyperlink w:history="true" w:anchor="_bookmark21">
            <w:r>
              <w:rPr/>
              <w:t>Anexo</w:t>
            </w:r>
            <w:r>
              <w:rPr>
                <w:spacing w:val="-7"/>
              </w:rPr>
              <w:t> </w:t>
            </w:r>
            <w:r>
              <w:rPr/>
              <w:t>2.</w:t>
            </w:r>
            <w:r>
              <w:rPr>
                <w:spacing w:val="-6"/>
              </w:rPr>
              <w:t> </w:t>
            </w:r>
            <w:r>
              <w:rPr/>
              <w:t>Demonstrativo</w:t>
            </w:r>
            <w:r>
              <w:rPr>
                <w:spacing w:val="-5"/>
              </w:rPr>
              <w:t> </w:t>
            </w:r>
            <w:r>
              <w:rPr/>
              <w:t>Comparativo</w:t>
            </w:r>
            <w:r>
              <w:rPr>
                <w:spacing w:val="-5"/>
              </w:rPr>
              <w:t> </w:t>
            </w:r>
            <w:r>
              <w:rPr/>
              <w:t>das</w:t>
            </w:r>
            <w:r>
              <w:rPr>
                <w:spacing w:val="-3"/>
              </w:rPr>
              <w:t> </w:t>
            </w:r>
            <w:r>
              <w:rPr/>
              <w:t>Fontes</w:t>
            </w:r>
            <w:r>
              <w:rPr>
                <w:spacing w:val="-4"/>
              </w:rPr>
              <w:t> </w:t>
            </w:r>
            <w:r>
              <w:rPr/>
              <w:t>de</w:t>
            </w:r>
            <w:r>
              <w:rPr>
                <w:spacing w:val="-2"/>
              </w:rPr>
              <w:t> </w:t>
            </w:r>
            <w:r>
              <w:rPr/>
              <w:t>Receitas</w:t>
            </w:r>
            <w:r>
              <w:rPr>
                <w:spacing w:val="-6"/>
              </w:rPr>
              <w:t> </w:t>
            </w:r>
            <w:r>
              <w:rPr/>
              <w:t>dos</w:t>
            </w:r>
            <w:r>
              <w:rPr>
                <w:spacing w:val="-6"/>
              </w:rPr>
              <w:t> </w:t>
            </w:r>
            <w:r>
              <w:rPr/>
              <w:t>CAU/UF</w:t>
            </w:r>
            <w:r>
              <w:rPr>
                <w:spacing w:val="-4"/>
              </w:rPr>
              <w:t> </w:t>
            </w:r>
            <w:r>
              <w:rPr/>
              <w:t>e</w:t>
            </w:r>
            <w:r>
              <w:rPr>
                <w:spacing w:val="-5"/>
              </w:rPr>
              <w:t> </w:t>
            </w:r>
            <w:r>
              <w:rPr>
                <w:spacing w:val="-2"/>
              </w:rPr>
              <w:t>CAU/BR</w:t>
            </w:r>
            <w:r>
              <w:rPr/>
              <w:tab/>
            </w:r>
            <w:r>
              <w:rPr>
                <w:spacing w:val="-5"/>
              </w:rPr>
              <w:t>29</w:t>
            </w:r>
          </w:hyperlink>
        </w:p>
        <w:p>
          <w:pPr>
            <w:pStyle w:val="TOC2"/>
            <w:tabs>
              <w:tab w:pos="9526" w:val="left" w:leader="dot"/>
            </w:tabs>
            <w:spacing w:before="233"/>
          </w:pPr>
          <w:hyperlink w:history="true" w:anchor="_bookmark22">
            <w:r>
              <w:rPr/>
              <w:t>Anexo</w:t>
            </w:r>
            <w:r>
              <w:rPr>
                <w:spacing w:val="-7"/>
              </w:rPr>
              <w:t> </w:t>
            </w:r>
            <w:r>
              <w:rPr/>
              <w:t>3.</w:t>
            </w:r>
            <w:r>
              <w:rPr>
                <w:spacing w:val="-6"/>
              </w:rPr>
              <w:t> </w:t>
            </w:r>
            <w:r>
              <w:rPr/>
              <w:t>Demonstrativo</w:t>
            </w:r>
            <w:r>
              <w:rPr>
                <w:spacing w:val="-5"/>
              </w:rPr>
              <w:t> </w:t>
            </w:r>
            <w:r>
              <w:rPr/>
              <w:t>das</w:t>
            </w:r>
            <w:r>
              <w:rPr>
                <w:spacing w:val="-3"/>
              </w:rPr>
              <w:t> </w:t>
            </w:r>
            <w:r>
              <w:rPr/>
              <w:t>Aplicações</w:t>
            </w:r>
            <w:r>
              <w:rPr>
                <w:spacing w:val="-2"/>
              </w:rPr>
              <w:t> </w:t>
            </w:r>
            <w:r>
              <w:rPr/>
              <w:t>Totais</w:t>
            </w:r>
            <w:r>
              <w:rPr>
                <w:spacing w:val="-3"/>
              </w:rPr>
              <w:t> </w:t>
            </w:r>
            <w:r>
              <w:rPr/>
              <w:t>por</w:t>
            </w:r>
            <w:r>
              <w:rPr>
                <w:spacing w:val="-6"/>
              </w:rPr>
              <w:t> </w:t>
            </w:r>
            <w:r>
              <w:rPr/>
              <w:t>Iniciativa</w:t>
            </w:r>
            <w:r>
              <w:rPr>
                <w:spacing w:val="-3"/>
              </w:rPr>
              <w:t> </w:t>
            </w:r>
            <w:r>
              <w:rPr>
                <w:spacing w:val="-2"/>
              </w:rPr>
              <w:t>Estratégica</w:t>
            </w:r>
            <w:r>
              <w:rPr/>
              <w:tab/>
            </w:r>
            <w:r>
              <w:rPr>
                <w:spacing w:val="-5"/>
              </w:rPr>
              <w:t>31</w:t>
            </w:r>
          </w:hyperlink>
        </w:p>
        <w:p>
          <w:pPr>
            <w:pStyle w:val="TOC2"/>
            <w:tabs>
              <w:tab w:pos="9526" w:val="left" w:leader="dot"/>
            </w:tabs>
            <w:spacing w:line="360" w:lineRule="auto"/>
            <w:ind w:right="148"/>
          </w:pPr>
          <w:hyperlink w:history="true" w:anchor="_bookmark23">
            <w:r>
              <w:rPr/>
              <w:t>Anexo</w:t>
            </w:r>
            <w:r>
              <w:rPr>
                <w:spacing w:val="-6"/>
              </w:rPr>
              <w:t> </w:t>
            </w:r>
            <w:r>
              <w:rPr/>
              <w:t>3.1.</w:t>
            </w:r>
            <w:r>
              <w:rPr>
                <w:spacing w:val="-8"/>
              </w:rPr>
              <w:t> </w:t>
            </w:r>
            <w:r>
              <w:rPr/>
              <w:t>Demonstrativo</w:t>
            </w:r>
            <w:r>
              <w:rPr>
                <w:spacing w:val="-6"/>
              </w:rPr>
              <w:t> </w:t>
            </w:r>
            <w:r>
              <w:rPr/>
              <w:t>das</w:t>
            </w:r>
            <w:r>
              <w:rPr>
                <w:spacing w:val="-5"/>
              </w:rPr>
              <w:t> </w:t>
            </w:r>
            <w:r>
              <w:rPr/>
              <w:t>Aplicações</w:t>
            </w:r>
            <w:r>
              <w:rPr>
                <w:spacing w:val="-4"/>
              </w:rPr>
              <w:t> </w:t>
            </w:r>
            <w:r>
              <w:rPr/>
              <w:t>por</w:t>
            </w:r>
            <w:r>
              <w:rPr>
                <w:spacing w:val="-8"/>
              </w:rPr>
              <w:t> </w:t>
            </w:r>
            <w:r>
              <w:rPr/>
              <w:t>Iniciativa</w:t>
            </w:r>
            <w:r>
              <w:rPr>
                <w:spacing w:val="-5"/>
              </w:rPr>
              <w:t> </w:t>
            </w:r>
            <w:r>
              <w:rPr/>
              <w:t>Estratégica</w:t>
            </w:r>
            <w:r>
              <w:rPr>
                <w:spacing w:val="-5"/>
              </w:rPr>
              <w:t> </w:t>
            </w:r>
            <w:r>
              <w:rPr/>
              <w:t>da</w:t>
            </w:r>
            <w:r>
              <w:rPr>
                <w:spacing w:val="-8"/>
              </w:rPr>
              <w:t> </w:t>
            </w:r>
            <w:r>
              <w:rPr/>
              <w:t>Programação</w:t>
            </w:r>
            <w:r>
              <w:rPr>
                <w:spacing w:val="-4"/>
              </w:rPr>
              <w:t> </w:t>
            </w:r>
            <w:r>
              <w:rPr/>
              <w:t>Operacional,</w:t>
            </w:r>
            <w:r>
              <w:rPr>
                <w:spacing w:val="-8"/>
              </w:rPr>
              <w:t> </w:t>
            </w:r>
            <w:r>
              <w:rPr/>
              <w:t>Fundo</w:t>
            </w:r>
          </w:hyperlink>
          <w:r>
            <w:rPr/>
            <w:t> </w:t>
          </w:r>
          <w:hyperlink w:history="true" w:anchor="_bookmark23">
            <w:r>
              <w:rPr/>
              <w:t>de</w:t>
            </w:r>
            <w:r>
              <w:rPr>
                <w:spacing w:val="-2"/>
              </w:rPr>
              <w:t> </w:t>
            </w:r>
            <w:r>
              <w:rPr/>
              <w:t>Apoio,</w:t>
            </w:r>
            <w:r>
              <w:rPr>
                <w:spacing w:val="-2"/>
              </w:rPr>
              <w:t> </w:t>
            </w:r>
            <w:r>
              <w:rPr/>
              <w:t>Contribuição</w:t>
            </w:r>
            <w:r>
              <w:rPr>
                <w:spacing w:val="-5"/>
              </w:rPr>
              <w:t> </w:t>
            </w:r>
            <w:r>
              <w:rPr/>
              <w:t>CSC</w:t>
            </w:r>
            <w:r>
              <w:rPr>
                <w:spacing w:val="-5"/>
              </w:rPr>
              <w:t> </w:t>
            </w:r>
            <w:r>
              <w:rPr/>
              <w:t>e</w:t>
            </w:r>
            <w:r>
              <w:rPr>
                <w:spacing w:val="-3"/>
              </w:rPr>
              <w:t> </w:t>
            </w:r>
            <w:r>
              <w:rPr/>
              <w:t>Reserva</w:t>
            </w:r>
            <w:r>
              <w:rPr>
                <w:spacing w:val="-2"/>
              </w:rPr>
              <w:t> </w:t>
            </w:r>
            <w:r>
              <w:rPr/>
              <w:t>de</w:t>
            </w:r>
            <w:r>
              <w:rPr>
                <w:spacing w:val="-5"/>
              </w:rPr>
              <w:t> </w:t>
            </w:r>
            <w:r>
              <w:rPr>
                <w:spacing w:val="-2"/>
              </w:rPr>
              <w:t>Contingência</w:t>
            </w:r>
            <w:r>
              <w:rPr/>
              <w:tab/>
            </w:r>
            <w:r>
              <w:rPr>
                <w:spacing w:val="-5"/>
              </w:rPr>
              <w:t>32</w:t>
            </w:r>
          </w:hyperlink>
        </w:p>
        <w:p>
          <w:pPr>
            <w:pStyle w:val="TOC2"/>
            <w:tabs>
              <w:tab w:pos="9526" w:val="left" w:leader="dot"/>
            </w:tabs>
            <w:spacing w:before="100"/>
          </w:pPr>
          <w:hyperlink w:history="true" w:anchor="_bookmark24">
            <w:r>
              <w:rPr/>
              <w:t>Anexo</w:t>
            </w:r>
            <w:r>
              <w:rPr>
                <w:spacing w:val="-7"/>
              </w:rPr>
              <w:t> </w:t>
            </w:r>
            <w:r>
              <w:rPr/>
              <w:t>4.</w:t>
            </w:r>
            <w:r>
              <w:rPr>
                <w:spacing w:val="-6"/>
              </w:rPr>
              <w:t> </w:t>
            </w:r>
            <w:r>
              <w:rPr/>
              <w:t>Demonstrativo</w:t>
            </w:r>
            <w:r>
              <w:rPr>
                <w:spacing w:val="-5"/>
              </w:rPr>
              <w:t> </w:t>
            </w:r>
            <w:r>
              <w:rPr/>
              <w:t>das</w:t>
            </w:r>
            <w:r>
              <w:rPr>
                <w:spacing w:val="-3"/>
              </w:rPr>
              <w:t> </w:t>
            </w:r>
            <w:r>
              <w:rPr/>
              <w:t>Aplicações</w:t>
            </w:r>
            <w:r>
              <w:rPr>
                <w:spacing w:val="-2"/>
              </w:rPr>
              <w:t> </w:t>
            </w:r>
            <w:r>
              <w:rPr/>
              <w:t>por</w:t>
            </w:r>
            <w:r>
              <w:rPr>
                <w:spacing w:val="-4"/>
              </w:rPr>
              <w:t> </w:t>
            </w:r>
            <w:r>
              <w:rPr/>
              <w:t>Elementos</w:t>
            </w:r>
            <w:r>
              <w:rPr>
                <w:spacing w:val="-6"/>
              </w:rPr>
              <w:t> </w:t>
            </w:r>
            <w:r>
              <w:rPr/>
              <w:t>de</w:t>
            </w:r>
            <w:r>
              <w:rPr>
                <w:spacing w:val="-3"/>
              </w:rPr>
              <w:t> </w:t>
            </w:r>
            <w:r>
              <w:rPr/>
              <w:t>Despesas</w:t>
            </w:r>
            <w:r>
              <w:rPr>
                <w:spacing w:val="-3"/>
              </w:rPr>
              <w:t> </w:t>
            </w:r>
            <w:r>
              <w:rPr/>
              <w:t>dos</w:t>
            </w:r>
            <w:r>
              <w:rPr>
                <w:spacing w:val="-6"/>
              </w:rPr>
              <w:t> </w:t>
            </w:r>
            <w:r>
              <w:rPr/>
              <w:t>CAU/UF</w:t>
            </w:r>
            <w:r>
              <w:rPr>
                <w:spacing w:val="-4"/>
              </w:rPr>
              <w:t> </w:t>
            </w:r>
            <w:r>
              <w:rPr/>
              <w:t>e</w:t>
            </w:r>
            <w:r>
              <w:rPr>
                <w:spacing w:val="-5"/>
              </w:rPr>
              <w:t> </w:t>
            </w:r>
            <w:r>
              <w:rPr>
                <w:spacing w:val="-2"/>
              </w:rPr>
              <w:t>CAU/BR</w:t>
            </w:r>
            <w:r>
              <w:rPr/>
              <w:tab/>
            </w:r>
            <w:r>
              <w:rPr>
                <w:spacing w:val="-5"/>
              </w:rPr>
              <w:t>34</w:t>
            </w:r>
          </w:hyperlink>
        </w:p>
        <w:p>
          <w:pPr>
            <w:pStyle w:val="TOC2"/>
            <w:tabs>
              <w:tab w:pos="9526" w:val="left" w:leader="dot"/>
            </w:tabs>
            <w:spacing w:line="357" w:lineRule="auto"/>
            <w:ind w:right="150"/>
          </w:pPr>
          <w:hyperlink w:history="true" w:anchor="_bookmark25">
            <w:r>
              <w:rPr/>
              <w:t>Anexo</w:t>
            </w:r>
            <w:r>
              <w:rPr>
                <w:spacing w:val="-2"/>
              </w:rPr>
              <w:t> </w:t>
            </w:r>
            <w:r>
              <w:rPr/>
              <w:t>5.</w:t>
            </w:r>
            <w:r>
              <w:rPr>
                <w:spacing w:val="-4"/>
              </w:rPr>
              <w:t> </w:t>
            </w:r>
            <w:r>
              <w:rPr/>
              <w:t>Demonstrativo Comparativo</w:t>
            </w:r>
            <w:r>
              <w:rPr>
                <w:spacing w:val="-2"/>
              </w:rPr>
              <w:t> </w:t>
            </w:r>
            <w:r>
              <w:rPr/>
              <w:t>dos</w:t>
            </w:r>
            <w:r>
              <w:rPr>
                <w:spacing w:val="-3"/>
              </w:rPr>
              <w:t> </w:t>
            </w:r>
            <w:r>
              <w:rPr/>
              <w:t>Limites de</w:t>
            </w:r>
            <w:r>
              <w:rPr>
                <w:spacing w:val="-2"/>
              </w:rPr>
              <w:t> </w:t>
            </w:r>
            <w:r>
              <w:rPr/>
              <w:t>Destinação Estratégica</w:t>
            </w:r>
            <w:r>
              <w:rPr>
                <w:spacing w:val="-1"/>
              </w:rPr>
              <w:t> </w:t>
            </w:r>
            <w:r>
              <w:rPr/>
              <w:t>de</w:t>
            </w:r>
            <w:r>
              <w:rPr>
                <w:spacing w:val="-3"/>
              </w:rPr>
              <w:t> </w:t>
            </w:r>
            <w:r>
              <w:rPr/>
              <w:t>Recursos</w:t>
            </w:r>
            <w:r>
              <w:rPr>
                <w:spacing w:val="-3"/>
              </w:rPr>
              <w:t> </w:t>
            </w:r>
            <w:r>
              <w:rPr/>
              <w:t>dos</w:t>
            </w:r>
            <w:r>
              <w:rPr>
                <w:spacing w:val="-3"/>
              </w:rPr>
              <w:t> </w:t>
            </w:r>
            <w:r>
              <w:rPr/>
              <w:t>CAU/UF</w:t>
            </w:r>
            <w:r>
              <w:rPr>
                <w:spacing w:val="-1"/>
              </w:rPr>
              <w:t> </w:t>
            </w:r>
            <w:r>
              <w:rPr/>
              <w:t>e</w:t>
            </w:r>
          </w:hyperlink>
          <w:r>
            <w:rPr/>
            <w:t> </w:t>
          </w:r>
          <w:hyperlink w:history="true" w:anchor="_bookmark25">
            <w:r>
              <w:rPr/>
              <w:t>CAU/BR</w:t>
            </w:r>
            <w:r>
              <w:rPr>
                <w:spacing w:val="-6"/>
              </w:rPr>
              <w:t> </w:t>
            </w:r>
            <w:r>
              <w:rPr/>
              <w:t>(Receitas</w:t>
            </w:r>
            <w:r>
              <w:rPr>
                <w:spacing w:val="-6"/>
              </w:rPr>
              <w:t> </w:t>
            </w:r>
            <w:r>
              <w:rPr/>
              <w:t>Correntes</w:t>
            </w:r>
            <w:r>
              <w:rPr>
                <w:spacing w:val="-3"/>
              </w:rPr>
              <w:t> </w:t>
            </w:r>
            <w:r>
              <w:rPr/>
              <w:t>X</w:t>
            </w:r>
            <w:r>
              <w:rPr>
                <w:spacing w:val="-5"/>
              </w:rPr>
              <w:t> </w:t>
            </w:r>
            <w:r>
              <w:rPr/>
              <w:t>Despesas</w:t>
            </w:r>
            <w:r>
              <w:rPr>
                <w:spacing w:val="-3"/>
              </w:rPr>
              <w:t> </w:t>
            </w:r>
            <w:r>
              <w:rPr/>
              <w:t>com</w:t>
            </w:r>
            <w:r>
              <w:rPr>
                <w:spacing w:val="-2"/>
              </w:rPr>
              <w:t> Pessoal)</w:t>
            </w:r>
            <w:r>
              <w:rPr/>
              <w:tab/>
            </w:r>
            <w:r>
              <w:rPr>
                <w:spacing w:val="-5"/>
              </w:rPr>
              <w:t>36</w:t>
            </w:r>
          </w:hyperlink>
        </w:p>
        <w:p>
          <w:pPr>
            <w:pStyle w:val="TOC2"/>
            <w:tabs>
              <w:tab w:pos="9526" w:val="left" w:leader="dot"/>
            </w:tabs>
            <w:spacing w:line="360" w:lineRule="auto" w:before="105"/>
            <w:ind w:right="150"/>
          </w:pPr>
          <w:hyperlink w:history="true" w:anchor="_bookmark26">
            <w:r>
              <w:rPr/>
              <w:t>Anexo</w:t>
            </w:r>
            <w:r>
              <w:rPr>
                <w:spacing w:val="33"/>
              </w:rPr>
              <w:t> </w:t>
            </w:r>
            <w:r>
              <w:rPr/>
              <w:t>6.</w:t>
            </w:r>
            <w:r>
              <w:rPr>
                <w:spacing w:val="31"/>
              </w:rPr>
              <w:t> </w:t>
            </w:r>
            <w:r>
              <w:rPr/>
              <w:t>Demonstrativo</w:t>
            </w:r>
            <w:r>
              <w:rPr>
                <w:spacing w:val="33"/>
              </w:rPr>
              <w:t> </w:t>
            </w:r>
            <w:r>
              <w:rPr/>
              <w:t>dos</w:t>
            </w:r>
            <w:r>
              <w:rPr>
                <w:spacing w:val="32"/>
              </w:rPr>
              <w:t> </w:t>
            </w:r>
            <w:r>
              <w:rPr/>
              <w:t>Limites</w:t>
            </w:r>
            <w:r>
              <w:rPr>
                <w:spacing w:val="34"/>
              </w:rPr>
              <w:t> </w:t>
            </w:r>
            <w:r>
              <w:rPr/>
              <w:t>de</w:t>
            </w:r>
            <w:r>
              <w:rPr>
                <w:spacing w:val="32"/>
              </w:rPr>
              <w:t> </w:t>
            </w:r>
            <w:r>
              <w:rPr/>
              <w:t>Destinação</w:t>
            </w:r>
            <w:r>
              <w:rPr>
                <w:spacing w:val="31"/>
              </w:rPr>
              <w:t> </w:t>
            </w:r>
            <w:r>
              <w:rPr/>
              <w:t>Estratégica</w:t>
            </w:r>
            <w:r>
              <w:rPr>
                <w:spacing w:val="34"/>
              </w:rPr>
              <w:t> </w:t>
            </w:r>
            <w:r>
              <w:rPr/>
              <w:t>de</w:t>
            </w:r>
            <w:r>
              <w:rPr>
                <w:spacing w:val="32"/>
              </w:rPr>
              <w:t> </w:t>
            </w:r>
            <w:r>
              <w:rPr/>
              <w:t>Recursos</w:t>
            </w:r>
            <w:r>
              <w:rPr>
                <w:spacing w:val="34"/>
              </w:rPr>
              <w:t> </w:t>
            </w:r>
            <w:r>
              <w:rPr/>
              <w:t>dos</w:t>
            </w:r>
            <w:r>
              <w:rPr>
                <w:spacing w:val="34"/>
              </w:rPr>
              <w:t> </w:t>
            </w:r>
            <w:r>
              <w:rPr/>
              <w:t>CAU/UF</w:t>
            </w:r>
            <w:r>
              <w:rPr>
                <w:spacing w:val="31"/>
              </w:rPr>
              <w:t> </w:t>
            </w:r>
            <w:r>
              <w:rPr/>
              <w:t>e</w:t>
            </w:r>
            <w:r>
              <w:rPr>
                <w:spacing w:val="35"/>
              </w:rPr>
              <w:t> </w:t>
            </w:r>
            <w:r>
              <w:rPr/>
              <w:t>CAU/BR</w:t>
            </w:r>
          </w:hyperlink>
          <w:r>
            <w:rPr/>
            <w:t> </w:t>
          </w:r>
          <w:hyperlink w:history="true" w:anchor="_bookmark26">
            <w:r>
              <w:rPr/>
              <w:t>(demais</w:t>
            </w:r>
            <w:r>
              <w:rPr>
                <w:spacing w:val="-5"/>
              </w:rPr>
              <w:t> </w:t>
            </w:r>
            <w:r>
              <w:rPr>
                <w:spacing w:val="-2"/>
              </w:rPr>
              <w:t>destinações)</w:t>
            </w:r>
            <w:r>
              <w:rPr/>
              <w:tab/>
            </w:r>
            <w:r>
              <w:rPr>
                <w:spacing w:val="-5"/>
              </w:rPr>
              <w:t>38</w:t>
            </w:r>
          </w:hyperlink>
        </w:p>
        <w:p>
          <w:pPr>
            <w:pStyle w:val="TOC2"/>
            <w:tabs>
              <w:tab w:pos="9526" w:val="left" w:leader="dot"/>
            </w:tabs>
            <w:spacing w:line="360" w:lineRule="auto" w:before="99"/>
            <w:ind w:right="152"/>
          </w:pPr>
          <w:hyperlink w:history="true" w:anchor="_bookmark27">
            <w:r>
              <w:rPr/>
              <w:t>Anexo 7. Reprogramações do Plano de Ação e Orçamento do CAU 2020 dos CAU/UF e CAU/BR (Links</w:t>
            </w:r>
          </w:hyperlink>
          <w:r>
            <w:rPr/>
            <w:t> </w:t>
          </w:r>
          <w:hyperlink w:history="true" w:anchor="_bookmark27">
            <w:r>
              <w:rPr/>
              <w:t>para</w:t>
            </w:r>
            <w:r>
              <w:rPr>
                <w:spacing w:val="-2"/>
              </w:rPr>
              <w:t> </w:t>
            </w:r>
            <w:r>
              <w:rPr/>
              <w:t>acesso</w:t>
            </w:r>
            <w:r>
              <w:rPr>
                <w:spacing w:val="-2"/>
              </w:rPr>
              <w:t> </w:t>
            </w:r>
            <w:r>
              <w:rPr/>
              <w:t>no</w:t>
            </w:r>
            <w:r>
              <w:rPr>
                <w:spacing w:val="-2"/>
              </w:rPr>
              <w:t> </w:t>
            </w:r>
            <w:r>
              <w:rPr/>
              <w:t>Portal</w:t>
            </w:r>
            <w:r>
              <w:rPr>
                <w:spacing w:val="-2"/>
              </w:rPr>
              <w:t> Transparência)</w:t>
            </w:r>
            <w:r>
              <w:rPr/>
              <w:tab/>
            </w:r>
            <w:r>
              <w:rPr>
                <w:spacing w:val="-5"/>
              </w:rPr>
              <w:t>40</w:t>
            </w:r>
          </w:hyperlink>
        </w:p>
      </w:sdtContent>
    </w:sdt>
    <w:p>
      <w:pPr>
        <w:spacing w:after="0" w:line="360" w:lineRule="auto"/>
        <w:sectPr>
          <w:pgSz w:w="11910" w:h="16840"/>
          <w:pgMar w:header="689" w:footer="261" w:top="1580" w:bottom="460" w:left="1300" w:right="700"/>
        </w:sectPr>
      </w:pPr>
    </w:p>
    <w:p>
      <w:pPr>
        <w:pStyle w:val="Heading3"/>
        <w:spacing w:before="16"/>
        <w:ind w:left="700" w:right="865" w:firstLine="0"/>
        <w:jc w:val="center"/>
      </w:pPr>
      <w:bookmarkStart w:name="_bookmark0" w:id="1"/>
      <w:bookmarkEnd w:id="1"/>
      <w:r>
        <w:rPr>
          <w:b w:val="0"/>
        </w:rPr>
      </w:r>
      <w:r>
        <w:rPr>
          <w:color w:val="006666"/>
        </w:rPr>
        <w:t>ÍNDICE</w:t>
      </w:r>
      <w:r>
        <w:rPr>
          <w:color w:val="006666"/>
          <w:spacing w:val="-4"/>
        </w:rPr>
        <w:t> </w:t>
      </w:r>
      <w:r>
        <w:rPr>
          <w:color w:val="006666"/>
        </w:rPr>
        <w:t>DE</w:t>
      </w:r>
      <w:r>
        <w:rPr>
          <w:color w:val="006666"/>
          <w:spacing w:val="-3"/>
        </w:rPr>
        <w:t> </w:t>
      </w:r>
      <w:r>
        <w:rPr>
          <w:color w:val="006666"/>
        </w:rPr>
        <w:t>MAPA,</w:t>
      </w:r>
      <w:r>
        <w:rPr>
          <w:color w:val="006666"/>
          <w:spacing w:val="-3"/>
        </w:rPr>
        <w:t> </w:t>
      </w:r>
      <w:r>
        <w:rPr>
          <w:color w:val="006666"/>
        </w:rPr>
        <w:t>QUADROS</w:t>
      </w:r>
      <w:r>
        <w:rPr>
          <w:color w:val="006666"/>
          <w:spacing w:val="-3"/>
        </w:rPr>
        <w:t> </w:t>
      </w:r>
      <w:r>
        <w:rPr>
          <w:color w:val="006666"/>
        </w:rPr>
        <w:t>E</w:t>
      </w:r>
      <w:r>
        <w:rPr>
          <w:color w:val="006666"/>
          <w:spacing w:val="-2"/>
        </w:rPr>
        <w:t> GRÁFICOS</w:t>
      </w:r>
    </w:p>
    <w:p>
      <w:pPr>
        <w:pStyle w:val="BodyText"/>
        <w:rPr>
          <w:b/>
          <w:sz w:val="28"/>
        </w:rPr>
      </w:pPr>
    </w:p>
    <w:p>
      <w:pPr>
        <w:pStyle w:val="BodyText"/>
        <w:spacing w:before="11"/>
        <w:rPr>
          <w:b/>
          <w:sz w:val="40"/>
        </w:rPr>
      </w:pPr>
    </w:p>
    <w:p>
      <w:pPr>
        <w:tabs>
          <w:tab w:pos="9646" w:val="left" w:leader="dot"/>
        </w:tabs>
        <w:spacing w:before="0"/>
        <w:ind w:left="118" w:right="0" w:firstLine="0"/>
        <w:jc w:val="left"/>
        <w:rPr>
          <w:b/>
          <w:sz w:val="22"/>
        </w:rPr>
      </w:pPr>
      <w:hyperlink w:history="true" w:anchor="_bookmark2">
        <w:r>
          <w:rPr>
            <w:b/>
            <w:color w:val="006666"/>
            <w:sz w:val="22"/>
          </w:rPr>
          <w:t>Figura</w:t>
        </w:r>
        <w:r>
          <w:rPr>
            <w:b/>
            <w:color w:val="006666"/>
            <w:spacing w:val="-5"/>
            <w:sz w:val="22"/>
          </w:rPr>
          <w:t> </w:t>
        </w:r>
        <w:r>
          <w:rPr>
            <w:b/>
            <w:color w:val="006666"/>
            <w:sz w:val="22"/>
          </w:rPr>
          <w:t>1.</w:t>
        </w:r>
        <w:r>
          <w:rPr>
            <w:b/>
            <w:color w:val="006666"/>
            <w:spacing w:val="-3"/>
            <w:sz w:val="22"/>
          </w:rPr>
          <w:t> </w:t>
        </w:r>
        <w:r>
          <w:rPr>
            <w:b/>
            <w:color w:val="006666"/>
            <w:sz w:val="22"/>
          </w:rPr>
          <w:t>Mapa</w:t>
        </w:r>
        <w:r>
          <w:rPr>
            <w:b/>
            <w:color w:val="006666"/>
            <w:spacing w:val="-2"/>
            <w:sz w:val="22"/>
          </w:rPr>
          <w:t> </w:t>
        </w:r>
        <w:r>
          <w:rPr>
            <w:b/>
            <w:color w:val="006666"/>
            <w:sz w:val="22"/>
          </w:rPr>
          <w:t>Estratégico</w:t>
        </w:r>
        <w:r>
          <w:rPr>
            <w:b/>
            <w:color w:val="006666"/>
            <w:spacing w:val="-3"/>
            <w:sz w:val="22"/>
          </w:rPr>
          <w:t> </w:t>
        </w:r>
        <w:r>
          <w:rPr>
            <w:b/>
            <w:color w:val="006666"/>
            <w:sz w:val="22"/>
          </w:rPr>
          <w:t>do</w:t>
        </w:r>
        <w:r>
          <w:rPr>
            <w:b/>
            <w:color w:val="006666"/>
            <w:spacing w:val="-3"/>
            <w:sz w:val="22"/>
          </w:rPr>
          <w:t> </w:t>
        </w:r>
        <w:r>
          <w:rPr>
            <w:b/>
            <w:color w:val="006666"/>
            <w:sz w:val="22"/>
          </w:rPr>
          <w:t>CAU</w:t>
        </w:r>
        <w:r>
          <w:rPr>
            <w:b/>
            <w:color w:val="006666"/>
            <w:spacing w:val="-3"/>
            <w:sz w:val="22"/>
          </w:rPr>
          <w:t> </w:t>
        </w:r>
        <w:r>
          <w:rPr>
            <w:b/>
            <w:color w:val="006666"/>
            <w:spacing w:val="-4"/>
            <w:sz w:val="22"/>
          </w:rPr>
          <w:t>2023</w:t>
        </w:r>
        <w:r>
          <w:rPr>
            <w:b/>
            <w:color w:val="006666"/>
            <w:sz w:val="22"/>
          </w:rPr>
          <w:tab/>
        </w:r>
        <w:r>
          <w:rPr>
            <w:b/>
            <w:color w:val="006666"/>
            <w:spacing w:val="-10"/>
            <w:sz w:val="22"/>
          </w:rPr>
          <w:t>6</w:t>
        </w:r>
      </w:hyperlink>
    </w:p>
    <w:p>
      <w:pPr>
        <w:pStyle w:val="BodyText"/>
        <w:rPr>
          <w:b/>
        </w:rPr>
      </w:pPr>
    </w:p>
    <w:p>
      <w:pPr>
        <w:tabs>
          <w:tab w:pos="9533" w:val="left" w:leader="dot"/>
        </w:tabs>
        <w:spacing w:before="0"/>
        <w:ind w:left="118" w:right="0" w:firstLine="0"/>
        <w:jc w:val="left"/>
        <w:rPr>
          <w:b/>
          <w:sz w:val="22"/>
        </w:rPr>
      </w:pPr>
      <w:hyperlink w:history="true" w:anchor="_bookmark9">
        <w:r>
          <w:rPr>
            <w:b/>
            <w:color w:val="006666"/>
            <w:sz w:val="22"/>
          </w:rPr>
          <w:t>Quadro</w:t>
        </w:r>
        <w:r>
          <w:rPr>
            <w:b/>
            <w:color w:val="006666"/>
            <w:spacing w:val="-8"/>
            <w:sz w:val="22"/>
          </w:rPr>
          <w:t> </w:t>
        </w:r>
        <w:r>
          <w:rPr>
            <w:b/>
            <w:color w:val="006666"/>
            <w:sz w:val="22"/>
          </w:rPr>
          <w:t>1.</w:t>
        </w:r>
        <w:r>
          <w:rPr>
            <w:b/>
            <w:color w:val="006666"/>
            <w:spacing w:val="-3"/>
            <w:sz w:val="22"/>
          </w:rPr>
          <w:t> </w:t>
        </w:r>
        <w:r>
          <w:rPr>
            <w:b/>
            <w:color w:val="006666"/>
            <w:sz w:val="22"/>
          </w:rPr>
          <w:t>Demonstrativo</w:t>
        </w:r>
        <w:r>
          <w:rPr>
            <w:b/>
            <w:color w:val="006666"/>
            <w:spacing w:val="-7"/>
            <w:sz w:val="22"/>
          </w:rPr>
          <w:t> </w:t>
        </w:r>
        <w:r>
          <w:rPr>
            <w:b/>
            <w:color w:val="006666"/>
            <w:sz w:val="22"/>
          </w:rPr>
          <w:t>de</w:t>
        </w:r>
        <w:r>
          <w:rPr>
            <w:b/>
            <w:color w:val="006666"/>
            <w:spacing w:val="-6"/>
            <w:sz w:val="22"/>
          </w:rPr>
          <w:t> </w:t>
        </w:r>
        <w:r>
          <w:rPr>
            <w:b/>
            <w:color w:val="006666"/>
            <w:sz w:val="22"/>
          </w:rPr>
          <w:t>Disponibilizações</w:t>
        </w:r>
        <w:r>
          <w:rPr>
            <w:b/>
            <w:color w:val="006666"/>
            <w:spacing w:val="-4"/>
            <w:sz w:val="22"/>
          </w:rPr>
          <w:t> </w:t>
        </w:r>
        <w:r>
          <w:rPr>
            <w:b/>
            <w:color w:val="006666"/>
            <w:sz w:val="22"/>
          </w:rPr>
          <w:t>e</w:t>
        </w:r>
        <w:r>
          <w:rPr>
            <w:b/>
            <w:color w:val="006666"/>
            <w:spacing w:val="-6"/>
            <w:sz w:val="22"/>
          </w:rPr>
          <w:t> </w:t>
        </w:r>
        <w:r>
          <w:rPr>
            <w:b/>
            <w:color w:val="006666"/>
            <w:sz w:val="22"/>
          </w:rPr>
          <w:t>Utilizações</w:t>
        </w:r>
        <w:r>
          <w:rPr>
            <w:b/>
            <w:color w:val="006666"/>
            <w:spacing w:val="-5"/>
            <w:sz w:val="22"/>
          </w:rPr>
          <w:t> </w:t>
        </w:r>
        <w:r>
          <w:rPr>
            <w:b/>
            <w:color w:val="006666"/>
            <w:sz w:val="22"/>
          </w:rPr>
          <w:t>dos</w:t>
        </w:r>
        <w:r>
          <w:rPr>
            <w:b/>
            <w:color w:val="006666"/>
            <w:spacing w:val="-6"/>
            <w:sz w:val="22"/>
          </w:rPr>
          <w:t> </w:t>
        </w:r>
        <w:r>
          <w:rPr>
            <w:b/>
            <w:color w:val="006666"/>
            <w:sz w:val="22"/>
          </w:rPr>
          <w:t>Recursos</w:t>
        </w:r>
        <w:r>
          <w:rPr>
            <w:b/>
            <w:color w:val="006666"/>
            <w:spacing w:val="-5"/>
            <w:sz w:val="22"/>
          </w:rPr>
          <w:t> </w:t>
        </w:r>
        <w:r>
          <w:rPr>
            <w:b/>
            <w:color w:val="006666"/>
            <w:sz w:val="22"/>
          </w:rPr>
          <w:t>do</w:t>
        </w:r>
        <w:r>
          <w:rPr>
            <w:b/>
            <w:color w:val="006666"/>
            <w:spacing w:val="-6"/>
            <w:sz w:val="22"/>
          </w:rPr>
          <w:t> </w:t>
        </w:r>
        <w:r>
          <w:rPr>
            <w:b/>
            <w:color w:val="006666"/>
            <w:sz w:val="22"/>
          </w:rPr>
          <w:t>Fundo</w:t>
        </w:r>
        <w:r>
          <w:rPr>
            <w:b/>
            <w:color w:val="006666"/>
            <w:spacing w:val="-5"/>
            <w:sz w:val="22"/>
          </w:rPr>
          <w:t> </w:t>
        </w:r>
        <w:r>
          <w:rPr>
            <w:b/>
            <w:color w:val="006666"/>
            <w:sz w:val="22"/>
          </w:rPr>
          <w:t>de</w:t>
        </w:r>
        <w:r>
          <w:rPr>
            <w:b/>
            <w:color w:val="006666"/>
            <w:spacing w:val="-5"/>
            <w:sz w:val="22"/>
          </w:rPr>
          <w:t> </w:t>
        </w:r>
        <w:r>
          <w:rPr>
            <w:b/>
            <w:color w:val="006666"/>
            <w:spacing w:val="-2"/>
            <w:sz w:val="22"/>
          </w:rPr>
          <w:t>Apoio</w:t>
        </w:r>
        <w:r>
          <w:rPr>
            <w:b/>
            <w:color w:val="006666"/>
            <w:sz w:val="22"/>
          </w:rPr>
          <w:tab/>
        </w:r>
        <w:r>
          <w:rPr>
            <w:b/>
            <w:color w:val="006666"/>
            <w:spacing w:val="-5"/>
            <w:sz w:val="22"/>
          </w:rPr>
          <w:t>14</w:t>
        </w:r>
      </w:hyperlink>
    </w:p>
    <w:p>
      <w:pPr>
        <w:pStyle w:val="BodyText"/>
        <w:spacing w:before="3"/>
        <w:rPr>
          <w:b/>
        </w:rPr>
      </w:pPr>
    </w:p>
    <w:p>
      <w:pPr>
        <w:spacing w:before="0"/>
        <w:ind w:left="118" w:right="0" w:firstLine="0"/>
        <w:jc w:val="left"/>
        <w:rPr>
          <w:b/>
          <w:sz w:val="22"/>
        </w:rPr>
      </w:pPr>
      <w:hyperlink w:history="true" w:anchor="_bookmark12">
        <w:r>
          <w:rPr>
            <w:b/>
            <w:color w:val="006666"/>
            <w:sz w:val="22"/>
          </w:rPr>
          <w:t>Quadro</w:t>
        </w:r>
        <w:r>
          <w:rPr>
            <w:b/>
            <w:color w:val="006666"/>
            <w:spacing w:val="-12"/>
            <w:sz w:val="22"/>
          </w:rPr>
          <w:t> </w:t>
        </w:r>
        <w:r>
          <w:rPr>
            <w:b/>
            <w:color w:val="006666"/>
            <w:sz w:val="22"/>
          </w:rPr>
          <w:t>2.</w:t>
        </w:r>
        <w:r>
          <w:rPr>
            <w:b/>
            <w:color w:val="006666"/>
            <w:spacing w:val="-10"/>
            <w:sz w:val="22"/>
          </w:rPr>
          <w:t> </w:t>
        </w:r>
        <w:r>
          <w:rPr>
            <w:b/>
            <w:color w:val="006666"/>
            <w:sz w:val="22"/>
          </w:rPr>
          <w:t>Demonstrativo</w:t>
        </w:r>
        <w:r>
          <w:rPr>
            <w:b/>
            <w:color w:val="006666"/>
            <w:spacing w:val="-12"/>
            <w:sz w:val="22"/>
          </w:rPr>
          <w:t> </w:t>
        </w:r>
        <w:r>
          <w:rPr>
            <w:b/>
            <w:color w:val="006666"/>
            <w:sz w:val="22"/>
          </w:rPr>
          <w:t>Comparativo</w:t>
        </w:r>
        <w:r>
          <w:rPr>
            <w:b/>
            <w:color w:val="006666"/>
            <w:spacing w:val="-9"/>
            <w:sz w:val="22"/>
          </w:rPr>
          <w:t> </w:t>
        </w:r>
        <w:r>
          <w:rPr>
            <w:b/>
            <w:color w:val="006666"/>
            <w:sz w:val="22"/>
          </w:rPr>
          <w:t>de</w:t>
        </w:r>
        <w:r>
          <w:rPr>
            <w:b/>
            <w:color w:val="006666"/>
            <w:spacing w:val="-10"/>
            <w:sz w:val="22"/>
          </w:rPr>
          <w:t> </w:t>
        </w:r>
        <w:r>
          <w:rPr>
            <w:b/>
            <w:color w:val="006666"/>
            <w:sz w:val="22"/>
          </w:rPr>
          <w:t>Projetos</w:t>
        </w:r>
        <w:r>
          <w:rPr>
            <w:b/>
            <w:color w:val="006666"/>
            <w:spacing w:val="-10"/>
            <w:sz w:val="22"/>
          </w:rPr>
          <w:t> </w:t>
        </w:r>
        <w:r>
          <w:rPr>
            <w:b/>
            <w:color w:val="006666"/>
            <w:sz w:val="22"/>
          </w:rPr>
          <w:t>por</w:t>
        </w:r>
        <w:r>
          <w:rPr>
            <w:b/>
            <w:color w:val="006666"/>
            <w:spacing w:val="-8"/>
            <w:sz w:val="22"/>
          </w:rPr>
          <w:t> </w:t>
        </w:r>
        <w:r>
          <w:rPr>
            <w:b/>
            <w:color w:val="006666"/>
            <w:sz w:val="22"/>
          </w:rPr>
          <w:t>região</w:t>
        </w:r>
        <w:r>
          <w:rPr>
            <w:b/>
            <w:color w:val="006666"/>
            <w:spacing w:val="-12"/>
            <w:sz w:val="22"/>
          </w:rPr>
          <w:t> </w:t>
        </w:r>
        <w:r>
          <w:rPr>
            <w:b/>
            <w:color w:val="006666"/>
            <w:sz w:val="22"/>
          </w:rPr>
          <w:t>(Programação</w:t>
        </w:r>
        <w:r>
          <w:rPr>
            <w:b/>
            <w:color w:val="006666"/>
            <w:spacing w:val="-12"/>
            <w:sz w:val="22"/>
          </w:rPr>
          <w:t> </w:t>
        </w:r>
        <w:r>
          <w:rPr>
            <w:b/>
            <w:color w:val="006666"/>
            <w:sz w:val="22"/>
          </w:rPr>
          <w:t>2020</w:t>
        </w:r>
        <w:r>
          <w:rPr>
            <w:b/>
            <w:color w:val="006666"/>
            <w:spacing w:val="-10"/>
            <w:sz w:val="22"/>
          </w:rPr>
          <w:t> </w:t>
        </w:r>
        <w:r>
          <w:rPr>
            <w:b/>
            <w:color w:val="006666"/>
            <w:sz w:val="22"/>
          </w:rPr>
          <w:t>x</w:t>
        </w:r>
        <w:r>
          <w:rPr>
            <w:b/>
            <w:color w:val="006666"/>
            <w:spacing w:val="-11"/>
            <w:sz w:val="22"/>
          </w:rPr>
          <w:t> </w:t>
        </w:r>
        <w:r>
          <w:rPr>
            <w:b/>
            <w:color w:val="006666"/>
            <w:sz w:val="22"/>
          </w:rPr>
          <w:t>Reprogramação</w:t>
        </w:r>
        <w:r>
          <w:rPr>
            <w:b/>
            <w:color w:val="006666"/>
            <w:spacing w:val="-9"/>
            <w:sz w:val="22"/>
          </w:rPr>
          <w:t> </w:t>
        </w:r>
        <w:r>
          <w:rPr>
            <w:b/>
            <w:color w:val="006666"/>
            <w:spacing w:val="-2"/>
            <w:sz w:val="22"/>
          </w:rPr>
          <w:t>2020)</w:t>
        </w:r>
      </w:hyperlink>
    </w:p>
    <w:p>
      <w:pPr>
        <w:tabs>
          <w:tab w:pos="9533" w:val="left" w:leader="dot"/>
        </w:tabs>
        <w:spacing w:before="135"/>
        <w:ind w:left="140" w:right="0" w:firstLine="0"/>
        <w:jc w:val="left"/>
        <w:rPr>
          <w:b/>
          <w:sz w:val="22"/>
        </w:rPr>
      </w:pPr>
      <w:hyperlink w:history="true" w:anchor="_bookmark12">
        <w:r>
          <w:rPr>
            <w:b/>
            <w:color w:val="006666"/>
            <w:spacing w:val="-10"/>
            <w:sz w:val="22"/>
          </w:rPr>
          <w:t>.</w:t>
        </w:r>
        <w:r>
          <w:rPr>
            <w:b/>
            <w:color w:val="006666"/>
            <w:sz w:val="22"/>
          </w:rPr>
          <w:tab/>
        </w:r>
        <w:r>
          <w:rPr>
            <w:b/>
            <w:color w:val="006666"/>
            <w:spacing w:val="-5"/>
            <w:sz w:val="22"/>
          </w:rPr>
          <w:t>16</w:t>
        </w:r>
      </w:hyperlink>
    </w:p>
    <w:p>
      <w:pPr>
        <w:pStyle w:val="BodyText"/>
        <w:rPr>
          <w:b/>
        </w:rPr>
      </w:pPr>
    </w:p>
    <w:p>
      <w:pPr>
        <w:tabs>
          <w:tab w:pos="9533" w:val="left" w:leader="dot"/>
        </w:tabs>
        <w:spacing w:line="360" w:lineRule="auto" w:before="0"/>
        <w:ind w:left="118" w:right="145" w:firstLine="0"/>
        <w:jc w:val="left"/>
        <w:rPr>
          <w:b/>
          <w:sz w:val="22"/>
        </w:rPr>
      </w:pPr>
      <w:hyperlink w:history="true" w:anchor="_bookmark13">
        <w:r>
          <w:rPr>
            <w:b/>
            <w:color w:val="006666"/>
            <w:sz w:val="22"/>
          </w:rPr>
          <w:t>Quadro</w:t>
        </w:r>
        <w:r>
          <w:rPr>
            <w:b/>
            <w:color w:val="006666"/>
            <w:spacing w:val="35"/>
            <w:sz w:val="22"/>
          </w:rPr>
          <w:t> </w:t>
        </w:r>
        <w:r>
          <w:rPr>
            <w:b/>
            <w:color w:val="006666"/>
            <w:sz w:val="22"/>
          </w:rPr>
          <w:t>3.</w:t>
        </w:r>
        <w:r>
          <w:rPr>
            <w:b/>
            <w:color w:val="006666"/>
            <w:spacing w:val="35"/>
            <w:sz w:val="22"/>
          </w:rPr>
          <w:t> </w:t>
        </w:r>
        <w:r>
          <w:rPr>
            <w:b/>
            <w:color w:val="006666"/>
            <w:sz w:val="22"/>
          </w:rPr>
          <w:t>Demonstrativo</w:t>
        </w:r>
        <w:r>
          <w:rPr>
            <w:b/>
            <w:color w:val="006666"/>
            <w:spacing w:val="33"/>
            <w:sz w:val="22"/>
          </w:rPr>
          <w:t> </w:t>
        </w:r>
        <w:r>
          <w:rPr>
            <w:b/>
            <w:color w:val="006666"/>
            <w:sz w:val="22"/>
          </w:rPr>
          <w:t>Comparativo</w:t>
        </w:r>
        <w:r>
          <w:rPr>
            <w:b/>
            <w:color w:val="006666"/>
            <w:spacing w:val="33"/>
            <w:sz w:val="22"/>
          </w:rPr>
          <w:t> </w:t>
        </w:r>
        <w:r>
          <w:rPr>
            <w:b/>
            <w:color w:val="006666"/>
            <w:sz w:val="22"/>
          </w:rPr>
          <w:t>de</w:t>
        </w:r>
        <w:r>
          <w:rPr>
            <w:b/>
            <w:color w:val="006666"/>
            <w:spacing w:val="33"/>
            <w:sz w:val="22"/>
          </w:rPr>
          <w:t> </w:t>
        </w:r>
        <w:r>
          <w:rPr>
            <w:b/>
            <w:color w:val="006666"/>
            <w:sz w:val="22"/>
          </w:rPr>
          <w:t>Atividade</w:t>
        </w:r>
        <w:r>
          <w:rPr>
            <w:b/>
            <w:color w:val="006666"/>
            <w:spacing w:val="35"/>
            <w:sz w:val="22"/>
          </w:rPr>
          <w:t> </w:t>
        </w:r>
        <w:r>
          <w:rPr>
            <w:b/>
            <w:color w:val="006666"/>
            <w:sz w:val="22"/>
          </w:rPr>
          <w:t>por</w:t>
        </w:r>
        <w:r>
          <w:rPr>
            <w:b/>
            <w:color w:val="006666"/>
            <w:spacing w:val="35"/>
            <w:sz w:val="22"/>
          </w:rPr>
          <w:t> </w:t>
        </w:r>
        <w:r>
          <w:rPr>
            <w:b/>
            <w:color w:val="006666"/>
            <w:sz w:val="22"/>
          </w:rPr>
          <w:t>região</w:t>
        </w:r>
        <w:r>
          <w:rPr>
            <w:b/>
            <w:color w:val="006666"/>
            <w:spacing w:val="33"/>
            <w:sz w:val="22"/>
          </w:rPr>
          <w:t> </w:t>
        </w:r>
        <w:r>
          <w:rPr>
            <w:b/>
            <w:color w:val="006666"/>
            <w:sz w:val="22"/>
          </w:rPr>
          <w:t>(Programação</w:t>
        </w:r>
        <w:r>
          <w:rPr>
            <w:b/>
            <w:color w:val="006666"/>
            <w:spacing w:val="35"/>
            <w:sz w:val="22"/>
          </w:rPr>
          <w:t> </w:t>
        </w:r>
        <w:r>
          <w:rPr>
            <w:b/>
            <w:color w:val="006666"/>
            <w:sz w:val="22"/>
          </w:rPr>
          <w:t>2020</w:t>
        </w:r>
        <w:r>
          <w:rPr>
            <w:b/>
            <w:color w:val="006666"/>
            <w:spacing w:val="36"/>
            <w:sz w:val="22"/>
          </w:rPr>
          <w:t> </w:t>
        </w:r>
        <w:r>
          <w:rPr>
            <w:b/>
            <w:color w:val="006666"/>
            <w:sz w:val="22"/>
          </w:rPr>
          <w:t>x</w:t>
        </w:r>
        <w:r>
          <w:rPr>
            <w:b/>
            <w:color w:val="006666"/>
            <w:spacing w:val="34"/>
            <w:sz w:val="22"/>
          </w:rPr>
          <w:t> </w:t>
        </w:r>
        <w:r>
          <w:rPr>
            <w:b/>
            <w:color w:val="006666"/>
            <w:sz w:val="22"/>
          </w:rPr>
          <w:t>Reprogramação</w:t>
        </w:r>
      </w:hyperlink>
      <w:r>
        <w:rPr>
          <w:b/>
          <w:color w:val="006666"/>
          <w:sz w:val="22"/>
        </w:rPr>
        <w:t> </w:t>
      </w:r>
      <w:hyperlink w:history="true" w:anchor="_bookmark13">
        <w:r>
          <w:rPr>
            <w:b/>
            <w:color w:val="006666"/>
            <w:spacing w:val="-2"/>
            <w:sz w:val="22"/>
          </w:rPr>
          <w:t>2020)</w:t>
        </w:r>
        <w:r>
          <w:rPr>
            <w:b/>
            <w:color w:val="006666"/>
            <w:sz w:val="22"/>
          </w:rPr>
          <w:tab/>
        </w:r>
        <w:r>
          <w:rPr>
            <w:b/>
            <w:color w:val="006666"/>
            <w:spacing w:val="-5"/>
            <w:sz w:val="22"/>
          </w:rPr>
          <w:t>17</w:t>
        </w:r>
      </w:hyperlink>
    </w:p>
    <w:p>
      <w:pPr>
        <w:tabs>
          <w:tab w:pos="9533" w:val="left" w:leader="dot"/>
        </w:tabs>
        <w:spacing w:before="159"/>
        <w:ind w:left="118" w:right="0" w:firstLine="0"/>
        <w:jc w:val="left"/>
        <w:rPr>
          <w:b/>
          <w:sz w:val="22"/>
        </w:rPr>
      </w:pPr>
      <w:hyperlink w:history="true" w:anchor="_bookmark15">
        <w:r>
          <w:rPr>
            <w:b/>
            <w:color w:val="006666"/>
            <w:sz w:val="22"/>
          </w:rPr>
          <w:t>Quadro</w:t>
        </w:r>
        <w:r>
          <w:rPr>
            <w:b/>
            <w:color w:val="006666"/>
            <w:spacing w:val="-7"/>
            <w:sz w:val="22"/>
          </w:rPr>
          <w:t> </w:t>
        </w:r>
        <w:r>
          <w:rPr>
            <w:b/>
            <w:color w:val="006666"/>
            <w:sz w:val="22"/>
          </w:rPr>
          <w:t>4.</w:t>
        </w:r>
        <w:r>
          <w:rPr>
            <w:b/>
            <w:color w:val="006666"/>
            <w:spacing w:val="-5"/>
            <w:sz w:val="22"/>
          </w:rPr>
          <w:t> </w:t>
        </w:r>
        <w:r>
          <w:rPr>
            <w:b/>
            <w:color w:val="006666"/>
            <w:sz w:val="22"/>
          </w:rPr>
          <w:t>Aplicações</w:t>
        </w:r>
        <w:r>
          <w:rPr>
            <w:b/>
            <w:color w:val="006666"/>
            <w:spacing w:val="-5"/>
            <w:sz w:val="22"/>
          </w:rPr>
          <w:t> </w:t>
        </w:r>
        <w:r>
          <w:rPr>
            <w:b/>
            <w:color w:val="006666"/>
            <w:sz w:val="22"/>
          </w:rPr>
          <w:t>por</w:t>
        </w:r>
        <w:r>
          <w:rPr>
            <w:b/>
            <w:color w:val="006666"/>
            <w:spacing w:val="-6"/>
            <w:sz w:val="22"/>
          </w:rPr>
          <w:t> </w:t>
        </w:r>
        <w:r>
          <w:rPr>
            <w:b/>
            <w:color w:val="006666"/>
            <w:sz w:val="22"/>
          </w:rPr>
          <w:t>Objetivos</w:t>
        </w:r>
        <w:r>
          <w:rPr>
            <w:b/>
            <w:color w:val="006666"/>
            <w:spacing w:val="-3"/>
            <w:sz w:val="22"/>
          </w:rPr>
          <w:t> </w:t>
        </w:r>
        <w:r>
          <w:rPr>
            <w:b/>
            <w:color w:val="006666"/>
            <w:sz w:val="22"/>
          </w:rPr>
          <w:t>Estratégicos</w:t>
        </w:r>
        <w:r>
          <w:rPr>
            <w:b/>
            <w:color w:val="006666"/>
            <w:spacing w:val="-4"/>
            <w:sz w:val="22"/>
          </w:rPr>
          <w:t> </w:t>
        </w:r>
        <w:r>
          <w:rPr>
            <w:b/>
            <w:color w:val="006666"/>
            <w:sz w:val="22"/>
          </w:rPr>
          <w:t>dos</w:t>
        </w:r>
        <w:r>
          <w:rPr>
            <w:b/>
            <w:color w:val="006666"/>
            <w:spacing w:val="-5"/>
            <w:sz w:val="22"/>
          </w:rPr>
          <w:t> </w:t>
        </w:r>
        <w:r>
          <w:rPr>
            <w:b/>
            <w:color w:val="006666"/>
            <w:sz w:val="22"/>
          </w:rPr>
          <w:t>CAU/UF</w:t>
        </w:r>
        <w:r>
          <w:rPr>
            <w:b/>
            <w:color w:val="006666"/>
            <w:spacing w:val="-5"/>
            <w:sz w:val="22"/>
          </w:rPr>
          <w:t> </w:t>
        </w:r>
        <w:r>
          <w:rPr>
            <w:b/>
            <w:color w:val="006666"/>
            <w:sz w:val="22"/>
          </w:rPr>
          <w:t>e</w:t>
        </w:r>
        <w:r>
          <w:rPr>
            <w:b/>
            <w:color w:val="006666"/>
            <w:spacing w:val="-5"/>
            <w:sz w:val="22"/>
          </w:rPr>
          <w:t> </w:t>
        </w:r>
        <w:r>
          <w:rPr>
            <w:b/>
            <w:color w:val="006666"/>
            <w:spacing w:val="-2"/>
            <w:sz w:val="22"/>
          </w:rPr>
          <w:t>CAU/BR</w:t>
        </w:r>
        <w:r>
          <w:rPr>
            <w:b/>
            <w:color w:val="006666"/>
            <w:sz w:val="22"/>
          </w:rPr>
          <w:tab/>
        </w:r>
        <w:r>
          <w:rPr>
            <w:b/>
            <w:color w:val="006666"/>
            <w:spacing w:val="-5"/>
            <w:sz w:val="22"/>
          </w:rPr>
          <w:t>21</w:t>
        </w:r>
      </w:hyperlink>
    </w:p>
    <w:p>
      <w:pPr>
        <w:pStyle w:val="BodyText"/>
        <w:spacing w:before="2"/>
        <w:rPr>
          <w:b/>
        </w:rPr>
      </w:pPr>
    </w:p>
    <w:p>
      <w:pPr>
        <w:tabs>
          <w:tab w:pos="9533" w:val="left" w:leader="dot"/>
        </w:tabs>
        <w:spacing w:before="1"/>
        <w:ind w:left="118" w:right="0" w:firstLine="0"/>
        <w:jc w:val="left"/>
        <w:rPr>
          <w:b/>
          <w:sz w:val="22"/>
        </w:rPr>
      </w:pPr>
      <w:hyperlink w:history="true" w:anchor="_bookmark17">
        <w:r>
          <w:rPr>
            <w:b/>
            <w:color w:val="006666"/>
            <w:sz w:val="22"/>
          </w:rPr>
          <w:t>Quadro</w:t>
        </w:r>
        <w:r>
          <w:rPr>
            <w:b/>
            <w:color w:val="006666"/>
            <w:spacing w:val="-7"/>
            <w:sz w:val="22"/>
          </w:rPr>
          <w:t> </w:t>
        </w:r>
        <w:r>
          <w:rPr>
            <w:b/>
            <w:color w:val="006666"/>
            <w:sz w:val="22"/>
          </w:rPr>
          <w:t>5.</w:t>
        </w:r>
        <w:r>
          <w:rPr>
            <w:b/>
            <w:color w:val="006666"/>
            <w:spacing w:val="-4"/>
            <w:sz w:val="22"/>
          </w:rPr>
          <w:t> </w:t>
        </w:r>
        <w:r>
          <w:rPr>
            <w:b/>
            <w:color w:val="006666"/>
            <w:sz w:val="22"/>
          </w:rPr>
          <w:t>Aplicações</w:t>
        </w:r>
        <w:r>
          <w:rPr>
            <w:b/>
            <w:color w:val="006666"/>
            <w:spacing w:val="-5"/>
            <w:sz w:val="22"/>
          </w:rPr>
          <w:t> </w:t>
        </w:r>
        <w:r>
          <w:rPr>
            <w:b/>
            <w:color w:val="006666"/>
            <w:sz w:val="22"/>
          </w:rPr>
          <w:t>por</w:t>
        </w:r>
        <w:r>
          <w:rPr>
            <w:b/>
            <w:color w:val="006666"/>
            <w:spacing w:val="-4"/>
            <w:sz w:val="22"/>
          </w:rPr>
          <w:t> </w:t>
        </w:r>
        <w:r>
          <w:rPr>
            <w:b/>
            <w:color w:val="006666"/>
            <w:sz w:val="22"/>
          </w:rPr>
          <w:t>Elementos</w:t>
        </w:r>
        <w:r>
          <w:rPr>
            <w:b/>
            <w:color w:val="006666"/>
            <w:spacing w:val="-3"/>
            <w:sz w:val="22"/>
          </w:rPr>
          <w:t> </w:t>
        </w:r>
        <w:r>
          <w:rPr>
            <w:b/>
            <w:color w:val="006666"/>
            <w:sz w:val="22"/>
          </w:rPr>
          <w:t>de</w:t>
        </w:r>
        <w:r>
          <w:rPr>
            <w:b/>
            <w:color w:val="006666"/>
            <w:spacing w:val="-4"/>
            <w:sz w:val="22"/>
          </w:rPr>
          <w:t> </w:t>
        </w:r>
        <w:r>
          <w:rPr>
            <w:b/>
            <w:color w:val="006666"/>
            <w:sz w:val="22"/>
          </w:rPr>
          <w:t>Despesas</w:t>
        </w:r>
        <w:r>
          <w:rPr>
            <w:b/>
            <w:color w:val="006666"/>
            <w:spacing w:val="-4"/>
            <w:sz w:val="22"/>
          </w:rPr>
          <w:t> </w:t>
        </w:r>
        <w:r>
          <w:rPr>
            <w:b/>
            <w:color w:val="006666"/>
            <w:sz w:val="22"/>
          </w:rPr>
          <w:t>dos</w:t>
        </w:r>
        <w:r>
          <w:rPr>
            <w:b/>
            <w:color w:val="006666"/>
            <w:spacing w:val="-5"/>
            <w:sz w:val="22"/>
          </w:rPr>
          <w:t> </w:t>
        </w:r>
        <w:r>
          <w:rPr>
            <w:b/>
            <w:color w:val="006666"/>
            <w:sz w:val="22"/>
          </w:rPr>
          <w:t>CAU/UF</w:t>
        </w:r>
        <w:r>
          <w:rPr>
            <w:b/>
            <w:color w:val="006666"/>
            <w:spacing w:val="-4"/>
            <w:sz w:val="22"/>
          </w:rPr>
          <w:t> </w:t>
        </w:r>
        <w:r>
          <w:rPr>
            <w:b/>
            <w:color w:val="006666"/>
            <w:sz w:val="22"/>
          </w:rPr>
          <w:t>e</w:t>
        </w:r>
        <w:r>
          <w:rPr>
            <w:b/>
            <w:color w:val="006666"/>
            <w:spacing w:val="-5"/>
            <w:sz w:val="22"/>
          </w:rPr>
          <w:t> </w:t>
        </w:r>
        <w:r>
          <w:rPr>
            <w:b/>
            <w:color w:val="006666"/>
            <w:spacing w:val="-2"/>
            <w:sz w:val="22"/>
          </w:rPr>
          <w:t>CAU/BR</w:t>
        </w:r>
        <w:r>
          <w:rPr>
            <w:b/>
            <w:color w:val="006666"/>
            <w:sz w:val="22"/>
          </w:rPr>
          <w:tab/>
        </w:r>
        <w:r>
          <w:rPr>
            <w:b/>
            <w:color w:val="006666"/>
            <w:spacing w:val="-5"/>
            <w:sz w:val="22"/>
          </w:rPr>
          <w:t>23</w:t>
        </w:r>
      </w:hyperlink>
    </w:p>
    <w:p>
      <w:pPr>
        <w:pStyle w:val="BodyText"/>
        <w:spacing w:before="2"/>
        <w:rPr>
          <w:b/>
        </w:rPr>
      </w:pPr>
    </w:p>
    <w:p>
      <w:pPr>
        <w:tabs>
          <w:tab w:pos="9533" w:val="left" w:leader="dot"/>
        </w:tabs>
        <w:spacing w:before="0"/>
        <w:ind w:left="118" w:right="0" w:firstLine="0"/>
        <w:jc w:val="left"/>
        <w:rPr>
          <w:b/>
          <w:sz w:val="22"/>
        </w:rPr>
      </w:pPr>
      <w:hyperlink w:history="true" w:anchor="_bookmark18">
        <w:r>
          <w:rPr>
            <w:b/>
            <w:color w:val="006666"/>
            <w:sz w:val="22"/>
          </w:rPr>
          <w:t>Quadro</w:t>
        </w:r>
        <w:r>
          <w:rPr>
            <w:b/>
            <w:color w:val="006666"/>
            <w:spacing w:val="-8"/>
            <w:sz w:val="22"/>
          </w:rPr>
          <w:t> </w:t>
        </w:r>
        <w:r>
          <w:rPr>
            <w:b/>
            <w:color w:val="006666"/>
            <w:sz w:val="22"/>
          </w:rPr>
          <w:t>5.1.</w:t>
        </w:r>
        <w:r>
          <w:rPr>
            <w:b/>
            <w:color w:val="006666"/>
            <w:spacing w:val="-5"/>
            <w:sz w:val="22"/>
          </w:rPr>
          <w:t> </w:t>
        </w:r>
        <w:r>
          <w:rPr>
            <w:b/>
            <w:color w:val="006666"/>
            <w:sz w:val="22"/>
          </w:rPr>
          <w:t>Aplicações</w:t>
        </w:r>
        <w:r>
          <w:rPr>
            <w:b/>
            <w:color w:val="006666"/>
            <w:spacing w:val="-6"/>
            <w:sz w:val="22"/>
          </w:rPr>
          <w:t> </w:t>
        </w:r>
        <w:r>
          <w:rPr>
            <w:b/>
            <w:color w:val="006666"/>
            <w:sz w:val="22"/>
          </w:rPr>
          <w:t>dos</w:t>
        </w:r>
        <w:r>
          <w:rPr>
            <w:b/>
            <w:color w:val="006666"/>
            <w:spacing w:val="-4"/>
            <w:sz w:val="22"/>
          </w:rPr>
          <w:t> </w:t>
        </w:r>
        <w:r>
          <w:rPr>
            <w:b/>
            <w:color w:val="006666"/>
            <w:sz w:val="22"/>
          </w:rPr>
          <w:t>Elementos</w:t>
        </w:r>
        <w:r>
          <w:rPr>
            <w:b/>
            <w:color w:val="006666"/>
            <w:spacing w:val="-4"/>
            <w:sz w:val="22"/>
          </w:rPr>
          <w:t> </w:t>
        </w:r>
        <w:r>
          <w:rPr>
            <w:b/>
            <w:color w:val="006666"/>
            <w:sz w:val="22"/>
          </w:rPr>
          <w:t>de</w:t>
        </w:r>
        <w:r>
          <w:rPr>
            <w:b/>
            <w:color w:val="006666"/>
            <w:spacing w:val="-5"/>
            <w:sz w:val="22"/>
          </w:rPr>
          <w:t> </w:t>
        </w:r>
        <w:r>
          <w:rPr>
            <w:b/>
            <w:color w:val="006666"/>
            <w:sz w:val="22"/>
          </w:rPr>
          <w:t>Despesas</w:t>
        </w:r>
        <w:r>
          <w:rPr>
            <w:b/>
            <w:color w:val="006666"/>
            <w:spacing w:val="-5"/>
            <w:sz w:val="22"/>
          </w:rPr>
          <w:t> </w:t>
        </w:r>
        <w:r>
          <w:rPr>
            <w:b/>
            <w:color w:val="006666"/>
            <w:sz w:val="22"/>
          </w:rPr>
          <w:t>dos</w:t>
        </w:r>
        <w:r>
          <w:rPr>
            <w:b/>
            <w:color w:val="006666"/>
            <w:spacing w:val="1"/>
            <w:sz w:val="22"/>
          </w:rPr>
          <w:t> </w:t>
        </w:r>
        <w:r>
          <w:rPr>
            <w:b/>
            <w:color w:val="006666"/>
            <w:sz w:val="22"/>
          </w:rPr>
          <w:t>CAU/UF</w:t>
        </w:r>
        <w:r>
          <w:rPr>
            <w:b/>
            <w:color w:val="006666"/>
            <w:spacing w:val="-5"/>
            <w:sz w:val="22"/>
          </w:rPr>
          <w:t> </w:t>
        </w:r>
        <w:r>
          <w:rPr>
            <w:b/>
            <w:color w:val="006666"/>
            <w:sz w:val="22"/>
          </w:rPr>
          <w:t>por</w:t>
        </w:r>
        <w:r>
          <w:rPr>
            <w:b/>
            <w:color w:val="006666"/>
            <w:spacing w:val="-6"/>
            <w:sz w:val="22"/>
          </w:rPr>
          <w:t> </w:t>
        </w:r>
        <w:r>
          <w:rPr>
            <w:b/>
            <w:color w:val="006666"/>
            <w:spacing w:val="-2"/>
            <w:sz w:val="22"/>
          </w:rPr>
          <w:t>Região</w:t>
        </w:r>
        <w:r>
          <w:rPr>
            <w:b/>
            <w:color w:val="006666"/>
            <w:sz w:val="22"/>
          </w:rPr>
          <w:tab/>
        </w:r>
        <w:r>
          <w:rPr>
            <w:b/>
            <w:color w:val="006666"/>
            <w:spacing w:val="-5"/>
            <w:sz w:val="22"/>
          </w:rPr>
          <w:t>24</w:t>
        </w:r>
      </w:hyperlink>
    </w:p>
    <w:p>
      <w:pPr>
        <w:pStyle w:val="BodyText"/>
        <w:rPr>
          <w:b/>
        </w:rPr>
      </w:pPr>
    </w:p>
    <w:p>
      <w:pPr>
        <w:tabs>
          <w:tab w:pos="9634" w:val="left" w:leader="none"/>
        </w:tabs>
        <w:spacing w:before="1"/>
        <w:ind w:left="118" w:right="0" w:firstLine="0"/>
        <w:jc w:val="left"/>
        <w:rPr>
          <w:b/>
          <w:sz w:val="22"/>
        </w:rPr>
      </w:pPr>
      <w:hyperlink w:history="true" w:anchor="_bookmark4">
        <w:r>
          <w:rPr>
            <w:b/>
            <w:color w:val="006666"/>
            <w:sz w:val="22"/>
          </w:rPr>
          <w:t>Gráfico</w:t>
        </w:r>
        <w:r>
          <w:rPr>
            <w:b/>
            <w:color w:val="006666"/>
            <w:spacing w:val="75"/>
            <w:w w:val="150"/>
            <w:sz w:val="22"/>
          </w:rPr>
          <w:t> </w:t>
        </w:r>
        <w:r>
          <w:rPr>
            <w:b/>
            <w:color w:val="006666"/>
            <w:sz w:val="22"/>
          </w:rPr>
          <w:t>1.</w:t>
        </w:r>
        <w:r>
          <w:rPr>
            <w:b/>
            <w:color w:val="006666"/>
            <w:spacing w:val="78"/>
            <w:w w:val="150"/>
            <w:sz w:val="22"/>
          </w:rPr>
          <w:t> </w:t>
        </w:r>
        <w:r>
          <w:rPr>
            <w:b/>
            <w:color w:val="006666"/>
            <w:sz w:val="22"/>
          </w:rPr>
          <w:t>Demonstrativo</w:t>
        </w:r>
        <w:r>
          <w:rPr>
            <w:b/>
            <w:color w:val="006666"/>
            <w:spacing w:val="76"/>
            <w:w w:val="150"/>
            <w:sz w:val="22"/>
          </w:rPr>
          <w:t> </w:t>
        </w:r>
        <w:r>
          <w:rPr>
            <w:b/>
            <w:color w:val="006666"/>
            <w:sz w:val="22"/>
          </w:rPr>
          <w:t>Comparativo</w:t>
        </w:r>
        <w:r>
          <w:rPr>
            <w:b/>
            <w:color w:val="006666"/>
            <w:spacing w:val="76"/>
            <w:w w:val="150"/>
            <w:sz w:val="22"/>
          </w:rPr>
          <w:t> </w:t>
        </w:r>
        <w:r>
          <w:rPr>
            <w:b/>
            <w:color w:val="006666"/>
            <w:sz w:val="22"/>
          </w:rPr>
          <w:t>de</w:t>
        </w:r>
        <w:r>
          <w:rPr>
            <w:b/>
            <w:color w:val="006666"/>
            <w:spacing w:val="77"/>
            <w:w w:val="150"/>
            <w:sz w:val="22"/>
          </w:rPr>
          <w:t> </w:t>
        </w:r>
        <w:r>
          <w:rPr>
            <w:b/>
            <w:color w:val="006666"/>
            <w:sz w:val="22"/>
          </w:rPr>
          <w:t>Fontes</w:t>
        </w:r>
        <w:r>
          <w:rPr>
            <w:b/>
            <w:color w:val="006666"/>
            <w:spacing w:val="78"/>
            <w:w w:val="150"/>
            <w:sz w:val="22"/>
          </w:rPr>
          <w:t> </w:t>
        </w:r>
        <w:r>
          <w:rPr>
            <w:b/>
            <w:color w:val="006666"/>
            <w:sz w:val="22"/>
          </w:rPr>
          <w:t>de</w:t>
        </w:r>
        <w:r>
          <w:rPr>
            <w:b/>
            <w:color w:val="006666"/>
            <w:spacing w:val="77"/>
            <w:w w:val="150"/>
            <w:sz w:val="22"/>
          </w:rPr>
          <w:t> </w:t>
        </w:r>
        <w:r>
          <w:rPr>
            <w:b/>
            <w:color w:val="006666"/>
            <w:sz w:val="22"/>
          </w:rPr>
          <w:t>Recursos</w:t>
        </w:r>
        <w:r>
          <w:rPr>
            <w:b/>
            <w:color w:val="006666"/>
            <w:spacing w:val="78"/>
            <w:w w:val="150"/>
            <w:sz w:val="22"/>
          </w:rPr>
          <w:t> </w:t>
        </w:r>
        <w:r>
          <w:rPr>
            <w:b/>
            <w:color w:val="006666"/>
            <w:sz w:val="22"/>
          </w:rPr>
          <w:t>do</w:t>
        </w:r>
        <w:r>
          <w:rPr>
            <w:b/>
            <w:color w:val="006666"/>
            <w:spacing w:val="75"/>
            <w:w w:val="150"/>
            <w:sz w:val="22"/>
          </w:rPr>
          <w:t> </w:t>
        </w:r>
        <w:r>
          <w:rPr>
            <w:b/>
            <w:color w:val="006666"/>
            <w:sz w:val="22"/>
          </w:rPr>
          <w:t>CAU</w:t>
        </w:r>
        <w:r>
          <w:rPr>
            <w:b/>
            <w:color w:val="006666"/>
            <w:spacing w:val="29"/>
            <w:sz w:val="22"/>
          </w:rPr>
          <w:t>  </w:t>
        </w:r>
        <w:r>
          <w:rPr>
            <w:b/>
            <w:color w:val="006666"/>
            <w:sz w:val="22"/>
          </w:rPr>
          <w:t>(Programação</w:t>
        </w:r>
        <w:r>
          <w:rPr>
            <w:b/>
            <w:color w:val="006666"/>
            <w:spacing w:val="77"/>
            <w:w w:val="150"/>
            <w:sz w:val="22"/>
          </w:rPr>
          <w:t> </w:t>
        </w:r>
        <w:r>
          <w:rPr>
            <w:b/>
            <w:color w:val="006666"/>
            <w:spacing w:val="-4"/>
            <w:sz w:val="22"/>
          </w:rPr>
          <w:t>2020</w:t>
        </w:r>
        <w:r>
          <w:rPr>
            <w:b/>
            <w:color w:val="006666"/>
            <w:sz w:val="22"/>
          </w:rPr>
          <w:tab/>
        </w:r>
        <w:r>
          <w:rPr>
            <w:b/>
            <w:color w:val="006666"/>
            <w:spacing w:val="-10"/>
            <w:sz w:val="22"/>
          </w:rPr>
          <w:t>X</w:t>
        </w:r>
      </w:hyperlink>
    </w:p>
    <w:p>
      <w:pPr>
        <w:tabs>
          <w:tab w:pos="9533" w:val="left" w:leader="dot"/>
        </w:tabs>
        <w:spacing w:before="134"/>
        <w:ind w:left="118" w:right="0" w:firstLine="0"/>
        <w:jc w:val="left"/>
        <w:rPr>
          <w:b/>
          <w:sz w:val="22"/>
        </w:rPr>
      </w:pPr>
      <w:hyperlink w:history="true" w:anchor="_bookmark4">
        <w:r>
          <w:rPr>
            <w:b/>
            <w:color w:val="006666"/>
            <w:spacing w:val="-2"/>
            <w:sz w:val="22"/>
          </w:rPr>
          <w:t>Reprogramação</w:t>
        </w:r>
        <w:r>
          <w:rPr>
            <w:b/>
            <w:color w:val="006666"/>
            <w:spacing w:val="11"/>
            <w:sz w:val="22"/>
          </w:rPr>
          <w:t> </w:t>
        </w:r>
        <w:r>
          <w:rPr>
            <w:b/>
            <w:color w:val="006666"/>
            <w:spacing w:val="-2"/>
            <w:sz w:val="22"/>
          </w:rPr>
          <w:t>2020)</w:t>
        </w:r>
        <w:r>
          <w:rPr>
            <w:b/>
            <w:color w:val="006666"/>
            <w:sz w:val="22"/>
          </w:rPr>
          <w:tab/>
        </w:r>
        <w:r>
          <w:rPr>
            <w:b/>
            <w:color w:val="006666"/>
            <w:spacing w:val="-5"/>
            <w:sz w:val="22"/>
          </w:rPr>
          <w:t>11</w:t>
        </w:r>
      </w:hyperlink>
    </w:p>
    <w:p>
      <w:pPr>
        <w:spacing w:line="564" w:lineRule="exact" w:before="52"/>
        <w:ind w:left="118" w:right="0" w:firstLine="0"/>
        <w:jc w:val="left"/>
        <w:rPr>
          <w:b/>
          <w:sz w:val="22"/>
        </w:rPr>
      </w:pPr>
      <w:hyperlink w:history="true" w:anchor="_bookmark6">
        <w:r>
          <w:rPr>
            <w:b/>
            <w:color w:val="006666"/>
            <w:sz w:val="22"/>
          </w:rPr>
          <w:t>Gráfico</w:t>
        </w:r>
        <w:r>
          <w:rPr>
            <w:b/>
            <w:color w:val="006666"/>
            <w:spacing w:val="-3"/>
            <w:sz w:val="22"/>
          </w:rPr>
          <w:t> </w:t>
        </w:r>
        <w:r>
          <w:rPr>
            <w:b/>
            <w:color w:val="006666"/>
            <w:sz w:val="22"/>
          </w:rPr>
          <w:t>2.</w:t>
        </w:r>
        <w:r>
          <w:rPr>
            <w:b/>
            <w:color w:val="006666"/>
            <w:spacing w:val="-2"/>
            <w:sz w:val="22"/>
          </w:rPr>
          <w:t> </w:t>
        </w:r>
        <w:r>
          <w:rPr>
            <w:b/>
            <w:color w:val="006666"/>
            <w:sz w:val="22"/>
          </w:rPr>
          <w:t>Composição</w:t>
        </w:r>
        <w:r>
          <w:rPr>
            <w:b/>
            <w:color w:val="006666"/>
            <w:spacing w:val="-2"/>
            <w:sz w:val="22"/>
          </w:rPr>
          <w:t> </w:t>
        </w:r>
        <w:r>
          <w:rPr>
            <w:b/>
            <w:color w:val="006666"/>
            <w:sz w:val="22"/>
          </w:rPr>
          <w:t>da Origem</w:t>
        </w:r>
        <w:r>
          <w:rPr>
            <w:b/>
            <w:color w:val="006666"/>
            <w:spacing w:val="-1"/>
            <w:sz w:val="22"/>
          </w:rPr>
          <w:t> </w:t>
        </w:r>
        <w:r>
          <w:rPr>
            <w:b/>
            <w:color w:val="006666"/>
            <w:sz w:val="22"/>
          </w:rPr>
          <w:t>de</w:t>
        </w:r>
        <w:r>
          <w:rPr>
            <w:b/>
            <w:color w:val="006666"/>
            <w:spacing w:val="-2"/>
            <w:sz w:val="22"/>
          </w:rPr>
          <w:t> </w:t>
        </w:r>
        <w:r>
          <w:rPr>
            <w:b/>
            <w:color w:val="006666"/>
            <w:sz w:val="22"/>
          </w:rPr>
          <w:t>Recursos</w:t>
        </w:r>
        <w:r>
          <w:rPr>
            <w:b/>
            <w:color w:val="006666"/>
            <w:spacing w:val="-1"/>
            <w:sz w:val="22"/>
          </w:rPr>
          <w:t> </w:t>
        </w:r>
        <w:r>
          <w:rPr>
            <w:b/>
            <w:color w:val="006666"/>
            <w:sz w:val="22"/>
          </w:rPr>
          <w:t>do</w:t>
        </w:r>
        <w:r>
          <w:rPr>
            <w:b/>
            <w:color w:val="006666"/>
            <w:spacing w:val="-3"/>
            <w:sz w:val="22"/>
          </w:rPr>
          <w:t> </w:t>
        </w:r>
        <w:r>
          <w:rPr>
            <w:b/>
            <w:color w:val="006666"/>
            <w:sz w:val="22"/>
          </w:rPr>
          <w:t>CAU/BR</w:t>
        </w:r>
        <w:r>
          <w:rPr>
            <w:b/>
            <w:color w:val="006666"/>
            <w:spacing w:val="-1"/>
            <w:sz w:val="22"/>
          </w:rPr>
          <w:t> </w:t>
        </w:r>
        <w:r>
          <w:rPr>
            <w:b/>
            <w:color w:val="006666"/>
            <w:sz w:val="22"/>
          </w:rPr>
          <w:t>(Programação</w:t>
        </w:r>
        <w:r>
          <w:rPr>
            <w:b/>
            <w:color w:val="006666"/>
            <w:spacing w:val="-4"/>
            <w:sz w:val="22"/>
          </w:rPr>
          <w:t> </w:t>
        </w:r>
        <w:r>
          <w:rPr>
            <w:b/>
            <w:color w:val="006666"/>
            <w:sz w:val="22"/>
          </w:rPr>
          <w:t>2020</w:t>
        </w:r>
        <w:r>
          <w:rPr>
            <w:b/>
            <w:color w:val="006666"/>
            <w:spacing w:val="-3"/>
            <w:sz w:val="22"/>
          </w:rPr>
          <w:t> </w:t>
        </w:r>
        <w:r>
          <w:rPr>
            <w:b/>
            <w:color w:val="006666"/>
            <w:sz w:val="22"/>
          </w:rPr>
          <w:t>X</w:t>
        </w:r>
        <w:r>
          <w:rPr>
            <w:b/>
            <w:color w:val="006666"/>
            <w:spacing w:val="-1"/>
            <w:sz w:val="22"/>
          </w:rPr>
          <w:t> </w:t>
        </w:r>
        <w:r>
          <w:rPr>
            <w:b/>
            <w:color w:val="006666"/>
            <w:sz w:val="22"/>
          </w:rPr>
          <w:t>Reprogramação</w:t>
        </w:r>
        <w:r>
          <w:rPr>
            <w:b/>
            <w:color w:val="006666"/>
            <w:spacing w:val="-4"/>
            <w:sz w:val="22"/>
          </w:rPr>
          <w:t> </w:t>
        </w:r>
        <w:r>
          <w:rPr>
            <w:b/>
            <w:color w:val="006666"/>
            <w:sz w:val="22"/>
          </w:rPr>
          <w:t>2020).</w:t>
        </w:r>
        <w:r>
          <w:rPr>
            <w:b/>
            <w:color w:val="006666"/>
            <w:spacing w:val="-18"/>
            <w:sz w:val="22"/>
          </w:rPr>
          <w:t> </w:t>
        </w:r>
        <w:r>
          <w:rPr>
            <w:b/>
            <w:color w:val="006666"/>
            <w:sz w:val="22"/>
          </w:rPr>
          <w:t>12</w:t>
        </w:r>
      </w:hyperlink>
      <w:r>
        <w:rPr>
          <w:b/>
          <w:color w:val="006666"/>
          <w:sz w:val="22"/>
        </w:rPr>
        <w:t> </w:t>
      </w:r>
      <w:hyperlink w:history="true" w:anchor="_bookmark8">
        <w:r>
          <w:rPr>
            <w:b/>
            <w:color w:val="006666"/>
            <w:sz w:val="22"/>
          </w:rPr>
          <w:t>Gráfico</w:t>
        </w:r>
        <w:r>
          <w:rPr>
            <w:b/>
            <w:color w:val="006666"/>
            <w:spacing w:val="-13"/>
            <w:sz w:val="22"/>
          </w:rPr>
          <w:t> </w:t>
        </w:r>
        <w:r>
          <w:rPr>
            <w:b/>
            <w:color w:val="006666"/>
            <w:sz w:val="22"/>
          </w:rPr>
          <w:t>3.</w:t>
        </w:r>
        <w:r>
          <w:rPr>
            <w:b/>
            <w:color w:val="006666"/>
            <w:spacing w:val="-11"/>
            <w:sz w:val="22"/>
          </w:rPr>
          <w:t> </w:t>
        </w:r>
        <w:r>
          <w:rPr>
            <w:b/>
            <w:color w:val="006666"/>
            <w:sz w:val="22"/>
          </w:rPr>
          <w:t>Demonstrativo</w:t>
        </w:r>
        <w:r>
          <w:rPr>
            <w:b/>
            <w:color w:val="006666"/>
            <w:spacing w:val="-11"/>
            <w:sz w:val="22"/>
          </w:rPr>
          <w:t> </w:t>
        </w:r>
        <w:r>
          <w:rPr>
            <w:b/>
            <w:color w:val="006666"/>
            <w:sz w:val="22"/>
          </w:rPr>
          <w:t>Comparativo</w:t>
        </w:r>
        <w:r>
          <w:rPr>
            <w:b/>
            <w:color w:val="006666"/>
            <w:spacing w:val="-11"/>
            <w:sz w:val="22"/>
          </w:rPr>
          <w:t> </w:t>
        </w:r>
        <w:r>
          <w:rPr>
            <w:b/>
            <w:color w:val="006666"/>
            <w:sz w:val="22"/>
          </w:rPr>
          <w:t>de</w:t>
        </w:r>
        <w:r>
          <w:rPr>
            <w:b/>
            <w:color w:val="006666"/>
            <w:spacing w:val="-10"/>
            <w:sz w:val="22"/>
          </w:rPr>
          <w:t> </w:t>
        </w:r>
        <w:r>
          <w:rPr>
            <w:b/>
            <w:color w:val="006666"/>
            <w:sz w:val="22"/>
          </w:rPr>
          <w:t>Fontes</w:t>
        </w:r>
        <w:r>
          <w:rPr>
            <w:b/>
            <w:color w:val="006666"/>
            <w:spacing w:val="-9"/>
            <w:sz w:val="22"/>
          </w:rPr>
          <w:t> </w:t>
        </w:r>
        <w:r>
          <w:rPr>
            <w:b/>
            <w:color w:val="006666"/>
            <w:sz w:val="22"/>
          </w:rPr>
          <w:t>dos</w:t>
        </w:r>
        <w:r>
          <w:rPr>
            <w:b/>
            <w:color w:val="006666"/>
            <w:spacing w:val="-9"/>
            <w:sz w:val="22"/>
          </w:rPr>
          <w:t> </w:t>
        </w:r>
        <w:r>
          <w:rPr>
            <w:b/>
            <w:color w:val="006666"/>
            <w:sz w:val="22"/>
          </w:rPr>
          <w:t>CAU/UF</w:t>
        </w:r>
        <w:r>
          <w:rPr>
            <w:b/>
            <w:color w:val="006666"/>
            <w:spacing w:val="-10"/>
            <w:sz w:val="22"/>
          </w:rPr>
          <w:t> </w:t>
        </w:r>
        <w:r>
          <w:rPr>
            <w:b/>
            <w:color w:val="006666"/>
            <w:sz w:val="22"/>
          </w:rPr>
          <w:t>(Programação</w:t>
        </w:r>
        <w:r>
          <w:rPr>
            <w:b/>
            <w:color w:val="006666"/>
            <w:spacing w:val="-11"/>
            <w:sz w:val="22"/>
          </w:rPr>
          <w:t> </w:t>
        </w:r>
        <w:r>
          <w:rPr>
            <w:b/>
            <w:color w:val="006666"/>
            <w:sz w:val="22"/>
          </w:rPr>
          <w:t>2020</w:t>
        </w:r>
        <w:r>
          <w:rPr>
            <w:b/>
            <w:color w:val="006666"/>
            <w:spacing w:val="-9"/>
            <w:sz w:val="22"/>
          </w:rPr>
          <w:t> </w:t>
        </w:r>
        <w:r>
          <w:rPr>
            <w:b/>
            <w:color w:val="006666"/>
            <w:sz w:val="22"/>
          </w:rPr>
          <w:t>X</w:t>
        </w:r>
        <w:r>
          <w:rPr>
            <w:b/>
            <w:color w:val="006666"/>
            <w:spacing w:val="-10"/>
            <w:sz w:val="22"/>
          </w:rPr>
          <w:t> </w:t>
        </w:r>
        <w:r>
          <w:rPr>
            <w:b/>
            <w:color w:val="006666"/>
            <w:sz w:val="22"/>
          </w:rPr>
          <w:t>Reprogramação</w:t>
        </w:r>
        <w:r>
          <w:rPr>
            <w:b/>
            <w:color w:val="006666"/>
            <w:spacing w:val="-10"/>
            <w:sz w:val="22"/>
          </w:rPr>
          <w:t> </w:t>
        </w:r>
        <w:r>
          <w:rPr>
            <w:b/>
            <w:color w:val="006666"/>
            <w:spacing w:val="-2"/>
            <w:sz w:val="22"/>
          </w:rPr>
          <w:t>2020)</w:t>
        </w:r>
      </w:hyperlink>
    </w:p>
    <w:p>
      <w:pPr>
        <w:tabs>
          <w:tab w:pos="9533" w:val="left" w:leader="dot"/>
        </w:tabs>
        <w:spacing w:before="80"/>
        <w:ind w:left="140" w:right="0" w:firstLine="0"/>
        <w:jc w:val="left"/>
        <w:rPr>
          <w:b/>
          <w:sz w:val="22"/>
        </w:rPr>
      </w:pPr>
      <w:hyperlink w:history="true" w:anchor="_bookmark8">
        <w:r>
          <w:rPr>
            <w:b/>
            <w:color w:val="006666"/>
            <w:spacing w:val="-10"/>
            <w:sz w:val="22"/>
          </w:rPr>
          <w:t>.</w:t>
        </w:r>
        <w:r>
          <w:rPr>
            <w:b/>
            <w:color w:val="006666"/>
            <w:sz w:val="22"/>
          </w:rPr>
          <w:tab/>
        </w:r>
        <w:r>
          <w:rPr>
            <w:b/>
            <w:color w:val="006666"/>
            <w:spacing w:val="-5"/>
            <w:sz w:val="22"/>
          </w:rPr>
          <w:t>13</w:t>
        </w:r>
      </w:hyperlink>
    </w:p>
    <w:p>
      <w:pPr>
        <w:pStyle w:val="BodyText"/>
        <w:rPr>
          <w:b/>
        </w:rPr>
      </w:pPr>
    </w:p>
    <w:p>
      <w:pPr>
        <w:tabs>
          <w:tab w:pos="9533" w:val="left" w:leader="dot"/>
        </w:tabs>
        <w:spacing w:line="360" w:lineRule="auto" w:before="1"/>
        <w:ind w:left="118" w:right="145" w:firstLine="0"/>
        <w:jc w:val="left"/>
        <w:rPr>
          <w:b/>
          <w:sz w:val="22"/>
        </w:rPr>
      </w:pPr>
      <w:hyperlink w:history="true" w:anchor="_bookmark11">
        <w:r>
          <w:rPr>
            <w:b/>
            <w:color w:val="006666"/>
            <w:sz w:val="22"/>
          </w:rPr>
          <w:t>Gráfico 4. Demonstrativo Comparativo dos Recursos dos CAU/UF (Programação 2020 X Reprogramação</w:t>
        </w:r>
      </w:hyperlink>
      <w:r>
        <w:rPr>
          <w:b/>
          <w:color w:val="006666"/>
          <w:sz w:val="22"/>
        </w:rPr>
        <w:t> </w:t>
      </w:r>
      <w:hyperlink w:history="true" w:anchor="_bookmark11">
        <w:r>
          <w:rPr>
            <w:b/>
            <w:color w:val="006666"/>
            <w:spacing w:val="-2"/>
            <w:sz w:val="22"/>
          </w:rPr>
          <w:t>2020)</w:t>
        </w:r>
        <w:r>
          <w:rPr>
            <w:b/>
            <w:color w:val="006666"/>
            <w:sz w:val="22"/>
          </w:rPr>
          <w:tab/>
        </w:r>
        <w:r>
          <w:rPr>
            <w:b/>
            <w:color w:val="006666"/>
            <w:spacing w:val="-5"/>
            <w:sz w:val="22"/>
          </w:rPr>
          <w:t>16</w:t>
        </w:r>
      </w:hyperlink>
    </w:p>
    <w:p>
      <w:pPr>
        <w:spacing w:after="0" w:line="360" w:lineRule="auto"/>
        <w:jc w:val="left"/>
        <w:rPr>
          <w:sz w:val="22"/>
        </w:rPr>
        <w:sectPr>
          <w:pgSz w:w="11910" w:h="16840"/>
          <w:pgMar w:header="689" w:footer="261" w:top="1580" w:bottom="460" w:left="1300" w:right="700"/>
        </w:sectPr>
      </w:pPr>
    </w:p>
    <w:p>
      <w:pPr>
        <w:pStyle w:val="Heading3"/>
        <w:ind w:left="970" w:firstLine="0"/>
      </w:pPr>
      <w:bookmarkStart w:name="_bookmark1" w:id="2"/>
      <w:bookmarkEnd w:id="2"/>
      <w:r>
        <w:rPr>
          <w:b w:val="0"/>
        </w:rPr>
      </w:r>
      <w:r>
        <w:rPr>
          <w:color w:val="006666"/>
          <w:spacing w:val="-2"/>
        </w:rPr>
        <w:t>INTRODUÇÃO</w:t>
      </w:r>
    </w:p>
    <w:p>
      <w:pPr>
        <w:pStyle w:val="BodyText"/>
        <w:rPr>
          <w:b/>
          <w:sz w:val="27"/>
        </w:rPr>
      </w:pPr>
    </w:p>
    <w:p>
      <w:pPr>
        <w:pStyle w:val="BodyText"/>
        <w:spacing w:line="360" w:lineRule="auto"/>
        <w:ind w:left="118" w:right="149" w:firstLine="851"/>
        <w:jc w:val="both"/>
      </w:pPr>
      <w:r>
        <w:rPr/>
        <w:t>O</w:t>
      </w:r>
      <w:r>
        <w:rPr>
          <w:spacing w:val="-5"/>
        </w:rPr>
        <w:t> </w:t>
      </w:r>
      <w:r>
        <w:rPr/>
        <w:t>processo</w:t>
      </w:r>
      <w:r>
        <w:rPr>
          <w:spacing w:val="-3"/>
        </w:rPr>
        <w:t> </w:t>
      </w:r>
      <w:r>
        <w:rPr/>
        <w:t>de</w:t>
      </w:r>
      <w:r>
        <w:rPr>
          <w:spacing w:val="-3"/>
        </w:rPr>
        <w:t> </w:t>
      </w:r>
      <w:r>
        <w:rPr/>
        <w:t>planejamento</w:t>
      </w:r>
      <w:r>
        <w:rPr>
          <w:spacing w:val="-3"/>
        </w:rPr>
        <w:t> </w:t>
      </w:r>
      <w:r>
        <w:rPr/>
        <w:t>caracteriza-se</w:t>
      </w:r>
      <w:r>
        <w:rPr>
          <w:spacing w:val="-3"/>
        </w:rPr>
        <w:t> </w:t>
      </w:r>
      <w:r>
        <w:rPr/>
        <w:t>como</w:t>
      </w:r>
      <w:r>
        <w:rPr>
          <w:spacing w:val="-3"/>
        </w:rPr>
        <w:t> </w:t>
      </w:r>
      <w:r>
        <w:rPr/>
        <w:t>uma</w:t>
      </w:r>
      <w:r>
        <w:rPr>
          <w:spacing w:val="-3"/>
        </w:rPr>
        <w:t> </w:t>
      </w:r>
      <w:r>
        <w:rPr/>
        <w:t>atividade</w:t>
      </w:r>
      <w:r>
        <w:rPr>
          <w:spacing w:val="-3"/>
        </w:rPr>
        <w:t> </w:t>
      </w:r>
      <w:r>
        <w:rPr/>
        <w:t>contínua</w:t>
      </w:r>
      <w:r>
        <w:rPr>
          <w:spacing w:val="-4"/>
        </w:rPr>
        <w:t> </w:t>
      </w:r>
      <w:r>
        <w:rPr/>
        <w:t>e</w:t>
      </w:r>
      <w:r>
        <w:rPr>
          <w:spacing w:val="-3"/>
        </w:rPr>
        <w:t> </w:t>
      </w:r>
      <w:r>
        <w:rPr/>
        <w:t>sistematizada, que objetiva implementar as prioridades, políticas e estratégias definidas para o Conselho, e sistematizadas no Planejamento Estratégico do CAU 2023.</w:t>
      </w:r>
    </w:p>
    <w:p>
      <w:pPr>
        <w:pStyle w:val="BodyText"/>
        <w:spacing w:line="360" w:lineRule="auto" w:before="160"/>
        <w:ind w:left="118" w:right="146" w:firstLine="851"/>
        <w:jc w:val="both"/>
      </w:pPr>
      <w:r>
        <w:rPr/>
        <w:t>Considerando que o planejamento estratégico é com visão de longo prazo, a Reprogramação Anual objetiva avaliar e aprimorar o processo de gestão da estratégia do CAU, estabelecendo uma relação mais direta entre os objetivos estratégicos, as metas do Conselho e os projetos prioritários.</w:t>
      </w:r>
    </w:p>
    <w:p>
      <w:pPr>
        <w:spacing w:line="360" w:lineRule="auto" w:before="161"/>
        <w:ind w:left="118" w:right="145" w:firstLine="851"/>
        <w:jc w:val="both"/>
        <w:rPr>
          <w:b/>
          <w:i/>
          <w:sz w:val="24"/>
        </w:rPr>
      </w:pPr>
      <w:r>
        <w:rPr>
          <w:b/>
          <w:i/>
          <w:sz w:val="24"/>
        </w:rPr>
        <w:t>O Reprogramação do Plano de Ação do CAU para 2020, visando ao desenvolvimento e</w:t>
      </w:r>
      <w:r>
        <w:rPr>
          <w:b/>
          <w:i/>
          <w:sz w:val="24"/>
        </w:rPr>
        <w:t> fortalecimento</w:t>
      </w:r>
      <w:r>
        <w:rPr>
          <w:b/>
          <w:i/>
          <w:spacing w:val="-14"/>
          <w:sz w:val="24"/>
        </w:rPr>
        <w:t> </w:t>
      </w:r>
      <w:r>
        <w:rPr>
          <w:b/>
          <w:i/>
          <w:sz w:val="24"/>
        </w:rPr>
        <w:t>da</w:t>
      </w:r>
      <w:r>
        <w:rPr>
          <w:b/>
          <w:i/>
          <w:spacing w:val="-14"/>
          <w:sz w:val="24"/>
        </w:rPr>
        <w:t> </w:t>
      </w:r>
      <w:r>
        <w:rPr>
          <w:b/>
          <w:i/>
          <w:sz w:val="24"/>
        </w:rPr>
        <w:t>arquitetura</w:t>
      </w:r>
      <w:r>
        <w:rPr>
          <w:b/>
          <w:i/>
          <w:spacing w:val="-13"/>
          <w:sz w:val="24"/>
        </w:rPr>
        <w:t> </w:t>
      </w:r>
      <w:r>
        <w:rPr>
          <w:b/>
          <w:i/>
          <w:sz w:val="24"/>
        </w:rPr>
        <w:t>e</w:t>
      </w:r>
      <w:r>
        <w:rPr>
          <w:b/>
          <w:i/>
          <w:spacing w:val="-14"/>
          <w:sz w:val="24"/>
        </w:rPr>
        <w:t> </w:t>
      </w:r>
      <w:r>
        <w:rPr>
          <w:b/>
          <w:i/>
          <w:sz w:val="24"/>
        </w:rPr>
        <w:t>urbanismo</w:t>
      </w:r>
      <w:r>
        <w:rPr>
          <w:b/>
          <w:i/>
          <w:spacing w:val="-13"/>
          <w:sz w:val="24"/>
        </w:rPr>
        <w:t> </w:t>
      </w:r>
      <w:r>
        <w:rPr>
          <w:b/>
          <w:i/>
          <w:sz w:val="24"/>
        </w:rPr>
        <w:t>e</w:t>
      </w:r>
      <w:r>
        <w:rPr>
          <w:b/>
          <w:i/>
          <w:spacing w:val="-14"/>
          <w:sz w:val="24"/>
        </w:rPr>
        <w:t> </w:t>
      </w:r>
      <w:r>
        <w:rPr>
          <w:b/>
          <w:i/>
          <w:sz w:val="24"/>
        </w:rPr>
        <w:t>da</w:t>
      </w:r>
      <w:r>
        <w:rPr>
          <w:b/>
          <w:i/>
          <w:spacing w:val="-13"/>
          <w:sz w:val="24"/>
        </w:rPr>
        <w:t> </w:t>
      </w:r>
      <w:r>
        <w:rPr>
          <w:b/>
          <w:i/>
          <w:sz w:val="24"/>
        </w:rPr>
        <w:t>profissão,</w:t>
      </w:r>
      <w:r>
        <w:rPr>
          <w:b/>
          <w:i/>
          <w:spacing w:val="-14"/>
          <w:sz w:val="24"/>
        </w:rPr>
        <w:t> </w:t>
      </w:r>
      <w:r>
        <w:rPr>
          <w:b/>
          <w:i/>
          <w:sz w:val="24"/>
        </w:rPr>
        <w:t>orienta-se</w:t>
      </w:r>
      <w:r>
        <w:rPr>
          <w:b/>
          <w:i/>
          <w:spacing w:val="-14"/>
          <w:sz w:val="24"/>
        </w:rPr>
        <w:t> </w:t>
      </w:r>
      <w:r>
        <w:rPr>
          <w:b/>
          <w:i/>
          <w:sz w:val="24"/>
        </w:rPr>
        <w:t>pela</w:t>
      </w:r>
      <w:r>
        <w:rPr>
          <w:b/>
          <w:i/>
          <w:spacing w:val="-13"/>
          <w:sz w:val="24"/>
        </w:rPr>
        <w:t> </w:t>
      </w:r>
      <w:r>
        <w:rPr>
          <w:b/>
          <w:i/>
          <w:sz w:val="24"/>
        </w:rPr>
        <w:t>missão</w:t>
      </w:r>
      <w:r>
        <w:rPr>
          <w:b/>
          <w:i/>
          <w:spacing w:val="-14"/>
          <w:sz w:val="24"/>
        </w:rPr>
        <w:t> </w:t>
      </w:r>
      <w:r>
        <w:rPr>
          <w:b/>
          <w:i/>
          <w:sz w:val="24"/>
        </w:rPr>
        <w:t>do</w:t>
      </w:r>
      <w:r>
        <w:rPr>
          <w:b/>
          <w:i/>
          <w:spacing w:val="-13"/>
          <w:sz w:val="24"/>
        </w:rPr>
        <w:t> </w:t>
      </w:r>
      <w:r>
        <w:rPr>
          <w:b/>
          <w:i/>
          <w:sz w:val="24"/>
        </w:rPr>
        <w:t>CAU,</w:t>
      </w:r>
      <w:r>
        <w:rPr>
          <w:b/>
          <w:i/>
          <w:spacing w:val="-14"/>
          <w:sz w:val="24"/>
        </w:rPr>
        <w:t> </w:t>
      </w:r>
      <w:r>
        <w:rPr>
          <w:b/>
          <w:i/>
          <w:sz w:val="24"/>
        </w:rPr>
        <w:t>definida no Planejamento Estratégico 2023, de “Promover a Arquitetura e Urbanismo para Todos”; e por sua visão de futuro, de “Ser reconhecido como referência na defesa e fomento das boas práticas da Arquitetura e Urbanismo”.</w:t>
      </w:r>
    </w:p>
    <w:p>
      <w:pPr>
        <w:pStyle w:val="BodyText"/>
        <w:spacing w:line="360" w:lineRule="auto" w:before="160"/>
        <w:ind w:left="118" w:right="147" w:firstLine="851"/>
        <w:jc w:val="both"/>
      </w:pPr>
      <w:r>
        <w:rPr/>
        <w:t>A Reprogramação do Plano de Ação do CAU para 2020 teve por objetivo viabilizar os procedimentos</w:t>
      </w:r>
      <w:r>
        <w:rPr>
          <w:spacing w:val="-2"/>
        </w:rPr>
        <w:t> </w:t>
      </w:r>
      <w:r>
        <w:rPr/>
        <w:t>necessários</w:t>
      </w:r>
      <w:r>
        <w:rPr>
          <w:spacing w:val="-2"/>
        </w:rPr>
        <w:t> </w:t>
      </w:r>
      <w:r>
        <w:rPr/>
        <w:t>às</w:t>
      </w:r>
      <w:r>
        <w:rPr>
          <w:spacing w:val="-3"/>
        </w:rPr>
        <w:t> </w:t>
      </w:r>
      <w:r>
        <w:rPr/>
        <w:t>adequações</w:t>
      </w:r>
      <w:r>
        <w:rPr>
          <w:spacing w:val="-2"/>
        </w:rPr>
        <w:t> </w:t>
      </w:r>
      <w:r>
        <w:rPr/>
        <w:t>no</w:t>
      </w:r>
      <w:r>
        <w:rPr>
          <w:spacing w:val="-5"/>
        </w:rPr>
        <w:t> </w:t>
      </w:r>
      <w:r>
        <w:rPr/>
        <w:t>Plano</w:t>
      </w:r>
      <w:r>
        <w:rPr>
          <w:spacing w:val="-2"/>
        </w:rPr>
        <w:t> </w:t>
      </w:r>
      <w:r>
        <w:rPr/>
        <w:t>de</w:t>
      </w:r>
      <w:r>
        <w:rPr>
          <w:spacing w:val="-2"/>
        </w:rPr>
        <w:t> </w:t>
      </w:r>
      <w:r>
        <w:rPr/>
        <w:t>Ação</w:t>
      </w:r>
      <w:r>
        <w:rPr>
          <w:spacing w:val="-2"/>
        </w:rPr>
        <w:t> </w:t>
      </w:r>
      <w:r>
        <w:rPr/>
        <w:t>e</w:t>
      </w:r>
      <w:r>
        <w:rPr>
          <w:spacing w:val="-5"/>
        </w:rPr>
        <w:t> </w:t>
      </w:r>
      <w:r>
        <w:rPr/>
        <w:t>Orçamento</w:t>
      </w:r>
      <w:r>
        <w:rPr>
          <w:spacing w:val="-5"/>
        </w:rPr>
        <w:t> </w:t>
      </w:r>
      <w:r>
        <w:rPr/>
        <w:t>do</w:t>
      </w:r>
      <w:r>
        <w:rPr>
          <w:spacing w:val="-2"/>
        </w:rPr>
        <w:t> </w:t>
      </w:r>
      <w:r>
        <w:rPr/>
        <w:t>CAU,</w:t>
      </w:r>
      <w:r>
        <w:rPr>
          <w:spacing w:val="-3"/>
        </w:rPr>
        <w:t> </w:t>
      </w:r>
      <w:r>
        <w:rPr/>
        <w:t>aprovados</w:t>
      </w:r>
      <w:r>
        <w:rPr>
          <w:spacing w:val="-2"/>
        </w:rPr>
        <w:t> </w:t>
      </w:r>
      <w:r>
        <w:rPr/>
        <w:t>para 2020, frente a novas políticas e estratégias de atuação do Conselho e considerando, segundo a Deliberação</w:t>
      </w:r>
      <w:r>
        <w:rPr>
          <w:spacing w:val="-6"/>
        </w:rPr>
        <w:t> </w:t>
      </w:r>
      <w:r>
        <w:rPr/>
        <w:t>Plenária</w:t>
      </w:r>
      <w:r>
        <w:rPr>
          <w:spacing w:val="-6"/>
        </w:rPr>
        <w:t> </w:t>
      </w:r>
      <w:r>
        <w:rPr/>
        <w:t>DPAEBR</w:t>
      </w:r>
      <w:r>
        <w:rPr>
          <w:spacing w:val="-5"/>
        </w:rPr>
        <w:t> </w:t>
      </w:r>
      <w:r>
        <w:rPr/>
        <w:t>Nº</w:t>
      </w:r>
      <w:r>
        <w:rPr>
          <w:spacing w:val="-7"/>
        </w:rPr>
        <w:t> </w:t>
      </w:r>
      <w:r>
        <w:rPr/>
        <w:t>004-01/2020</w:t>
      </w:r>
      <w:r>
        <w:rPr>
          <w:spacing w:val="-6"/>
        </w:rPr>
        <w:t> </w:t>
      </w:r>
      <w:r>
        <w:rPr/>
        <w:t>de</w:t>
      </w:r>
      <w:r>
        <w:rPr>
          <w:spacing w:val="-6"/>
        </w:rPr>
        <w:t> </w:t>
      </w:r>
      <w:r>
        <w:rPr/>
        <w:t>10</w:t>
      </w:r>
      <w:r>
        <w:rPr>
          <w:spacing w:val="-7"/>
        </w:rPr>
        <w:t> </w:t>
      </w:r>
      <w:r>
        <w:rPr/>
        <w:t>de</w:t>
      </w:r>
      <w:r>
        <w:rPr>
          <w:spacing w:val="-6"/>
        </w:rPr>
        <w:t> </w:t>
      </w:r>
      <w:r>
        <w:rPr/>
        <w:t>junho</w:t>
      </w:r>
      <w:r>
        <w:rPr>
          <w:spacing w:val="-6"/>
        </w:rPr>
        <w:t> </w:t>
      </w:r>
      <w:r>
        <w:rPr/>
        <w:t>de</w:t>
      </w:r>
      <w:r>
        <w:rPr>
          <w:spacing w:val="-6"/>
        </w:rPr>
        <w:t> </w:t>
      </w:r>
      <w:r>
        <w:rPr/>
        <w:t>2020,</w:t>
      </w:r>
      <w:r>
        <w:rPr>
          <w:spacing w:val="-3"/>
        </w:rPr>
        <w:t> </w:t>
      </w:r>
      <w:r>
        <w:rPr/>
        <w:t>a</w:t>
      </w:r>
      <w:r>
        <w:rPr>
          <w:spacing w:val="-9"/>
        </w:rPr>
        <w:t> </w:t>
      </w:r>
      <w:r>
        <w:rPr/>
        <w:t>metodologia</w:t>
      </w:r>
      <w:r>
        <w:rPr>
          <w:spacing w:val="-6"/>
        </w:rPr>
        <w:t> </w:t>
      </w:r>
      <w:r>
        <w:rPr/>
        <w:t>adotada</w:t>
      </w:r>
      <w:r>
        <w:rPr>
          <w:spacing w:val="-6"/>
        </w:rPr>
        <w:t> </w:t>
      </w:r>
      <w:r>
        <w:rPr/>
        <w:t>pela CPFi-CAU/BR, que à luz dos possíveis cenários de arrecadação e percentuais de cortes de gastos propostos por todo o conjunto autárquico CAU, estabeleceu novos parâmetros orçamentários que serviram</w:t>
      </w:r>
      <w:r>
        <w:rPr>
          <w:spacing w:val="-6"/>
        </w:rPr>
        <w:t> </w:t>
      </w:r>
      <w:r>
        <w:rPr/>
        <w:t>de</w:t>
      </w:r>
      <w:r>
        <w:rPr>
          <w:spacing w:val="-6"/>
        </w:rPr>
        <w:t> </w:t>
      </w:r>
      <w:r>
        <w:rPr/>
        <w:t>subsídios</w:t>
      </w:r>
      <w:r>
        <w:rPr>
          <w:spacing w:val="-6"/>
        </w:rPr>
        <w:t> </w:t>
      </w:r>
      <w:r>
        <w:rPr/>
        <w:t>para</w:t>
      </w:r>
      <w:r>
        <w:rPr>
          <w:spacing w:val="-6"/>
        </w:rPr>
        <w:t> </w:t>
      </w:r>
      <w:r>
        <w:rPr/>
        <w:t>as</w:t>
      </w:r>
      <w:r>
        <w:rPr>
          <w:spacing w:val="-6"/>
        </w:rPr>
        <w:t> </w:t>
      </w:r>
      <w:r>
        <w:rPr/>
        <w:t>medidas</w:t>
      </w:r>
      <w:r>
        <w:rPr>
          <w:spacing w:val="-6"/>
        </w:rPr>
        <w:t> </w:t>
      </w:r>
      <w:r>
        <w:rPr/>
        <w:t>de</w:t>
      </w:r>
      <w:r>
        <w:rPr>
          <w:spacing w:val="-8"/>
        </w:rPr>
        <w:t> </w:t>
      </w:r>
      <w:r>
        <w:rPr/>
        <w:t>mitigação</w:t>
      </w:r>
      <w:r>
        <w:rPr>
          <w:spacing w:val="-6"/>
        </w:rPr>
        <w:t> </w:t>
      </w:r>
      <w:r>
        <w:rPr/>
        <w:t>dos</w:t>
      </w:r>
      <w:r>
        <w:rPr>
          <w:spacing w:val="-6"/>
        </w:rPr>
        <w:t> </w:t>
      </w:r>
      <w:r>
        <w:rPr/>
        <w:t>efeitos</w:t>
      </w:r>
      <w:r>
        <w:rPr>
          <w:spacing w:val="-6"/>
        </w:rPr>
        <w:t> </w:t>
      </w:r>
      <w:r>
        <w:rPr/>
        <w:t>da</w:t>
      </w:r>
      <w:r>
        <w:rPr>
          <w:spacing w:val="-9"/>
        </w:rPr>
        <w:t> </w:t>
      </w:r>
      <w:r>
        <w:rPr/>
        <w:t>queda</w:t>
      </w:r>
      <w:r>
        <w:rPr>
          <w:spacing w:val="-9"/>
        </w:rPr>
        <w:t> </w:t>
      </w:r>
      <w:r>
        <w:rPr/>
        <w:t>de</w:t>
      </w:r>
      <w:r>
        <w:rPr>
          <w:spacing w:val="-6"/>
        </w:rPr>
        <w:t> </w:t>
      </w:r>
      <w:r>
        <w:rPr/>
        <w:t>receitas</w:t>
      </w:r>
      <w:r>
        <w:rPr>
          <w:spacing w:val="-6"/>
        </w:rPr>
        <w:t> </w:t>
      </w:r>
      <w:r>
        <w:rPr/>
        <w:t>motivada</w:t>
      </w:r>
      <w:r>
        <w:rPr>
          <w:spacing w:val="-9"/>
        </w:rPr>
        <w:t> </w:t>
      </w:r>
      <w:r>
        <w:rPr/>
        <w:t>pela Pandemia da Covid-19.</w:t>
      </w:r>
    </w:p>
    <w:p>
      <w:pPr>
        <w:spacing w:line="360" w:lineRule="auto" w:before="161"/>
        <w:ind w:left="118" w:right="143" w:firstLine="851"/>
        <w:jc w:val="both"/>
        <w:rPr>
          <w:sz w:val="24"/>
        </w:rPr>
      </w:pPr>
      <w:r>
        <w:rPr>
          <w:sz w:val="24"/>
        </w:rPr>
        <w:t>Compreende as propostas apresentadas pelo CAU/BR e pelos CAU/UF, </w:t>
      </w:r>
      <w:r>
        <w:rPr>
          <w:b/>
          <w:sz w:val="24"/>
        </w:rPr>
        <w:t>na 34ª Reunião Plenária</w:t>
      </w:r>
      <w:r>
        <w:rPr>
          <w:b/>
          <w:spacing w:val="-7"/>
          <w:sz w:val="24"/>
        </w:rPr>
        <w:t> </w:t>
      </w:r>
      <w:r>
        <w:rPr>
          <w:b/>
          <w:sz w:val="24"/>
        </w:rPr>
        <w:t>Ampliada,</w:t>
      </w:r>
      <w:r>
        <w:rPr>
          <w:b/>
          <w:spacing w:val="-6"/>
          <w:sz w:val="24"/>
        </w:rPr>
        <w:t> </w:t>
      </w:r>
      <w:r>
        <w:rPr>
          <w:b/>
          <w:sz w:val="24"/>
        </w:rPr>
        <w:t>de</w:t>
      </w:r>
      <w:r>
        <w:rPr>
          <w:b/>
          <w:spacing w:val="-7"/>
          <w:sz w:val="24"/>
        </w:rPr>
        <w:t> </w:t>
      </w:r>
      <w:r>
        <w:rPr>
          <w:b/>
          <w:sz w:val="24"/>
        </w:rPr>
        <w:t>28</w:t>
      </w:r>
      <w:r>
        <w:rPr>
          <w:b/>
          <w:spacing w:val="-6"/>
          <w:sz w:val="24"/>
        </w:rPr>
        <w:t> </w:t>
      </w:r>
      <w:r>
        <w:rPr>
          <w:b/>
          <w:sz w:val="24"/>
        </w:rPr>
        <w:t>de</w:t>
      </w:r>
      <w:r>
        <w:rPr>
          <w:b/>
          <w:spacing w:val="-7"/>
          <w:sz w:val="24"/>
        </w:rPr>
        <w:t> </w:t>
      </w:r>
      <w:r>
        <w:rPr>
          <w:b/>
          <w:sz w:val="24"/>
        </w:rPr>
        <w:t>agosto</w:t>
      </w:r>
      <w:r>
        <w:rPr>
          <w:b/>
          <w:spacing w:val="-5"/>
          <w:sz w:val="24"/>
        </w:rPr>
        <w:t> </w:t>
      </w:r>
      <w:r>
        <w:rPr>
          <w:b/>
          <w:sz w:val="24"/>
        </w:rPr>
        <w:t>de</w:t>
      </w:r>
      <w:r>
        <w:rPr>
          <w:b/>
          <w:spacing w:val="-7"/>
          <w:sz w:val="24"/>
        </w:rPr>
        <w:t> </w:t>
      </w:r>
      <w:r>
        <w:rPr>
          <w:b/>
          <w:sz w:val="24"/>
        </w:rPr>
        <w:t>2020,</w:t>
      </w:r>
      <w:r>
        <w:rPr>
          <w:b/>
          <w:spacing w:val="-6"/>
          <w:sz w:val="24"/>
        </w:rPr>
        <w:t> </w:t>
      </w:r>
      <w:r>
        <w:rPr>
          <w:b/>
          <w:sz w:val="24"/>
        </w:rPr>
        <w:t>a</w:t>
      </w:r>
      <w:r>
        <w:rPr>
          <w:b/>
          <w:spacing w:val="-7"/>
          <w:sz w:val="24"/>
        </w:rPr>
        <w:t> </w:t>
      </w:r>
      <w:r>
        <w:rPr>
          <w:b/>
          <w:sz w:val="24"/>
        </w:rPr>
        <w:t>do</w:t>
      </w:r>
      <w:r>
        <w:rPr>
          <w:b/>
          <w:spacing w:val="-6"/>
          <w:sz w:val="24"/>
        </w:rPr>
        <w:t> </w:t>
      </w:r>
      <w:r>
        <w:rPr>
          <w:b/>
          <w:sz w:val="24"/>
        </w:rPr>
        <w:t>CAU/PA,</w:t>
      </w:r>
      <w:r>
        <w:rPr>
          <w:b/>
          <w:spacing w:val="-6"/>
          <w:sz w:val="24"/>
        </w:rPr>
        <w:t> </w:t>
      </w:r>
      <w:r>
        <w:rPr>
          <w:b/>
          <w:sz w:val="24"/>
        </w:rPr>
        <w:t>homologada</w:t>
      </w:r>
      <w:r>
        <w:rPr>
          <w:b/>
          <w:spacing w:val="-6"/>
          <w:sz w:val="24"/>
        </w:rPr>
        <w:t> </w:t>
      </w:r>
      <w:r>
        <w:rPr>
          <w:b/>
          <w:sz w:val="24"/>
        </w:rPr>
        <w:t>na</w:t>
      </w:r>
      <w:r>
        <w:rPr>
          <w:b/>
          <w:spacing w:val="-7"/>
          <w:sz w:val="24"/>
        </w:rPr>
        <w:t> </w:t>
      </w:r>
      <w:r>
        <w:rPr>
          <w:b/>
          <w:sz w:val="24"/>
        </w:rPr>
        <w:t>104ª</w:t>
      </w:r>
      <w:r>
        <w:rPr>
          <w:b/>
          <w:spacing w:val="-7"/>
          <w:sz w:val="24"/>
        </w:rPr>
        <w:t> </w:t>
      </w:r>
      <w:r>
        <w:rPr>
          <w:b/>
          <w:sz w:val="24"/>
        </w:rPr>
        <w:t>Reunião</w:t>
      </w:r>
      <w:r>
        <w:rPr>
          <w:b/>
          <w:spacing w:val="-6"/>
          <w:sz w:val="24"/>
        </w:rPr>
        <w:t> </w:t>
      </w:r>
      <w:r>
        <w:rPr>
          <w:b/>
          <w:sz w:val="24"/>
        </w:rPr>
        <w:t>Plenária Ordinária, de 24 de setembro de 2020, a do CAU/MA, na 105ª Reunião Plenária Ordinária, de 23 de</w:t>
      </w:r>
      <w:r>
        <w:rPr>
          <w:b/>
          <w:spacing w:val="-14"/>
          <w:sz w:val="24"/>
        </w:rPr>
        <w:t> </w:t>
      </w:r>
      <w:r>
        <w:rPr>
          <w:b/>
          <w:sz w:val="24"/>
        </w:rPr>
        <w:t>outubro</w:t>
      </w:r>
      <w:r>
        <w:rPr>
          <w:b/>
          <w:spacing w:val="-14"/>
          <w:sz w:val="24"/>
        </w:rPr>
        <w:t> </w:t>
      </w:r>
      <w:r>
        <w:rPr>
          <w:b/>
          <w:sz w:val="24"/>
        </w:rPr>
        <w:t>de</w:t>
      </w:r>
      <w:r>
        <w:rPr>
          <w:b/>
          <w:spacing w:val="-13"/>
          <w:sz w:val="24"/>
        </w:rPr>
        <w:t> </w:t>
      </w:r>
      <w:r>
        <w:rPr>
          <w:b/>
          <w:sz w:val="24"/>
        </w:rPr>
        <w:t>2020</w:t>
      </w:r>
      <w:r>
        <w:rPr>
          <w:b/>
          <w:spacing w:val="-14"/>
          <w:sz w:val="24"/>
        </w:rPr>
        <w:t> </w:t>
      </w:r>
      <w:r>
        <w:rPr>
          <w:b/>
          <w:sz w:val="24"/>
        </w:rPr>
        <w:t>e</w:t>
      </w:r>
      <w:r>
        <w:rPr>
          <w:b/>
          <w:spacing w:val="-13"/>
          <w:sz w:val="24"/>
        </w:rPr>
        <w:t> </w:t>
      </w:r>
      <w:r>
        <w:rPr>
          <w:b/>
          <w:sz w:val="24"/>
        </w:rPr>
        <w:t>as</w:t>
      </w:r>
      <w:r>
        <w:rPr>
          <w:b/>
          <w:spacing w:val="-14"/>
          <w:sz w:val="24"/>
        </w:rPr>
        <w:t> </w:t>
      </w:r>
      <w:r>
        <w:rPr>
          <w:b/>
          <w:sz w:val="24"/>
        </w:rPr>
        <w:t>Reprogramações</w:t>
      </w:r>
      <w:r>
        <w:rPr>
          <w:b/>
          <w:spacing w:val="-13"/>
          <w:sz w:val="24"/>
        </w:rPr>
        <w:t> </w:t>
      </w:r>
      <w:r>
        <w:rPr>
          <w:b/>
          <w:sz w:val="24"/>
        </w:rPr>
        <w:t>Extraordinárias</w:t>
      </w:r>
      <w:r>
        <w:rPr>
          <w:b/>
          <w:spacing w:val="-14"/>
          <w:sz w:val="24"/>
        </w:rPr>
        <w:t> </w:t>
      </w:r>
      <w:r>
        <w:rPr>
          <w:b/>
          <w:sz w:val="24"/>
        </w:rPr>
        <w:t>dos</w:t>
      </w:r>
      <w:r>
        <w:rPr>
          <w:b/>
          <w:spacing w:val="-14"/>
          <w:sz w:val="24"/>
        </w:rPr>
        <w:t> </w:t>
      </w:r>
      <w:r>
        <w:rPr>
          <w:b/>
          <w:sz w:val="24"/>
        </w:rPr>
        <w:t>CAU/AM,</w:t>
      </w:r>
      <w:r>
        <w:rPr>
          <w:b/>
          <w:spacing w:val="-13"/>
          <w:sz w:val="24"/>
        </w:rPr>
        <w:t> </w:t>
      </w:r>
      <w:r>
        <w:rPr>
          <w:b/>
          <w:sz w:val="24"/>
        </w:rPr>
        <w:t>CAU/AL,</w:t>
      </w:r>
      <w:r>
        <w:rPr>
          <w:b/>
          <w:spacing w:val="-14"/>
          <w:sz w:val="24"/>
        </w:rPr>
        <w:t> </w:t>
      </w:r>
      <w:r>
        <w:rPr>
          <w:b/>
          <w:sz w:val="24"/>
        </w:rPr>
        <w:t>CAU/CE,</w:t>
      </w:r>
      <w:r>
        <w:rPr>
          <w:b/>
          <w:spacing w:val="-13"/>
          <w:sz w:val="24"/>
        </w:rPr>
        <w:t> </w:t>
      </w:r>
      <w:r>
        <w:rPr>
          <w:b/>
          <w:sz w:val="24"/>
        </w:rPr>
        <w:t>CAU/ES, CAU/RN,</w:t>
      </w:r>
      <w:r>
        <w:rPr>
          <w:b/>
          <w:spacing w:val="-13"/>
          <w:sz w:val="24"/>
        </w:rPr>
        <w:t> </w:t>
      </w:r>
      <w:r>
        <w:rPr>
          <w:b/>
          <w:sz w:val="24"/>
        </w:rPr>
        <w:t>aprovadas</w:t>
      </w:r>
      <w:r>
        <w:rPr>
          <w:b/>
          <w:spacing w:val="-14"/>
          <w:sz w:val="24"/>
        </w:rPr>
        <w:t> </w:t>
      </w:r>
      <w:r>
        <w:rPr>
          <w:b/>
          <w:sz w:val="24"/>
        </w:rPr>
        <w:t>na</w:t>
      </w:r>
      <w:r>
        <w:rPr>
          <w:b/>
          <w:spacing w:val="-11"/>
          <w:sz w:val="24"/>
        </w:rPr>
        <w:t> </w:t>
      </w:r>
      <w:r>
        <w:rPr>
          <w:b/>
          <w:sz w:val="24"/>
        </w:rPr>
        <w:t>Reunião</w:t>
      </w:r>
      <w:r>
        <w:rPr>
          <w:b/>
          <w:spacing w:val="-11"/>
          <w:sz w:val="24"/>
        </w:rPr>
        <w:t> </w:t>
      </w:r>
      <w:r>
        <w:rPr>
          <w:b/>
          <w:sz w:val="24"/>
        </w:rPr>
        <w:t>Plenária</w:t>
      </w:r>
      <w:r>
        <w:rPr>
          <w:b/>
          <w:spacing w:val="-14"/>
          <w:sz w:val="24"/>
        </w:rPr>
        <w:t> </w:t>
      </w:r>
      <w:r>
        <w:rPr>
          <w:b/>
          <w:sz w:val="24"/>
        </w:rPr>
        <w:t>Ordinária</w:t>
      </w:r>
      <w:r>
        <w:rPr>
          <w:b/>
          <w:spacing w:val="-12"/>
          <w:sz w:val="24"/>
        </w:rPr>
        <w:t> </w:t>
      </w:r>
      <w:r>
        <w:rPr>
          <w:b/>
          <w:sz w:val="24"/>
        </w:rPr>
        <w:t>n°</w:t>
      </w:r>
      <w:r>
        <w:rPr>
          <w:b/>
          <w:spacing w:val="-13"/>
          <w:sz w:val="24"/>
        </w:rPr>
        <w:t> </w:t>
      </w:r>
      <w:r>
        <w:rPr>
          <w:b/>
          <w:sz w:val="24"/>
        </w:rPr>
        <w:t>106,</w:t>
      </w:r>
      <w:r>
        <w:rPr>
          <w:b/>
          <w:spacing w:val="-11"/>
          <w:sz w:val="24"/>
        </w:rPr>
        <w:t> </w:t>
      </w:r>
      <w:r>
        <w:rPr>
          <w:b/>
          <w:sz w:val="24"/>
        </w:rPr>
        <w:t>de</w:t>
      </w:r>
      <w:r>
        <w:rPr>
          <w:b/>
          <w:spacing w:val="-14"/>
          <w:sz w:val="24"/>
        </w:rPr>
        <w:t> </w:t>
      </w:r>
      <w:r>
        <w:rPr>
          <w:b/>
          <w:sz w:val="24"/>
        </w:rPr>
        <w:t>20</w:t>
      </w:r>
      <w:r>
        <w:rPr>
          <w:b/>
          <w:spacing w:val="-12"/>
          <w:sz w:val="24"/>
        </w:rPr>
        <w:t> </w:t>
      </w:r>
      <w:r>
        <w:rPr>
          <w:b/>
          <w:sz w:val="24"/>
        </w:rPr>
        <w:t>de</w:t>
      </w:r>
      <w:r>
        <w:rPr>
          <w:b/>
          <w:spacing w:val="-13"/>
          <w:sz w:val="24"/>
        </w:rPr>
        <w:t> </w:t>
      </w:r>
      <w:r>
        <w:rPr>
          <w:b/>
          <w:sz w:val="24"/>
        </w:rPr>
        <w:t>novembro</w:t>
      </w:r>
      <w:r>
        <w:rPr>
          <w:b/>
          <w:spacing w:val="-14"/>
          <w:sz w:val="24"/>
        </w:rPr>
        <w:t> </w:t>
      </w:r>
      <w:r>
        <w:rPr>
          <w:b/>
          <w:sz w:val="24"/>
        </w:rPr>
        <w:t>de</w:t>
      </w:r>
      <w:r>
        <w:rPr>
          <w:b/>
          <w:spacing w:val="-12"/>
          <w:sz w:val="24"/>
        </w:rPr>
        <w:t> </w:t>
      </w:r>
      <w:r>
        <w:rPr>
          <w:b/>
          <w:sz w:val="24"/>
        </w:rPr>
        <w:t>2020,</w:t>
      </w:r>
      <w:r>
        <w:rPr>
          <w:b/>
          <w:spacing w:val="-10"/>
          <w:sz w:val="24"/>
        </w:rPr>
        <w:t> </w:t>
      </w:r>
      <w:r>
        <w:rPr>
          <w:sz w:val="24"/>
        </w:rPr>
        <w:t>compostas por</w:t>
      </w:r>
      <w:r>
        <w:rPr>
          <w:spacing w:val="-1"/>
          <w:sz w:val="24"/>
        </w:rPr>
        <w:t> </w:t>
      </w:r>
      <w:r>
        <w:rPr>
          <w:sz w:val="24"/>
        </w:rPr>
        <w:t>projetos</w:t>
      </w:r>
      <w:r>
        <w:rPr>
          <w:spacing w:val="-2"/>
          <w:sz w:val="24"/>
        </w:rPr>
        <w:t> </w:t>
      </w:r>
      <w:r>
        <w:rPr>
          <w:sz w:val="24"/>
        </w:rPr>
        <w:t>e</w:t>
      </w:r>
      <w:r>
        <w:rPr>
          <w:spacing w:val="-1"/>
          <w:sz w:val="24"/>
        </w:rPr>
        <w:t> </w:t>
      </w:r>
      <w:r>
        <w:rPr>
          <w:sz w:val="24"/>
        </w:rPr>
        <w:t>atividades,</w:t>
      </w:r>
      <w:r>
        <w:rPr>
          <w:spacing w:val="-2"/>
          <w:sz w:val="24"/>
        </w:rPr>
        <w:t> </w:t>
      </w:r>
      <w:r>
        <w:rPr>
          <w:sz w:val="24"/>
        </w:rPr>
        <w:t>de</w:t>
      </w:r>
      <w:r>
        <w:rPr>
          <w:spacing w:val="-1"/>
          <w:sz w:val="24"/>
        </w:rPr>
        <w:t> </w:t>
      </w:r>
      <w:r>
        <w:rPr>
          <w:sz w:val="24"/>
        </w:rPr>
        <w:t>forma estruturada</w:t>
      </w:r>
      <w:r>
        <w:rPr>
          <w:spacing w:val="-2"/>
          <w:sz w:val="24"/>
        </w:rPr>
        <w:t> </w:t>
      </w:r>
      <w:r>
        <w:rPr>
          <w:sz w:val="24"/>
        </w:rPr>
        <w:t>na</w:t>
      </w:r>
      <w:r>
        <w:rPr>
          <w:spacing w:val="-2"/>
          <w:sz w:val="24"/>
        </w:rPr>
        <w:t> </w:t>
      </w:r>
      <w:r>
        <w:rPr>
          <w:sz w:val="24"/>
        </w:rPr>
        <w:t>contribuição</w:t>
      </w:r>
      <w:r>
        <w:rPr>
          <w:spacing w:val="-1"/>
          <w:sz w:val="24"/>
        </w:rPr>
        <w:t> </w:t>
      </w:r>
      <w:r>
        <w:rPr>
          <w:sz w:val="24"/>
        </w:rPr>
        <w:t>aos</w:t>
      </w:r>
      <w:r>
        <w:rPr>
          <w:spacing w:val="-1"/>
          <w:sz w:val="24"/>
        </w:rPr>
        <w:t> </w:t>
      </w:r>
      <w:r>
        <w:rPr>
          <w:sz w:val="24"/>
        </w:rPr>
        <w:t>objetivos</w:t>
      </w:r>
      <w:r>
        <w:rPr>
          <w:spacing w:val="-2"/>
          <w:sz w:val="24"/>
        </w:rPr>
        <w:t> </w:t>
      </w:r>
      <w:r>
        <w:rPr>
          <w:sz w:val="24"/>
        </w:rPr>
        <w:t>estratégicos</w:t>
      </w:r>
      <w:r>
        <w:rPr>
          <w:spacing w:val="-2"/>
          <w:sz w:val="24"/>
        </w:rPr>
        <w:t> </w:t>
      </w:r>
      <w:r>
        <w:rPr>
          <w:sz w:val="24"/>
        </w:rPr>
        <w:t>do</w:t>
      </w:r>
      <w:r>
        <w:rPr>
          <w:spacing w:val="-1"/>
          <w:sz w:val="24"/>
        </w:rPr>
        <w:t> </w:t>
      </w:r>
      <w:r>
        <w:rPr>
          <w:sz w:val="24"/>
        </w:rPr>
        <w:t>CAU, em conformidade com o Mapa Estratégico do CAU 2023, agrupados pelas perspectivas Sociedade, Processos Internos, Pessoas e Infraestrutura (Figura 1).</w:t>
      </w:r>
    </w:p>
    <w:p>
      <w:pPr>
        <w:pStyle w:val="BodyText"/>
        <w:spacing w:line="360" w:lineRule="auto" w:before="160"/>
        <w:ind w:left="118" w:right="145" w:firstLine="851"/>
        <w:jc w:val="both"/>
      </w:pPr>
      <w:r>
        <w:rPr/>
        <w:t>Frente</w:t>
      </w:r>
      <w:r>
        <w:rPr>
          <w:spacing w:val="-11"/>
        </w:rPr>
        <w:t> </w:t>
      </w:r>
      <w:r>
        <w:rPr/>
        <w:t>às</w:t>
      </w:r>
      <w:r>
        <w:rPr>
          <w:spacing w:val="-14"/>
        </w:rPr>
        <w:t> </w:t>
      </w:r>
      <w:r>
        <w:rPr/>
        <w:t>propostas</w:t>
      </w:r>
      <w:r>
        <w:rPr>
          <w:spacing w:val="-14"/>
        </w:rPr>
        <w:t> </w:t>
      </w:r>
      <w:r>
        <w:rPr/>
        <w:t>de</w:t>
      </w:r>
      <w:r>
        <w:rPr>
          <w:spacing w:val="-10"/>
        </w:rPr>
        <w:t> </w:t>
      </w:r>
      <w:r>
        <w:rPr/>
        <w:t>reprogramação</w:t>
      </w:r>
      <w:r>
        <w:rPr>
          <w:spacing w:val="-14"/>
        </w:rPr>
        <w:t> </w:t>
      </w:r>
      <w:r>
        <w:rPr/>
        <w:t>do</w:t>
      </w:r>
      <w:r>
        <w:rPr>
          <w:spacing w:val="-13"/>
        </w:rPr>
        <w:t> </w:t>
      </w:r>
      <w:r>
        <w:rPr/>
        <w:t>Plano</w:t>
      </w:r>
      <w:r>
        <w:rPr>
          <w:spacing w:val="-12"/>
        </w:rPr>
        <w:t> </w:t>
      </w:r>
      <w:r>
        <w:rPr/>
        <w:t>de</w:t>
      </w:r>
      <w:r>
        <w:rPr>
          <w:spacing w:val="-11"/>
        </w:rPr>
        <w:t> </w:t>
      </w:r>
      <w:r>
        <w:rPr/>
        <w:t>Ação</w:t>
      </w:r>
      <w:r>
        <w:rPr>
          <w:spacing w:val="-11"/>
        </w:rPr>
        <w:t> </w:t>
      </w:r>
      <w:r>
        <w:rPr/>
        <w:t>2020</w:t>
      </w:r>
      <w:r>
        <w:rPr>
          <w:spacing w:val="-14"/>
        </w:rPr>
        <w:t> </w:t>
      </w:r>
      <w:r>
        <w:rPr/>
        <w:t>terem</w:t>
      </w:r>
      <w:r>
        <w:rPr>
          <w:spacing w:val="-10"/>
        </w:rPr>
        <w:t> </w:t>
      </w:r>
      <w:r>
        <w:rPr/>
        <w:t>sido</w:t>
      </w:r>
      <w:r>
        <w:rPr>
          <w:spacing w:val="-12"/>
        </w:rPr>
        <w:t> </w:t>
      </w:r>
      <w:r>
        <w:rPr/>
        <w:t>apresentadas</w:t>
      </w:r>
      <w:r>
        <w:rPr>
          <w:spacing w:val="-11"/>
        </w:rPr>
        <w:t> </w:t>
      </w:r>
      <w:r>
        <w:rPr/>
        <w:t>em momentos</w:t>
      </w:r>
      <w:r>
        <w:rPr>
          <w:spacing w:val="72"/>
        </w:rPr>
        <w:t> </w:t>
      </w:r>
      <w:r>
        <w:rPr/>
        <w:t>distintos,</w:t>
      </w:r>
      <w:r>
        <w:rPr>
          <w:spacing w:val="75"/>
        </w:rPr>
        <w:t> </w:t>
      </w:r>
      <w:r>
        <w:rPr/>
        <w:t>é</w:t>
      </w:r>
      <w:r>
        <w:rPr>
          <w:spacing w:val="71"/>
        </w:rPr>
        <w:t> </w:t>
      </w:r>
      <w:r>
        <w:rPr/>
        <w:t>importante</w:t>
      </w:r>
      <w:r>
        <w:rPr>
          <w:spacing w:val="73"/>
        </w:rPr>
        <w:t> </w:t>
      </w:r>
      <w:r>
        <w:rPr/>
        <w:t>mencionar</w:t>
      </w:r>
      <w:r>
        <w:rPr>
          <w:spacing w:val="70"/>
        </w:rPr>
        <w:t> </w:t>
      </w:r>
      <w:r>
        <w:rPr/>
        <w:t>que</w:t>
      </w:r>
      <w:r>
        <w:rPr>
          <w:spacing w:val="73"/>
        </w:rPr>
        <w:t> </w:t>
      </w:r>
      <w:r>
        <w:rPr/>
        <w:t>este</w:t>
      </w:r>
      <w:r>
        <w:rPr>
          <w:spacing w:val="71"/>
        </w:rPr>
        <w:t> </w:t>
      </w:r>
      <w:r>
        <w:rPr/>
        <w:t>documento</w:t>
      </w:r>
      <w:r>
        <w:rPr>
          <w:spacing w:val="71"/>
        </w:rPr>
        <w:t> </w:t>
      </w:r>
      <w:r>
        <w:rPr/>
        <w:t>consolidado</w:t>
      </w:r>
      <w:r>
        <w:rPr>
          <w:spacing w:val="71"/>
        </w:rPr>
        <w:t> </w:t>
      </w:r>
      <w:r>
        <w:rPr/>
        <w:t>também</w:t>
      </w:r>
      <w:r>
        <w:rPr>
          <w:spacing w:val="73"/>
        </w:rPr>
        <w:t> </w:t>
      </w:r>
      <w:r>
        <w:rPr/>
        <w:t>as</w:t>
      </w:r>
    </w:p>
    <w:p>
      <w:pPr>
        <w:spacing w:after="0" w:line="360" w:lineRule="auto"/>
        <w:jc w:val="both"/>
        <w:sectPr>
          <w:pgSz w:w="11910" w:h="16840"/>
          <w:pgMar w:header="689" w:footer="261" w:top="1580" w:bottom="460" w:left="1300" w:right="700"/>
        </w:sectPr>
      </w:pPr>
    </w:p>
    <w:p>
      <w:pPr>
        <w:spacing w:line="360" w:lineRule="auto" w:before="14"/>
        <w:ind w:left="118" w:right="144" w:firstLine="0"/>
        <w:jc w:val="both"/>
        <w:rPr>
          <w:b/>
          <w:sz w:val="24"/>
        </w:rPr>
      </w:pPr>
      <w:r>
        <w:rPr/>
        <w:pict>
          <v:shape style="position:absolute;margin-left:375.423859pt;margin-top:670.042725pt;width:6.3pt;height:6.75pt;mso-position-horizontal-relative:page;mso-position-vertical-relative:page;z-index:-16262656" type="#_x0000_t202" id="docshape6" filled="false" stroked="false">
            <v:textbox inset="0,0,0,0">
              <w:txbxContent>
                <w:p>
                  <w:pPr>
                    <w:spacing w:line="134" w:lineRule="exact" w:before="0"/>
                    <w:ind w:left="0" w:right="0" w:firstLine="0"/>
                    <w:jc w:val="left"/>
                    <w:rPr>
                      <w:rFonts w:ascii="Arial"/>
                      <w:sz w:val="12"/>
                    </w:rPr>
                  </w:pPr>
                  <w:r>
                    <w:rPr>
                      <w:rFonts w:ascii="Arial"/>
                      <w:spacing w:val="-7"/>
                      <w:sz w:val="12"/>
                    </w:rPr>
                    <w:t>os</w:t>
                  </w:r>
                </w:p>
              </w:txbxContent>
            </v:textbox>
            <w10:wrap type="none"/>
          </v:shape>
        </w:pict>
      </w:r>
      <w:r>
        <w:rPr>
          <w:sz w:val="24"/>
        </w:rPr>
        <w:t>reprogramações extraordinárias dos CAU/UF, aprovadas na </w:t>
      </w:r>
      <w:r>
        <w:rPr>
          <w:b/>
          <w:sz w:val="24"/>
        </w:rPr>
        <w:t>7ª Reunião Plenária Extraordinária realizada no dia 30 de abril de 2020 </w:t>
      </w:r>
      <w:r>
        <w:rPr>
          <w:sz w:val="24"/>
        </w:rPr>
        <w:t>que aprovaram CAU/PI e CAU/DF </w:t>
      </w:r>
      <w:r>
        <w:rPr>
          <w:b/>
          <w:sz w:val="24"/>
        </w:rPr>
        <w:t>e 106ª Reunião Plenária Ordinária do CAU/BR </w:t>
      </w:r>
      <w:r>
        <w:rPr>
          <w:sz w:val="24"/>
        </w:rPr>
        <w:t>que aprovaram </w:t>
      </w:r>
      <w:r>
        <w:rPr>
          <w:b/>
          <w:sz w:val="24"/>
        </w:rPr>
        <w:t>CAU/AM, CAU/AL, CAU/CE, CAU/ES, CAU/RN.</w:t>
      </w:r>
    </w:p>
    <w:p>
      <w:pPr>
        <w:pStyle w:val="BodyText"/>
        <w:spacing w:line="360" w:lineRule="auto" w:before="160"/>
        <w:ind w:left="118" w:right="143" w:firstLine="851"/>
        <w:jc w:val="both"/>
      </w:pPr>
      <w:r>
        <w:rPr/>
        <w:t>As</w:t>
      </w:r>
      <w:r>
        <w:rPr>
          <w:spacing w:val="-4"/>
        </w:rPr>
        <w:t> </w:t>
      </w:r>
      <w:r>
        <w:rPr/>
        <w:t>orientações,</w:t>
      </w:r>
      <w:r>
        <w:rPr>
          <w:spacing w:val="-6"/>
        </w:rPr>
        <w:t> </w:t>
      </w:r>
      <w:r>
        <w:rPr/>
        <w:t>políticas,</w:t>
      </w:r>
      <w:r>
        <w:rPr>
          <w:spacing w:val="-4"/>
        </w:rPr>
        <w:t> </w:t>
      </w:r>
      <w:r>
        <w:rPr/>
        <w:t>prioridades</w:t>
      </w:r>
      <w:r>
        <w:rPr>
          <w:spacing w:val="-6"/>
        </w:rPr>
        <w:t> </w:t>
      </w:r>
      <w:r>
        <w:rPr/>
        <w:t>e</w:t>
      </w:r>
      <w:r>
        <w:rPr>
          <w:spacing w:val="-3"/>
        </w:rPr>
        <w:t> </w:t>
      </w:r>
      <w:r>
        <w:rPr/>
        <w:t>estratégias</w:t>
      </w:r>
      <w:r>
        <w:rPr>
          <w:spacing w:val="-4"/>
        </w:rPr>
        <w:t> </w:t>
      </w:r>
      <w:r>
        <w:rPr/>
        <w:t>que</w:t>
      </w:r>
      <w:r>
        <w:rPr>
          <w:spacing w:val="-6"/>
        </w:rPr>
        <w:t> </w:t>
      </w:r>
      <w:r>
        <w:rPr/>
        <w:t>nortearam</w:t>
      </w:r>
      <w:r>
        <w:rPr>
          <w:spacing w:val="-5"/>
        </w:rPr>
        <w:t> </w:t>
      </w:r>
      <w:r>
        <w:rPr/>
        <w:t>a</w:t>
      </w:r>
      <w:r>
        <w:rPr>
          <w:spacing w:val="-4"/>
        </w:rPr>
        <w:t> </w:t>
      </w:r>
      <w:r>
        <w:rPr/>
        <w:t>elaboração</w:t>
      </w:r>
      <w:r>
        <w:rPr>
          <w:spacing w:val="-3"/>
        </w:rPr>
        <w:t> </w:t>
      </w:r>
      <w:r>
        <w:rPr/>
        <w:t>dos</w:t>
      </w:r>
      <w:r>
        <w:rPr>
          <w:spacing w:val="-6"/>
        </w:rPr>
        <w:t> </w:t>
      </w:r>
      <w:r>
        <w:rPr/>
        <w:t>planos de</w:t>
      </w:r>
      <w:r>
        <w:rPr>
          <w:spacing w:val="-14"/>
        </w:rPr>
        <w:t> </w:t>
      </w:r>
      <w:r>
        <w:rPr/>
        <w:t>ação</w:t>
      </w:r>
      <w:r>
        <w:rPr>
          <w:spacing w:val="-14"/>
        </w:rPr>
        <w:t> </w:t>
      </w:r>
      <w:r>
        <w:rPr/>
        <w:t>dos</w:t>
      </w:r>
      <w:r>
        <w:rPr>
          <w:spacing w:val="-13"/>
        </w:rPr>
        <w:t> </w:t>
      </w:r>
      <w:r>
        <w:rPr/>
        <w:t>CAU/UF</w:t>
      </w:r>
      <w:r>
        <w:rPr>
          <w:spacing w:val="-14"/>
        </w:rPr>
        <w:t> </w:t>
      </w:r>
      <w:r>
        <w:rPr/>
        <w:t>e</w:t>
      </w:r>
      <w:r>
        <w:rPr>
          <w:spacing w:val="-13"/>
        </w:rPr>
        <w:t> </w:t>
      </w:r>
      <w:r>
        <w:rPr/>
        <w:t>do</w:t>
      </w:r>
      <w:r>
        <w:rPr>
          <w:spacing w:val="-14"/>
        </w:rPr>
        <w:t> </w:t>
      </w:r>
      <w:r>
        <w:rPr/>
        <w:t>CAU/BR,</w:t>
      </w:r>
      <w:r>
        <w:rPr>
          <w:spacing w:val="-13"/>
        </w:rPr>
        <w:t> </w:t>
      </w:r>
      <w:r>
        <w:rPr/>
        <w:t>estão</w:t>
      </w:r>
      <w:r>
        <w:rPr>
          <w:spacing w:val="-14"/>
        </w:rPr>
        <w:t> </w:t>
      </w:r>
      <w:r>
        <w:rPr/>
        <w:t>contextualizadas</w:t>
      </w:r>
      <w:r>
        <w:rPr>
          <w:spacing w:val="-14"/>
        </w:rPr>
        <w:t> </w:t>
      </w:r>
      <w:r>
        <w:rPr/>
        <w:t>no</w:t>
      </w:r>
      <w:r>
        <w:rPr>
          <w:spacing w:val="-13"/>
        </w:rPr>
        <w:t> </w:t>
      </w:r>
      <w:r>
        <w:rPr/>
        <w:t>Planejamento</w:t>
      </w:r>
      <w:r>
        <w:rPr>
          <w:spacing w:val="-14"/>
        </w:rPr>
        <w:t> </w:t>
      </w:r>
      <w:r>
        <w:rPr/>
        <w:t>Estratégico</w:t>
      </w:r>
      <w:r>
        <w:rPr>
          <w:spacing w:val="-13"/>
        </w:rPr>
        <w:t> </w:t>
      </w:r>
      <w:r>
        <w:rPr/>
        <w:t>do</w:t>
      </w:r>
      <w:r>
        <w:rPr>
          <w:spacing w:val="-14"/>
        </w:rPr>
        <w:t> </w:t>
      </w:r>
      <w:r>
        <w:rPr/>
        <w:t>CAU</w:t>
      </w:r>
      <w:r>
        <w:rPr>
          <w:spacing w:val="-13"/>
        </w:rPr>
        <w:t> </w:t>
      </w:r>
      <w:r>
        <w:rPr/>
        <w:t>2023 e</w:t>
      </w:r>
      <w:r>
        <w:rPr>
          <w:spacing w:val="-14"/>
        </w:rPr>
        <w:t> </w:t>
      </w:r>
      <w:r>
        <w:rPr/>
        <w:t>nas</w:t>
      </w:r>
      <w:r>
        <w:rPr>
          <w:spacing w:val="-14"/>
        </w:rPr>
        <w:t> </w:t>
      </w:r>
      <w:r>
        <w:rPr/>
        <w:t>Diretrizes</w:t>
      </w:r>
      <w:r>
        <w:rPr>
          <w:spacing w:val="-13"/>
        </w:rPr>
        <w:t> </w:t>
      </w:r>
      <w:r>
        <w:rPr/>
        <w:t>para</w:t>
      </w:r>
      <w:r>
        <w:rPr>
          <w:spacing w:val="-13"/>
        </w:rPr>
        <w:t> </w:t>
      </w:r>
      <w:r>
        <w:rPr/>
        <w:t>Elaboração</w:t>
      </w:r>
      <w:r>
        <w:rPr>
          <w:spacing w:val="-13"/>
        </w:rPr>
        <w:t> </w:t>
      </w:r>
      <w:r>
        <w:rPr/>
        <w:t>da</w:t>
      </w:r>
      <w:r>
        <w:rPr>
          <w:spacing w:val="-13"/>
        </w:rPr>
        <w:t> </w:t>
      </w:r>
      <w:r>
        <w:rPr/>
        <w:t>Reprogramação</w:t>
      </w:r>
      <w:r>
        <w:rPr>
          <w:spacing w:val="-13"/>
        </w:rPr>
        <w:t> </w:t>
      </w:r>
      <w:r>
        <w:rPr/>
        <w:t>do</w:t>
      </w:r>
      <w:r>
        <w:rPr>
          <w:spacing w:val="-13"/>
        </w:rPr>
        <w:t> </w:t>
      </w:r>
      <w:r>
        <w:rPr/>
        <w:t>Plano</w:t>
      </w:r>
      <w:r>
        <w:rPr>
          <w:spacing w:val="-13"/>
        </w:rPr>
        <w:t> </w:t>
      </w:r>
      <w:r>
        <w:rPr/>
        <w:t>de</w:t>
      </w:r>
      <w:r>
        <w:rPr>
          <w:spacing w:val="-13"/>
        </w:rPr>
        <w:t> </w:t>
      </w:r>
      <w:r>
        <w:rPr/>
        <w:t>Ação</w:t>
      </w:r>
      <w:r>
        <w:rPr>
          <w:spacing w:val="-14"/>
        </w:rPr>
        <w:t> </w:t>
      </w:r>
      <w:r>
        <w:rPr/>
        <w:t>e</w:t>
      </w:r>
      <w:r>
        <w:rPr>
          <w:spacing w:val="-10"/>
        </w:rPr>
        <w:t> </w:t>
      </w:r>
      <w:r>
        <w:rPr/>
        <w:t>Orçamento</w:t>
      </w:r>
      <w:r>
        <w:rPr>
          <w:spacing w:val="-13"/>
        </w:rPr>
        <w:t> </w:t>
      </w:r>
      <w:r>
        <w:rPr/>
        <w:t>do</w:t>
      </w:r>
      <w:r>
        <w:rPr>
          <w:spacing w:val="-13"/>
        </w:rPr>
        <w:t> </w:t>
      </w:r>
      <w:r>
        <w:rPr/>
        <w:t>CAU</w:t>
      </w:r>
      <w:r>
        <w:rPr>
          <w:spacing w:val="-9"/>
        </w:rPr>
        <w:t> </w:t>
      </w:r>
      <w:r>
        <w:rPr/>
        <w:t>Exercício de 2020.</w:t>
      </w:r>
    </w:p>
    <w:p>
      <w:pPr>
        <w:pStyle w:val="BodyText"/>
        <w:spacing w:line="360" w:lineRule="auto" w:before="160"/>
        <w:ind w:left="118" w:right="143" w:firstLine="851"/>
        <w:jc w:val="both"/>
      </w:pPr>
      <w:r>
        <w:rPr/>
        <w:t>Na elaboração das propostas de projetos e atividades a serem desenvolvidas pelo CAU na Reprogramação do Plano de Ação para o exercício de 2020, como forma de potencializar sua atuação, medir</w:t>
      </w:r>
      <w:r>
        <w:rPr>
          <w:spacing w:val="-1"/>
        </w:rPr>
        <w:t> </w:t>
      </w:r>
      <w:r>
        <w:rPr/>
        <w:t>e comunicar resultados para o público-alvo e</w:t>
      </w:r>
      <w:r>
        <w:rPr>
          <w:spacing w:val="-1"/>
        </w:rPr>
        <w:t> </w:t>
      </w:r>
      <w:r>
        <w:rPr/>
        <w:t>a sociedade</w:t>
      </w:r>
      <w:r>
        <w:rPr>
          <w:spacing w:val="-1"/>
        </w:rPr>
        <w:t> </w:t>
      </w:r>
      <w:r>
        <w:rPr/>
        <w:t>em geral, também</w:t>
      </w:r>
      <w:r>
        <w:rPr>
          <w:spacing w:val="-1"/>
        </w:rPr>
        <w:t> </w:t>
      </w:r>
      <w:r>
        <w:rPr/>
        <w:t>foram consideradas as mudanças que vem acontecendo no cenário econômico e social do País e os resultados que o Conselho vem alcançando frente às metas inicialmente estabelecidas. Nesse contexto, além de serem observadas as contribuições à estratégia nacional, também foram observadas as prioridades locais, capacidade operacional e evolução dos profissionais.</w:t>
      </w:r>
    </w:p>
    <w:p>
      <w:pPr>
        <w:pStyle w:val="BodyText"/>
        <w:spacing w:line="360" w:lineRule="auto" w:before="159"/>
        <w:ind w:left="118" w:right="145" w:firstLine="851"/>
        <w:jc w:val="both"/>
      </w:pPr>
      <w:r>
        <w:rPr/>
        <w:t>O Mapa Estratégico do CAU – 2023 (figura 1), ilustra o consolidado dos quantitativos dos objetivos</w:t>
      </w:r>
      <w:r>
        <w:rPr>
          <w:spacing w:val="-2"/>
        </w:rPr>
        <w:t> </w:t>
      </w:r>
      <w:r>
        <w:rPr/>
        <w:t>estratégicos</w:t>
      </w:r>
      <w:r>
        <w:rPr>
          <w:spacing w:val="-1"/>
        </w:rPr>
        <w:t> </w:t>
      </w:r>
      <w:r>
        <w:rPr/>
        <w:t>escolhidos</w:t>
      </w:r>
      <w:r>
        <w:rPr>
          <w:spacing w:val="-4"/>
        </w:rPr>
        <w:t> </w:t>
      </w:r>
      <w:r>
        <w:rPr/>
        <w:t>por</w:t>
      </w:r>
      <w:r>
        <w:rPr>
          <w:spacing w:val="-1"/>
        </w:rPr>
        <w:t> </w:t>
      </w:r>
      <w:r>
        <w:rPr/>
        <w:t>cada</w:t>
      </w:r>
      <w:r>
        <w:rPr>
          <w:spacing w:val="-2"/>
        </w:rPr>
        <w:t> </w:t>
      </w:r>
      <w:r>
        <w:rPr/>
        <w:t>CAU/UF</w:t>
      </w:r>
      <w:r>
        <w:rPr>
          <w:spacing w:val="-1"/>
        </w:rPr>
        <w:t> </w:t>
      </w:r>
      <w:r>
        <w:rPr/>
        <w:t>em</w:t>
      </w:r>
      <w:r>
        <w:rPr>
          <w:spacing w:val="-1"/>
        </w:rPr>
        <w:t> </w:t>
      </w:r>
      <w:r>
        <w:rPr/>
        <w:t>suas</w:t>
      </w:r>
      <w:r>
        <w:rPr>
          <w:spacing w:val="-1"/>
        </w:rPr>
        <w:t> </w:t>
      </w:r>
      <w:r>
        <w:rPr/>
        <w:t>propostas</w:t>
      </w:r>
      <w:r>
        <w:rPr>
          <w:spacing w:val="-2"/>
        </w:rPr>
        <w:t> </w:t>
      </w:r>
      <w:r>
        <w:rPr/>
        <w:t>de</w:t>
      </w:r>
      <w:r>
        <w:rPr>
          <w:spacing w:val="-2"/>
        </w:rPr>
        <w:t> </w:t>
      </w:r>
      <w:r>
        <w:rPr/>
        <w:t>Reprogramação</w:t>
      </w:r>
      <w:r>
        <w:rPr>
          <w:spacing w:val="-3"/>
        </w:rPr>
        <w:t> </w:t>
      </w:r>
      <w:r>
        <w:rPr/>
        <w:t>do</w:t>
      </w:r>
      <w:r>
        <w:rPr>
          <w:spacing w:val="-1"/>
        </w:rPr>
        <w:t> </w:t>
      </w:r>
      <w:r>
        <w:rPr/>
        <w:t>Plano de Ação para o exercício de 2020 de acordo com suas prioridades locais (em azul) e objetivos nacionais (em laranja) do CAU.</w:t>
      </w:r>
    </w:p>
    <w:p>
      <w:pPr>
        <w:pStyle w:val="Heading5"/>
        <w:spacing w:before="160"/>
        <w:ind w:left="5774"/>
        <w:jc w:val="both"/>
      </w:pPr>
      <w:r>
        <w:rPr/>
        <w:pict>
          <v:group style="position:absolute;margin-left:76.743996pt;margin-top:23.957144pt;width:480.55pt;height:273.150pt;mso-position-horizontal-relative:page;mso-position-vertical-relative:paragraph;z-index:-15727616;mso-wrap-distance-left:0;mso-wrap-distance-right:0" id="docshapegroup7" coordorigin="1535,479" coordsize="9611,5463">
            <v:line style="position:absolute" from="9938,1446" to="2772,1436" stroked="true" strokeweight=".503834pt" strokecolor="#006a70">
              <v:stroke dashstyle="shortdashdot"/>
            </v:line>
            <v:shape style="position:absolute;left:4910;top:1340;width:2873;height:121" type="#_x0000_t75" id="docshape8" stroked="false">
              <v:imagedata r:id="rId9" o:title=""/>
            </v:shape>
            <v:shape style="position:absolute;left:4998;top:725;width:2681;height:629" type="#_x0000_t75" id="docshape9" stroked="false">
              <v:imagedata r:id="rId10" o:title=""/>
            </v:shape>
            <v:shape style="position:absolute;left:1556;top:662;width:3133;height:856" type="#_x0000_t75" id="docshape10" stroked="false">
              <v:imagedata r:id="rId11" o:title=""/>
            </v:shape>
            <v:rect style="position:absolute;left:3196;top:1139;width:380;height:82" id="docshape11" filled="true" fillcolor="#416266" stroked="false">
              <v:fill type="solid"/>
            </v:rect>
            <v:rect style="position:absolute;left:3196;top:1139;width:380;height:82" id="docshape12" filled="false" stroked="true" strokeweight="3.021884pt" strokecolor="#ff6600">
              <v:stroke dashstyle="solid"/>
            </v:rect>
            <v:shape style="position:absolute;left:3926;top:1175;width:577;height:303" type="#_x0000_t75" id="docshape13" stroked="false">
              <v:imagedata r:id="rId12" o:title=""/>
            </v:shape>
            <v:rect style="position:absolute;left:4028;top:1278;width:373;height:97" id="docshape14" filled="true" fillcolor="#00afef" stroked="false">
              <v:fill type="solid"/>
            </v:rect>
            <v:line style="position:absolute" from="2782,2476" to="9903,2486" stroked="true" strokeweight=".503834pt" strokecolor="#006a70">
              <v:stroke dashstyle="shortdashdot"/>
            </v:line>
            <v:shape style="position:absolute;left:4910;top:2371;width:2873;height:121" type="#_x0000_t75" id="docshape15" stroked="false">
              <v:imagedata r:id="rId9" o:title=""/>
            </v:shape>
            <v:line style="position:absolute" from="2755,5283" to="9947,5273" stroked="true" strokeweight=".503834pt" strokecolor="#006a70">
              <v:stroke dashstyle="shortdashdot"/>
            </v:line>
            <v:shape style="position:absolute;left:4910;top:5166;width:2873;height:120" type="#_x0000_t75" id="docshape16" stroked="false">
              <v:imagedata r:id="rId13" o:title=""/>
            </v:shape>
            <v:shape style="position:absolute;left:4423;top:2765;width:5497;height:2406" id="docshape17" coordorigin="4423,2765" coordsize="5497,2406" path="m4423,4691l4426,4675,4435,4662,4448,4653,4464,4650,8348,4650,8364,4653,8377,4662,8386,4675,8390,4691,8390,5129,8386,5145,8377,5159,8364,5168,8348,5171,4464,5171,4448,5168,4435,5159,4426,5145,4423,5129,4423,4691xm5502,2825l5506,2802,5519,2783,5538,2770,5561,2765,7671,2765,7694,2770,7713,2783,7726,2802,7731,2825,7731,4418,7726,4441,7713,4461,7694,4473,7671,4478,5561,4478,5538,4473,5519,4461,5506,4441,5502,4418,5502,2825xm7795,2811l7799,2793,7809,2778,7823,2769,7841,2765,9874,2765,9891,2769,9906,2778,9916,2793,9919,2811,9919,4432,9916,4450,9906,4465,9891,4475,9874,4478,7841,4478,7823,4475,7809,4465,7799,4450,7795,4432,7795,2811xe" filled="false" stroked="true" strokeweight=".501653pt" strokecolor="#5f5f5f">
              <v:path arrowok="t"/>
              <v:stroke dashstyle="solid"/>
            </v:shape>
            <v:shape style="position:absolute;left:5871;top:2649;width:3929;height:2102" id="docshape18" coordorigin="5871,2650" coordsize="3929,2102" path="m7114,4507l5871,4507,5871,4751,7114,4751,7114,4507xm9800,2650l7880,2650,7880,2825,9800,2825,9800,2650xe" filled="true" fillcolor="#f1f1f1" stroked="false">
              <v:path arrowok="t"/>
              <v:fill type="solid"/>
            </v:shape>
            <v:shape style="position:absolute;left:8072;top:1661;width:1782;height:619" type="#_x0000_t75" id="docshape19" stroked="false">
              <v:imagedata r:id="rId14" o:title=""/>
            </v:shape>
            <v:shape style="position:absolute;left:2814;top:2765;width:2605;height:1714" id="docshape20" coordorigin="2815,2765" coordsize="2605,1714" path="m2815,2836l2820,2809,2836,2786,2858,2771,2885,2765,5349,2765,5376,2771,5399,2786,5414,2809,5419,2836,5419,4407,5414,4435,5399,4457,5376,4473,5349,4478,2885,4478,2858,4473,2836,4457,2820,4435,2815,4407,2815,2836xe" filled="false" stroked="true" strokeweight=".502517pt" strokecolor="#5f5f5f">
              <v:path arrowok="t"/>
              <v:stroke dashstyle="solid"/>
            </v:shape>
            <v:shape style="position:absolute;left:2846;top:1653;width:1853;height:625" type="#_x0000_t75" id="docshape21" stroked="false">
              <v:imagedata r:id="rId15" o:title=""/>
            </v:shape>
            <v:rect style="position:absolute;left:7879;top:2604;width:1921;height:45" id="docshape22" filled="true" fillcolor="#f1f1f1" stroked="false">
              <v:fill type="solid"/>
            </v:rect>
            <v:shape style="position:absolute;left:4910;top:4441;width:2873;height:121" type="#_x0000_t75" id="docshape23" stroked="false">
              <v:imagedata r:id="rId9" o:title=""/>
            </v:shape>
            <v:shape style="position:absolute;left:7831;top:3354;width:2037;height:541" type="#_x0000_t75" id="docshape24" stroked="false">
              <v:imagedata r:id="rId16" o:title=""/>
            </v:shape>
            <v:shape style="position:absolute;left:5544;top:2795;width:2206;height:613" type="#_x0000_t75" id="docshape25" stroked="false">
              <v:imagedata r:id="rId17" o:title=""/>
            </v:shape>
            <v:shape style="position:absolute;left:2833;top:2832;width:2562;height:557" type="#_x0000_t75" id="docshape26" stroked="false">
              <v:imagedata r:id="rId18" o:title=""/>
            </v:shape>
            <v:shape style="position:absolute;left:5537;top:3338;width:2237;height:613" type="#_x0000_t75" id="docshape27" stroked="false">
              <v:imagedata r:id="rId19" o:title=""/>
            </v:shape>
            <v:shape style="position:absolute;left:2833;top:3366;width:2562;height:613" type="#_x0000_t75" id="docshape28" stroked="false">
              <v:imagedata r:id="rId20" o:title=""/>
            </v:shape>
            <v:shape style="position:absolute;left:2814;top:3905;width:2631;height:614" type="#_x0000_t75" id="docshape29" stroked="false">
              <v:imagedata r:id="rId21" o:title=""/>
            </v:shape>
            <v:shape style="position:absolute;left:3535;top:5317;width:1685;height:625" type="#_x0000_t75" id="docshape30" stroked="false">
              <v:imagedata r:id="rId22" o:title=""/>
            </v:shape>
            <v:shape style="position:absolute;left:5291;top:5327;width:1843;height:615" type="#_x0000_t75" id="docshape31" stroked="false">
              <v:imagedata r:id="rId23" o:title=""/>
            </v:shape>
            <v:shape style="position:absolute;left:7286;top:5324;width:2481;height:618" type="#_x0000_t75" id="docshape32" stroked="false">
              <v:imagedata r:id="rId24" o:title=""/>
            </v:shape>
            <v:shape style="position:absolute;left:7808;top:3889;width:2112;height:557" type="#_x0000_t75" id="docshape33" stroked="false">
              <v:imagedata r:id="rId25" o:title=""/>
            </v:shape>
            <v:shape style="position:absolute;left:4698;top:4700;width:1667;height:474" type="#_x0000_t75" id="docshape34" stroked="false">
              <v:imagedata r:id="rId26" o:title=""/>
            </v:shape>
            <v:shape style="position:absolute;left:7824;top:2795;width:2051;height:613" type="#_x0000_t75" id="docshape35" stroked="false">
              <v:imagedata r:id="rId27" o:title=""/>
            </v:shape>
            <v:shape style="position:absolute;left:6458;top:4720;width:1639;height:469" type="#_x0000_t75" id="docshape36" stroked="false">
              <v:imagedata r:id="rId28" o:title=""/>
            </v:shape>
            <v:shape style="position:absolute;left:5534;top:3889;width:2244;height:557" type="#_x0000_t75" id="docshape37" stroked="false">
              <v:imagedata r:id="rId29" o:title=""/>
            </v:shape>
            <v:shape style="position:absolute;left:5028;top:3175;width:576;height:430" type="#_x0000_t75" id="docshape38" stroked="false">
              <v:imagedata r:id="rId30" o:title=""/>
            </v:shape>
            <v:rect style="position:absolute;left:5130;top:3278;width:371;height:223" id="docshape39" filled="true" fillcolor="#00afef" stroked="false">
              <v:fill type="solid"/>
            </v:rect>
            <v:shape style="position:absolute;left:5012;top:3746;width:592;height:416" type="#_x0000_t75" id="docshape40" stroked="false">
              <v:imagedata r:id="rId31" o:title=""/>
            </v:shape>
            <v:shape style="position:absolute;left:7424;top:2604;width:502;height:454" type="#_x0000_t75" id="docshape41" stroked="false">
              <v:imagedata r:id="rId32" o:title=""/>
            </v:shape>
            <v:rect style="position:absolute;left:7525;top:2707;width:298;height:248" id="docshape42" filled="true" fillcolor="#00afef" stroked="false">
              <v:fill type="solid"/>
            </v:rect>
            <v:shape style="position:absolute;left:7426;top:3160;width:499;height:450" type="#_x0000_t75" id="docshape43" stroked="false">
              <v:imagedata r:id="rId33" o:title=""/>
            </v:shape>
            <v:shape style="position:absolute;left:4492;top:4509;width:462;height:443" type="#_x0000_t75" id="docshape44" stroked="false">
              <v:imagedata r:id="rId34" o:title=""/>
            </v:shape>
            <v:shape style="position:absolute;left:3192;top:5074;width:532;height:418" type="#_x0000_t75" id="docshape45" stroked="false">
              <v:imagedata r:id="rId35" o:title=""/>
            </v:shape>
            <v:rect style="position:absolute;left:3294;top:5177;width:328;height:211" id="docshape46" filled="true" fillcolor="#00afef" stroked="false">
              <v:fill type="solid"/>
            </v:rect>
            <v:shape style="position:absolute;left:9416;top:5066;width:589;height:432" type="#_x0000_t75" id="docshape47" stroked="false">
              <v:imagedata r:id="rId36" o:title=""/>
            </v:shape>
            <v:shape style="position:absolute;left:7881;top:4539;width:476;height:416" type="#_x0000_t75" id="docshape48" stroked="false">
              <v:imagedata r:id="rId37" o:title=""/>
            </v:shape>
            <v:shape style="position:absolute;left:9623;top:3164;width:568;height:490" type="#_x0000_t75" id="docshape49" stroked="false">
              <v:imagedata r:id="rId38" o:title=""/>
            </v:shape>
            <v:rect style="position:absolute;left:9725;top:3266;width:364;height:285" id="docshape50" filled="true" fillcolor="#00afef" stroked="false">
              <v:fill type="solid"/>
            </v:rect>
            <v:rect style="position:absolute;left:9668;top:2649;width:364;height:300" id="docshape51" filled="true" fillcolor="#416266" stroked="false">
              <v:fill type="solid"/>
            </v:rect>
            <v:rect style="position:absolute;left:9668;top:2649;width:364;height:300" id="docshape52" filled="false" stroked="true" strokeweight="3.012486pt" strokecolor="#ff6600">
              <v:stroke dashstyle="solid"/>
            </v:rect>
            <v:rect style="position:absolute;left:7483;top:3833;width:353;height:245" id="docshape53" filled="true" fillcolor="#416266" stroked="false">
              <v:fill type="solid"/>
            </v:rect>
            <v:rect style="position:absolute;left:7483;top:3833;width:353;height:245" id="docshape54" filled="false" stroked="true" strokeweight="3.014541pt" strokecolor="#ff6600">
              <v:stroke dashstyle="solid"/>
            </v:rect>
            <v:shape style="position:absolute;left:9623;top:3715;width:568;height:490" type="#_x0000_t75" id="docshape55" stroked="false">
              <v:imagedata r:id="rId38" o:title=""/>
            </v:shape>
            <v:shape style="position:absolute;left:6822;top:5140;width:500;height:400" type="#_x0000_t75" id="docshape56" stroked="false">
              <v:imagedata r:id="rId39" o:title=""/>
            </v:shape>
            <v:rect style="position:absolute;left:1539;top:484;width:9601;height:5453" id="docshape57" filled="false" stroked="true" strokeweight=".501280pt" strokecolor="#000000">
              <v:stroke dashstyle="solid"/>
            </v:rect>
            <v:shape style="position:absolute;left:1581;top:583;width:2997;height:1030" type="#_x0000_t202" id="docshape58" filled="false" stroked="false">
              <v:textbox inset="0,0,0,0">
                <w:txbxContent>
                  <w:p>
                    <w:pPr>
                      <w:spacing w:line="134" w:lineRule="exact" w:before="0"/>
                      <w:ind w:left="1230" w:right="0" w:firstLine="0"/>
                      <w:jc w:val="left"/>
                      <w:rPr>
                        <w:rFonts w:ascii="Arial" w:hAnsi="Arial"/>
                        <w:b/>
                        <w:sz w:val="12"/>
                      </w:rPr>
                    </w:pPr>
                    <w:r>
                      <w:rPr>
                        <w:rFonts w:ascii="Arial" w:hAnsi="Arial"/>
                        <w:b/>
                        <w:spacing w:val="-2"/>
                        <w:sz w:val="12"/>
                      </w:rPr>
                      <w:t>Missão:</w:t>
                    </w:r>
                  </w:p>
                  <w:p>
                    <w:pPr>
                      <w:tabs>
                        <w:tab w:pos="1230" w:val="left" w:leader="none"/>
                      </w:tabs>
                      <w:spacing w:line="252" w:lineRule="auto" w:before="20"/>
                      <w:ind w:left="0" w:right="18" w:firstLine="0"/>
                      <w:jc w:val="left"/>
                      <w:rPr>
                        <w:rFonts w:ascii="Arial" w:hAnsi="Arial"/>
                        <w:b/>
                        <w:sz w:val="12"/>
                      </w:rPr>
                    </w:pPr>
                    <w:r>
                      <w:rPr>
                        <w:rFonts w:ascii="Arial" w:hAnsi="Arial"/>
                        <w:color w:val="FFFFFF"/>
                        <w:sz w:val="11"/>
                      </w:rPr>
                      <w:t>Números</w:t>
                    </w:r>
                    <w:r>
                      <w:rPr>
                        <w:rFonts w:ascii="Arial" w:hAnsi="Arial"/>
                        <w:color w:val="FFFFFF"/>
                        <w:spacing w:val="-8"/>
                        <w:sz w:val="11"/>
                      </w:rPr>
                      <w:t> </w:t>
                    </w:r>
                    <w:r>
                      <w:rPr>
                        <w:rFonts w:ascii="Arial" w:hAnsi="Arial"/>
                        <w:color w:val="FFFFFF"/>
                        <w:sz w:val="11"/>
                      </w:rPr>
                      <w:t>de</w:t>
                    </w:r>
                    <w:r>
                      <w:rPr>
                        <w:rFonts w:ascii="Arial" w:hAnsi="Arial"/>
                        <w:color w:val="FFFFFF"/>
                        <w:spacing w:val="-7"/>
                        <w:sz w:val="11"/>
                      </w:rPr>
                      <w:t> </w:t>
                    </w:r>
                    <w:r>
                      <w:rPr>
                        <w:rFonts w:ascii="Arial" w:hAnsi="Arial"/>
                        <w:color w:val="FFFFFF"/>
                        <w:sz w:val="11"/>
                      </w:rPr>
                      <w:t>CAU/UF</w:t>
                    </w:r>
                    <w:r>
                      <w:rPr>
                        <w:rFonts w:ascii="Arial" w:hAnsi="Arial"/>
                        <w:color w:val="FFFFFF"/>
                        <w:spacing w:val="-5"/>
                        <w:sz w:val="11"/>
                      </w:rPr>
                      <w:t> </w:t>
                    </w:r>
                    <w:r>
                      <w:rPr>
                        <w:rFonts w:ascii="Arial" w:hAnsi="Arial"/>
                        <w:color w:val="FFFFFF"/>
                        <w:sz w:val="11"/>
                      </w:rPr>
                      <w:t>que</w:t>
                    </w:r>
                    <w:r>
                      <w:rPr>
                        <w:rFonts w:ascii="Arial" w:hAnsi="Arial"/>
                        <w:color w:val="FFFFFF"/>
                        <w:spacing w:val="-5"/>
                        <w:sz w:val="11"/>
                      </w:rPr>
                      <w:t> </w:t>
                    </w:r>
                    <w:r>
                      <w:rPr>
                        <w:rFonts w:ascii="Arial" w:hAnsi="Arial"/>
                        <w:color w:val="FFFFFF"/>
                        <w:sz w:val="11"/>
                      </w:rPr>
                      <w:t>escolheram</w:t>
                    </w:r>
                    <w:r>
                      <w:rPr>
                        <w:rFonts w:ascii="Arial" w:hAnsi="Arial"/>
                        <w:color w:val="FFFFFF"/>
                        <w:spacing w:val="-7"/>
                        <w:sz w:val="11"/>
                      </w:rPr>
                      <w:t> </w:t>
                    </w:r>
                    <w:r>
                      <w:rPr>
                        <w:rFonts w:ascii="Arial" w:hAnsi="Arial"/>
                        <w:color w:val="FFFFFF"/>
                        <w:sz w:val="11"/>
                      </w:rPr>
                      <w:t>os</w:t>
                    </w:r>
                    <w:r>
                      <w:rPr>
                        <w:rFonts w:ascii="Arial" w:hAnsi="Arial"/>
                        <w:color w:val="FFFFFF"/>
                        <w:spacing w:val="-7"/>
                        <w:sz w:val="11"/>
                      </w:rPr>
                      <w:t> </w:t>
                    </w:r>
                    <w:r>
                      <w:rPr>
                        <w:rFonts w:ascii="Arial" w:hAnsi="Arial"/>
                        <w:color w:val="FFFFFF"/>
                        <w:sz w:val="11"/>
                      </w:rPr>
                      <w:t>objetivos</w:t>
                    </w:r>
                    <w:r>
                      <w:rPr>
                        <w:rFonts w:ascii="Arial" w:hAnsi="Arial"/>
                        <w:color w:val="FFFFFF"/>
                        <w:spacing w:val="-5"/>
                        <w:sz w:val="11"/>
                      </w:rPr>
                      <w:t> </w:t>
                    </w:r>
                    <w:r>
                      <w:rPr>
                        <w:rFonts w:ascii="Arial" w:hAnsi="Arial"/>
                        <w:color w:val="FFFFFF"/>
                        <w:sz w:val="11"/>
                      </w:rPr>
                      <w:t>que</w:t>
                    </w:r>
                    <w:r>
                      <w:rPr>
                        <w:rFonts w:ascii="Arial" w:hAnsi="Arial"/>
                        <w:color w:val="FFFFFF"/>
                        <w:spacing w:val="-5"/>
                        <w:sz w:val="11"/>
                      </w:rPr>
                      <w:t> </w:t>
                    </w:r>
                    <w:r>
                      <w:rPr>
                        <w:rFonts w:ascii="Arial" w:hAnsi="Arial"/>
                        <w:color w:val="FFFFFF"/>
                        <w:sz w:val="11"/>
                      </w:rPr>
                      <w:t>serão</w:t>
                    </w:r>
                    <w:r>
                      <w:rPr>
                        <w:rFonts w:ascii="Arial" w:hAnsi="Arial"/>
                        <w:color w:val="FFFFFF"/>
                        <w:spacing w:val="40"/>
                        <w:sz w:val="11"/>
                      </w:rPr>
                      <w:t> </w:t>
                    </w:r>
                    <w:r>
                      <w:rPr>
                        <w:rFonts w:ascii="Arial" w:hAnsi="Arial"/>
                        <w:color w:val="FFFFFF"/>
                        <w:sz w:val="11"/>
                      </w:rPr>
                      <w:t>focados em 2020:</w:t>
                      <w:tab/>
                    </w:r>
                    <w:r>
                      <w:rPr>
                        <w:rFonts w:ascii="Arial" w:hAnsi="Arial"/>
                        <w:b/>
                        <w:spacing w:val="-2"/>
                        <w:position w:val="-2"/>
                        <w:sz w:val="12"/>
                      </w:rPr>
                      <w:t>Visão:</w:t>
                    </w:r>
                  </w:p>
                  <w:p>
                    <w:pPr>
                      <w:spacing w:before="100"/>
                      <w:ind w:left="59" w:right="0" w:firstLine="0"/>
                      <w:jc w:val="left"/>
                      <w:rPr>
                        <w:rFonts w:ascii="Arial"/>
                        <w:sz w:val="11"/>
                      </w:rPr>
                    </w:pPr>
                    <w:r>
                      <w:rPr>
                        <w:rFonts w:ascii="Arial"/>
                        <w:color w:val="FFFFFF"/>
                        <w:sz w:val="11"/>
                      </w:rPr>
                      <w:t>Objetivos</w:t>
                    </w:r>
                    <w:r>
                      <w:rPr>
                        <w:rFonts w:ascii="Arial"/>
                        <w:color w:val="FFFFFF"/>
                        <w:spacing w:val="-5"/>
                        <w:sz w:val="11"/>
                      </w:rPr>
                      <w:t> </w:t>
                    </w:r>
                    <w:r>
                      <w:rPr>
                        <w:rFonts w:ascii="Arial"/>
                        <w:color w:val="FFFFFF"/>
                        <w:sz w:val="11"/>
                      </w:rPr>
                      <w:t>comuns</w:t>
                    </w:r>
                    <w:r>
                      <w:rPr>
                        <w:rFonts w:ascii="Arial"/>
                        <w:color w:val="FFFFFF"/>
                        <w:spacing w:val="-7"/>
                        <w:sz w:val="11"/>
                      </w:rPr>
                      <w:t> </w:t>
                    </w:r>
                    <w:r>
                      <w:rPr>
                        <w:rFonts w:ascii="Arial"/>
                        <w:color w:val="FFFFFF"/>
                        <w:sz w:val="11"/>
                      </w:rPr>
                      <w:t>para</w:t>
                    </w:r>
                    <w:r>
                      <w:rPr>
                        <w:rFonts w:ascii="Arial"/>
                        <w:color w:val="FFFFFF"/>
                        <w:spacing w:val="-2"/>
                        <w:sz w:val="11"/>
                      </w:rPr>
                      <w:t> </w:t>
                    </w:r>
                    <w:r>
                      <w:rPr>
                        <w:rFonts w:ascii="Arial"/>
                        <w:color w:val="FFFFFF"/>
                        <w:sz w:val="11"/>
                      </w:rPr>
                      <w:t>o</w:t>
                    </w:r>
                    <w:r>
                      <w:rPr>
                        <w:rFonts w:ascii="Arial"/>
                        <w:color w:val="FFFFFF"/>
                        <w:spacing w:val="-4"/>
                        <w:sz w:val="11"/>
                      </w:rPr>
                      <w:t> </w:t>
                    </w:r>
                    <w:r>
                      <w:rPr>
                        <w:rFonts w:ascii="Arial"/>
                        <w:color w:val="FFFFFF"/>
                        <w:spacing w:val="-5"/>
                        <w:sz w:val="11"/>
                      </w:rPr>
                      <w:t>CAU</w:t>
                    </w:r>
                  </w:p>
                  <w:p>
                    <w:pPr>
                      <w:spacing w:before="7"/>
                      <w:ind w:left="59" w:right="0" w:firstLine="0"/>
                      <w:jc w:val="left"/>
                      <w:rPr>
                        <w:rFonts w:ascii="Arial"/>
                        <w:sz w:val="11"/>
                      </w:rPr>
                    </w:pPr>
                    <w:r>
                      <w:rPr>
                        <w:rFonts w:ascii="Arial"/>
                        <w:color w:val="FFFFFF"/>
                        <w:sz w:val="11"/>
                      </w:rPr>
                      <w:t>Objetivos</w:t>
                    </w:r>
                    <w:r>
                      <w:rPr>
                        <w:rFonts w:ascii="Arial"/>
                        <w:color w:val="FFFFFF"/>
                        <w:spacing w:val="-6"/>
                        <w:sz w:val="11"/>
                      </w:rPr>
                      <w:t> </w:t>
                    </w:r>
                    <w:r>
                      <w:rPr>
                        <w:rFonts w:ascii="Arial"/>
                        <w:color w:val="FFFFFF"/>
                        <w:sz w:val="11"/>
                      </w:rPr>
                      <w:t>com</w:t>
                    </w:r>
                    <w:r>
                      <w:rPr>
                        <w:rFonts w:ascii="Arial"/>
                        <w:color w:val="FFFFFF"/>
                        <w:spacing w:val="-5"/>
                        <w:sz w:val="11"/>
                      </w:rPr>
                      <w:t> </w:t>
                    </w:r>
                    <w:r>
                      <w:rPr>
                        <w:rFonts w:ascii="Arial"/>
                        <w:color w:val="FFFFFF"/>
                        <w:sz w:val="11"/>
                      </w:rPr>
                      <w:t>maior</w:t>
                    </w:r>
                    <w:r>
                      <w:rPr>
                        <w:rFonts w:ascii="Arial"/>
                        <w:color w:val="FFFFFF"/>
                        <w:spacing w:val="-7"/>
                        <w:sz w:val="11"/>
                      </w:rPr>
                      <w:t> </w:t>
                    </w:r>
                    <w:r>
                      <w:rPr>
                        <w:rFonts w:ascii="Arial"/>
                        <w:color w:val="FFFFFF"/>
                        <w:sz w:val="11"/>
                      </w:rPr>
                      <w:t>envolvimento</w:t>
                    </w:r>
                    <w:r>
                      <w:rPr>
                        <w:rFonts w:ascii="Arial"/>
                        <w:color w:val="FFFFFF"/>
                        <w:spacing w:val="-5"/>
                        <w:sz w:val="11"/>
                      </w:rPr>
                      <w:t> </w:t>
                    </w:r>
                    <w:r>
                      <w:rPr>
                        <w:rFonts w:ascii="Arial"/>
                        <w:color w:val="FFFFFF"/>
                        <w:sz w:val="11"/>
                      </w:rPr>
                      <w:t>dos</w:t>
                    </w:r>
                    <w:r>
                      <w:rPr>
                        <w:rFonts w:ascii="Arial"/>
                        <w:color w:val="FFFFFF"/>
                        <w:spacing w:val="-3"/>
                        <w:sz w:val="11"/>
                      </w:rPr>
                      <w:t> </w:t>
                    </w:r>
                    <w:r>
                      <w:rPr>
                        <w:rFonts w:ascii="Arial"/>
                        <w:color w:val="FFFFFF"/>
                        <w:spacing w:val="-2"/>
                        <w:sz w:val="11"/>
                      </w:rPr>
                      <w:t>CAU/UF</w:t>
                    </w:r>
                  </w:p>
                  <w:p>
                    <w:pPr>
                      <w:spacing w:before="79"/>
                      <w:ind w:left="1230" w:right="0" w:firstLine="0"/>
                      <w:jc w:val="left"/>
                      <w:rPr>
                        <w:rFonts w:ascii="Arial"/>
                        <w:b/>
                        <w:sz w:val="12"/>
                      </w:rPr>
                    </w:pPr>
                    <w:r>
                      <w:rPr>
                        <w:rFonts w:ascii="Arial"/>
                        <w:b/>
                        <w:spacing w:val="-2"/>
                        <w:sz w:val="12"/>
                      </w:rPr>
                      <w:t>Sociedade</w:t>
                    </w:r>
                  </w:p>
                </w:txbxContent>
              </v:textbox>
              <w10:wrap type="none"/>
            </v:shape>
            <v:shape style="position:absolute;left:4951;top:573;width:2776;height:652" type="#_x0000_t202" id="docshape59" filled="false" stroked="false">
              <v:textbox inset="0,0,0,0">
                <w:txbxContent>
                  <w:p>
                    <w:pPr>
                      <w:spacing w:line="134" w:lineRule="exact" w:before="0"/>
                      <w:ind w:left="0" w:right="18" w:firstLine="0"/>
                      <w:jc w:val="center"/>
                      <w:rPr>
                        <w:rFonts w:ascii="Arial"/>
                        <w:b/>
                        <w:sz w:val="12"/>
                      </w:rPr>
                    </w:pPr>
                    <w:r>
                      <w:rPr>
                        <w:rFonts w:ascii="Arial"/>
                        <w:b/>
                        <w:sz w:val="12"/>
                      </w:rPr>
                      <w:t>Promover</w:t>
                    </w:r>
                    <w:r>
                      <w:rPr>
                        <w:rFonts w:ascii="Arial"/>
                        <w:b/>
                        <w:spacing w:val="-9"/>
                        <w:sz w:val="12"/>
                      </w:rPr>
                      <w:t> </w:t>
                    </w:r>
                    <w:r>
                      <w:rPr>
                        <w:rFonts w:ascii="Arial"/>
                        <w:b/>
                        <w:sz w:val="12"/>
                      </w:rPr>
                      <w:t>a</w:t>
                    </w:r>
                    <w:r>
                      <w:rPr>
                        <w:rFonts w:ascii="Arial"/>
                        <w:b/>
                        <w:spacing w:val="-8"/>
                        <w:sz w:val="12"/>
                      </w:rPr>
                      <w:t> </w:t>
                    </w:r>
                    <w:r>
                      <w:rPr>
                        <w:rFonts w:ascii="Arial"/>
                        <w:b/>
                        <w:sz w:val="12"/>
                      </w:rPr>
                      <w:t>Arquitetura</w:t>
                    </w:r>
                    <w:r>
                      <w:rPr>
                        <w:rFonts w:ascii="Arial"/>
                        <w:b/>
                        <w:spacing w:val="-8"/>
                        <w:sz w:val="12"/>
                      </w:rPr>
                      <w:t> </w:t>
                    </w:r>
                    <w:r>
                      <w:rPr>
                        <w:rFonts w:ascii="Arial"/>
                        <w:b/>
                        <w:sz w:val="12"/>
                      </w:rPr>
                      <w:t>e</w:t>
                    </w:r>
                    <w:r>
                      <w:rPr>
                        <w:rFonts w:ascii="Arial"/>
                        <w:b/>
                        <w:spacing w:val="-9"/>
                        <w:sz w:val="12"/>
                      </w:rPr>
                      <w:t> </w:t>
                    </w:r>
                    <w:r>
                      <w:rPr>
                        <w:rFonts w:ascii="Arial"/>
                        <w:b/>
                        <w:sz w:val="12"/>
                      </w:rPr>
                      <w:t>Urbanismo</w:t>
                    </w:r>
                    <w:r>
                      <w:rPr>
                        <w:rFonts w:ascii="Arial"/>
                        <w:b/>
                        <w:spacing w:val="-6"/>
                        <w:sz w:val="12"/>
                      </w:rPr>
                      <w:t> </w:t>
                    </w:r>
                    <w:r>
                      <w:rPr>
                        <w:rFonts w:ascii="Arial"/>
                        <w:b/>
                        <w:sz w:val="12"/>
                      </w:rPr>
                      <w:t>para</w:t>
                    </w:r>
                    <w:r>
                      <w:rPr>
                        <w:rFonts w:ascii="Arial"/>
                        <w:b/>
                        <w:spacing w:val="-9"/>
                        <w:sz w:val="12"/>
                      </w:rPr>
                      <w:t> </w:t>
                    </w:r>
                    <w:r>
                      <w:rPr>
                        <w:rFonts w:ascii="Arial"/>
                        <w:b/>
                        <w:spacing w:val="-2"/>
                        <w:sz w:val="12"/>
                      </w:rPr>
                      <w:t>Todos</w:t>
                    </w:r>
                  </w:p>
                  <w:p>
                    <w:pPr>
                      <w:spacing w:line="252" w:lineRule="auto" w:before="85"/>
                      <w:ind w:left="0" w:right="12" w:firstLine="0"/>
                      <w:jc w:val="center"/>
                      <w:rPr>
                        <w:rFonts w:ascii="Arial" w:hAnsi="Arial"/>
                        <w:sz w:val="12"/>
                      </w:rPr>
                    </w:pPr>
                    <w:r>
                      <w:rPr>
                        <w:rFonts w:ascii="Arial" w:hAnsi="Arial"/>
                        <w:sz w:val="12"/>
                      </w:rPr>
                      <w:t>Ser</w:t>
                    </w:r>
                    <w:r>
                      <w:rPr>
                        <w:rFonts w:ascii="Arial" w:hAnsi="Arial"/>
                        <w:spacing w:val="-11"/>
                        <w:sz w:val="12"/>
                      </w:rPr>
                      <w:t> </w:t>
                    </w:r>
                    <w:r>
                      <w:rPr>
                        <w:rFonts w:ascii="Arial" w:hAnsi="Arial"/>
                        <w:sz w:val="12"/>
                      </w:rPr>
                      <w:t>reconhecido</w:t>
                    </w:r>
                    <w:r>
                      <w:rPr>
                        <w:rFonts w:ascii="Arial" w:hAnsi="Arial"/>
                        <w:spacing w:val="-8"/>
                        <w:sz w:val="12"/>
                      </w:rPr>
                      <w:t> </w:t>
                    </w:r>
                    <w:r>
                      <w:rPr>
                        <w:rFonts w:ascii="Arial" w:hAnsi="Arial"/>
                        <w:sz w:val="12"/>
                      </w:rPr>
                      <w:t>como</w:t>
                    </w:r>
                    <w:r>
                      <w:rPr>
                        <w:rFonts w:ascii="Arial" w:hAnsi="Arial"/>
                        <w:spacing w:val="-8"/>
                        <w:sz w:val="12"/>
                      </w:rPr>
                      <w:t> </w:t>
                    </w:r>
                    <w:r>
                      <w:rPr>
                        <w:rFonts w:ascii="Arial" w:hAnsi="Arial"/>
                        <w:sz w:val="12"/>
                      </w:rPr>
                      <w:t>referência</w:t>
                    </w:r>
                    <w:r>
                      <w:rPr>
                        <w:rFonts w:ascii="Arial" w:hAnsi="Arial"/>
                        <w:spacing w:val="-9"/>
                        <w:sz w:val="12"/>
                      </w:rPr>
                      <w:t> </w:t>
                    </w:r>
                    <w:r>
                      <w:rPr>
                        <w:rFonts w:ascii="Arial" w:hAnsi="Arial"/>
                        <w:sz w:val="12"/>
                      </w:rPr>
                      <w:t>na</w:t>
                    </w:r>
                    <w:r>
                      <w:rPr>
                        <w:rFonts w:ascii="Arial" w:hAnsi="Arial"/>
                        <w:spacing w:val="-8"/>
                        <w:sz w:val="12"/>
                      </w:rPr>
                      <w:t> </w:t>
                    </w:r>
                    <w:r>
                      <w:rPr>
                        <w:rFonts w:ascii="Arial" w:hAnsi="Arial"/>
                        <w:sz w:val="12"/>
                      </w:rPr>
                      <w:t>defesa</w:t>
                    </w:r>
                    <w:r>
                      <w:rPr>
                        <w:rFonts w:ascii="Arial" w:hAnsi="Arial"/>
                        <w:spacing w:val="-8"/>
                        <w:sz w:val="12"/>
                      </w:rPr>
                      <w:t> </w:t>
                    </w:r>
                    <w:r>
                      <w:rPr>
                        <w:rFonts w:ascii="Arial" w:hAnsi="Arial"/>
                        <w:sz w:val="12"/>
                      </w:rPr>
                      <w:t>e</w:t>
                    </w:r>
                    <w:r>
                      <w:rPr>
                        <w:rFonts w:ascii="Arial" w:hAnsi="Arial"/>
                        <w:spacing w:val="40"/>
                        <w:sz w:val="12"/>
                      </w:rPr>
                      <w:t> </w:t>
                    </w:r>
                    <w:r>
                      <w:rPr>
                        <w:rFonts w:ascii="Arial" w:hAnsi="Arial"/>
                        <w:sz w:val="12"/>
                      </w:rPr>
                      <w:t>fomento das boas práticas da Arquitetura e</w:t>
                    </w:r>
                    <w:r>
                      <w:rPr>
                        <w:rFonts w:ascii="Arial" w:hAnsi="Arial"/>
                        <w:spacing w:val="40"/>
                        <w:sz w:val="12"/>
                      </w:rPr>
                      <w:t> </w:t>
                    </w:r>
                    <w:r>
                      <w:rPr>
                        <w:rFonts w:ascii="Arial" w:hAnsi="Arial"/>
                        <w:spacing w:val="-2"/>
                        <w:sz w:val="12"/>
                      </w:rPr>
                      <w:t>Urbanismo</w:t>
                    </w:r>
                  </w:p>
                </w:txbxContent>
              </v:textbox>
              <w10:wrap type="none"/>
            </v:shape>
            <v:shape style="position:absolute;left:9789;top:606;width:1301;height:135" type="#_x0000_t202" id="docshape60" filled="false" stroked="false">
              <v:textbox inset="0,0,0,0">
                <w:txbxContent>
                  <w:p>
                    <w:pPr>
                      <w:spacing w:line="134" w:lineRule="exact" w:before="0"/>
                      <w:ind w:left="0" w:right="0" w:firstLine="0"/>
                      <w:jc w:val="left"/>
                      <w:rPr>
                        <w:rFonts w:ascii="Arial" w:hAnsi="Arial"/>
                        <w:b/>
                        <w:sz w:val="12"/>
                      </w:rPr>
                    </w:pPr>
                    <w:r>
                      <w:rPr>
                        <w:rFonts w:ascii="Arial" w:hAnsi="Arial"/>
                        <w:b/>
                        <w:color w:val="173B46"/>
                        <w:sz w:val="12"/>
                      </w:rPr>
                      <w:t>Mapa</w:t>
                    </w:r>
                    <w:r>
                      <w:rPr>
                        <w:rFonts w:ascii="Arial" w:hAnsi="Arial"/>
                        <w:b/>
                        <w:color w:val="173B46"/>
                        <w:spacing w:val="-5"/>
                        <w:sz w:val="12"/>
                      </w:rPr>
                      <w:t> </w:t>
                    </w:r>
                    <w:r>
                      <w:rPr>
                        <w:rFonts w:ascii="Arial" w:hAnsi="Arial"/>
                        <w:b/>
                        <w:color w:val="173B46"/>
                        <w:sz w:val="12"/>
                      </w:rPr>
                      <w:t>Estratégico</w:t>
                    </w:r>
                    <w:r>
                      <w:rPr>
                        <w:rFonts w:ascii="Arial" w:hAnsi="Arial"/>
                        <w:b/>
                        <w:color w:val="173B46"/>
                        <w:spacing w:val="-3"/>
                        <w:sz w:val="12"/>
                      </w:rPr>
                      <w:t> </w:t>
                    </w:r>
                    <w:r>
                      <w:rPr>
                        <w:rFonts w:ascii="Arial" w:hAnsi="Arial"/>
                        <w:b/>
                        <w:color w:val="173B46"/>
                        <w:spacing w:val="-5"/>
                        <w:sz w:val="12"/>
                      </w:rPr>
                      <w:t>CAU</w:t>
                    </w:r>
                  </w:p>
                </w:txbxContent>
              </v:textbox>
              <w10:wrap type="none"/>
            </v:shape>
            <v:shape style="position:absolute;left:2998;top:1740;width:1567;height:425" type="#_x0000_t202" id="docshape61" filled="false" stroked="false">
              <v:textbox inset="0,0,0,0">
                <w:txbxContent>
                  <w:p>
                    <w:pPr>
                      <w:spacing w:line="252" w:lineRule="auto" w:before="0"/>
                      <w:ind w:left="0" w:right="18" w:firstLine="0"/>
                      <w:jc w:val="center"/>
                      <w:rPr>
                        <w:rFonts w:ascii="Arial" w:hAnsi="Arial"/>
                        <w:sz w:val="12"/>
                      </w:rPr>
                    </w:pPr>
                    <w:r>
                      <w:rPr>
                        <w:rFonts w:ascii="Arial" w:hAnsi="Arial"/>
                        <w:sz w:val="12"/>
                      </w:rPr>
                      <w:t>Impactar</w:t>
                    </w:r>
                    <w:r>
                      <w:rPr>
                        <w:rFonts w:ascii="Arial" w:hAnsi="Arial"/>
                        <w:spacing w:val="-9"/>
                        <w:sz w:val="12"/>
                      </w:rPr>
                      <w:t> </w:t>
                    </w:r>
                    <w:r>
                      <w:rPr>
                        <w:rFonts w:ascii="Arial" w:hAnsi="Arial"/>
                        <w:sz w:val="12"/>
                      </w:rPr>
                      <w:t>significativamente</w:t>
                    </w:r>
                    <w:r>
                      <w:rPr>
                        <w:rFonts w:ascii="Arial" w:hAnsi="Arial"/>
                        <w:spacing w:val="-8"/>
                        <w:sz w:val="12"/>
                      </w:rPr>
                      <w:t> </w:t>
                    </w:r>
                    <w:r>
                      <w:rPr>
                        <w:rFonts w:ascii="Arial" w:hAnsi="Arial"/>
                        <w:sz w:val="12"/>
                      </w:rPr>
                      <w:t>o</w:t>
                    </w:r>
                    <w:r>
                      <w:rPr>
                        <w:rFonts w:ascii="Arial" w:hAnsi="Arial"/>
                        <w:spacing w:val="40"/>
                        <w:sz w:val="12"/>
                      </w:rPr>
                      <w:t> </w:t>
                    </w:r>
                    <w:r>
                      <w:rPr>
                        <w:rFonts w:ascii="Arial" w:hAnsi="Arial"/>
                        <w:sz w:val="12"/>
                      </w:rPr>
                      <w:t>planejamento e a gestão do</w:t>
                    </w:r>
                    <w:r>
                      <w:rPr>
                        <w:rFonts w:ascii="Arial" w:hAnsi="Arial"/>
                        <w:spacing w:val="40"/>
                        <w:sz w:val="12"/>
                      </w:rPr>
                      <w:t> </w:t>
                    </w:r>
                    <w:r>
                      <w:rPr>
                        <w:rFonts w:ascii="Arial" w:hAnsi="Arial"/>
                        <w:spacing w:val="-2"/>
                        <w:sz w:val="12"/>
                      </w:rPr>
                      <w:t>território</w:t>
                    </w:r>
                  </w:p>
                </w:txbxContent>
              </v:textbox>
              <w10:wrap type="none"/>
            </v:shape>
            <v:shape style="position:absolute;left:4924;top:1495;width:62;height:862" type="#_x0000_t202" id="docshape62" filled="false" stroked="false">
              <v:textbox inset="0,0,0,0">
                <w:txbxContent>
                  <w:p>
                    <w:pPr>
                      <w:spacing w:line="134" w:lineRule="exact" w:before="0"/>
                      <w:ind w:left="0" w:right="0" w:firstLine="0"/>
                      <w:jc w:val="left"/>
                      <w:rPr>
                        <w:rFonts w:ascii="Arial" w:hAnsi="Arial"/>
                        <w:sz w:val="12"/>
                      </w:rPr>
                    </w:pPr>
                    <w:r>
                      <w:rPr>
                        <w:rFonts w:ascii="Arial" w:hAnsi="Arial"/>
                        <w:color w:val="294348"/>
                        <w:w w:val="99"/>
                        <w:sz w:val="12"/>
                      </w:rPr>
                      <w:t>•</w:t>
                    </w:r>
                  </w:p>
                  <w:p>
                    <w:pPr>
                      <w:spacing w:before="7"/>
                      <w:ind w:left="0" w:right="0" w:firstLine="0"/>
                      <w:jc w:val="left"/>
                      <w:rPr>
                        <w:rFonts w:ascii="Arial" w:hAnsi="Arial"/>
                        <w:sz w:val="12"/>
                      </w:rPr>
                    </w:pPr>
                    <w:r>
                      <w:rPr>
                        <w:rFonts w:ascii="Arial" w:hAnsi="Arial"/>
                        <w:color w:val="294348"/>
                        <w:w w:val="99"/>
                        <w:sz w:val="12"/>
                      </w:rPr>
                      <w:t>•</w:t>
                    </w:r>
                  </w:p>
                  <w:p>
                    <w:pPr>
                      <w:spacing w:before="7"/>
                      <w:ind w:left="0" w:right="0" w:firstLine="0"/>
                      <w:jc w:val="left"/>
                      <w:rPr>
                        <w:rFonts w:ascii="Arial" w:hAnsi="Arial"/>
                        <w:sz w:val="12"/>
                      </w:rPr>
                    </w:pPr>
                    <w:r>
                      <w:rPr>
                        <w:rFonts w:ascii="Arial" w:hAnsi="Arial"/>
                        <w:color w:val="294348"/>
                        <w:w w:val="99"/>
                        <w:sz w:val="12"/>
                      </w:rPr>
                      <w:t>•</w:t>
                    </w:r>
                  </w:p>
                  <w:p>
                    <w:pPr>
                      <w:spacing w:before="8"/>
                      <w:ind w:left="0" w:right="0" w:firstLine="0"/>
                      <w:jc w:val="left"/>
                      <w:rPr>
                        <w:rFonts w:ascii="Arial" w:hAnsi="Arial"/>
                        <w:sz w:val="12"/>
                      </w:rPr>
                    </w:pPr>
                    <w:r>
                      <w:rPr>
                        <w:rFonts w:ascii="Arial" w:hAnsi="Arial"/>
                        <w:color w:val="294348"/>
                        <w:w w:val="99"/>
                        <w:sz w:val="12"/>
                      </w:rPr>
                      <w:t>•</w:t>
                    </w:r>
                  </w:p>
                  <w:p>
                    <w:pPr>
                      <w:spacing w:before="7"/>
                      <w:ind w:left="0" w:right="0" w:firstLine="0"/>
                      <w:jc w:val="left"/>
                      <w:rPr>
                        <w:rFonts w:ascii="Arial" w:hAnsi="Arial"/>
                        <w:sz w:val="12"/>
                      </w:rPr>
                    </w:pPr>
                    <w:r>
                      <w:rPr>
                        <w:rFonts w:ascii="Arial" w:hAnsi="Arial"/>
                        <w:color w:val="294348"/>
                        <w:w w:val="99"/>
                        <w:sz w:val="12"/>
                      </w:rPr>
                      <w:t>•</w:t>
                    </w:r>
                  </w:p>
                  <w:p>
                    <w:pPr>
                      <w:spacing w:before="7"/>
                      <w:ind w:left="0" w:right="0" w:firstLine="0"/>
                      <w:jc w:val="left"/>
                      <w:rPr>
                        <w:rFonts w:ascii="Arial" w:hAnsi="Arial"/>
                        <w:sz w:val="12"/>
                      </w:rPr>
                    </w:pPr>
                    <w:r>
                      <w:rPr>
                        <w:rFonts w:ascii="Arial" w:hAnsi="Arial"/>
                        <w:color w:val="294348"/>
                        <w:w w:val="99"/>
                        <w:sz w:val="12"/>
                      </w:rPr>
                      <w:t>•</w:t>
                    </w:r>
                  </w:p>
                </w:txbxContent>
              </v:textbox>
              <w10:wrap type="none"/>
            </v:shape>
            <v:shape style="position:absolute;left:5148;top:1495;width:2900;height:862" type="#_x0000_t202" id="docshape63" filled="false" stroked="false">
              <v:textbox inset="0,0,0,0">
                <w:txbxContent>
                  <w:p>
                    <w:pPr>
                      <w:spacing w:line="254" w:lineRule="auto" w:before="0"/>
                      <w:ind w:left="0" w:right="1232" w:firstLine="0"/>
                      <w:jc w:val="left"/>
                      <w:rPr>
                        <w:rFonts w:ascii="Arial" w:hAnsi="Arial"/>
                        <w:sz w:val="12"/>
                      </w:rPr>
                    </w:pPr>
                    <w:r>
                      <w:rPr>
                        <w:rFonts w:ascii="Arial" w:hAnsi="Arial"/>
                        <w:color w:val="294348"/>
                        <w:sz w:val="12"/>
                      </w:rPr>
                      <w:t>Ética e transparência</w:t>
                    </w:r>
                    <w:r>
                      <w:rPr>
                        <w:rFonts w:ascii="Arial" w:hAnsi="Arial"/>
                        <w:color w:val="294348"/>
                        <w:spacing w:val="40"/>
                        <w:sz w:val="12"/>
                      </w:rPr>
                      <w:t> </w:t>
                    </w:r>
                    <w:r>
                      <w:rPr>
                        <w:rFonts w:ascii="Arial" w:hAnsi="Arial"/>
                        <w:color w:val="294348"/>
                        <w:spacing w:val="-2"/>
                        <w:sz w:val="12"/>
                      </w:rPr>
                      <w:t>Excelência</w:t>
                    </w:r>
                    <w:r>
                      <w:rPr>
                        <w:rFonts w:ascii="Arial" w:hAnsi="Arial"/>
                        <w:color w:val="294348"/>
                        <w:spacing w:val="-7"/>
                        <w:sz w:val="12"/>
                      </w:rPr>
                      <w:t> </w:t>
                    </w:r>
                    <w:r>
                      <w:rPr>
                        <w:rFonts w:ascii="Arial" w:hAnsi="Arial"/>
                        <w:color w:val="294348"/>
                        <w:spacing w:val="-2"/>
                        <w:sz w:val="12"/>
                      </w:rPr>
                      <w:t>organizacional</w:t>
                    </w:r>
                  </w:p>
                  <w:p>
                    <w:pPr>
                      <w:spacing w:line="254" w:lineRule="auto" w:before="0"/>
                      <w:ind w:left="0" w:right="552" w:firstLine="0"/>
                      <w:jc w:val="left"/>
                      <w:rPr>
                        <w:rFonts w:ascii="Arial" w:hAnsi="Arial"/>
                        <w:sz w:val="12"/>
                      </w:rPr>
                    </w:pPr>
                    <w:r>
                      <w:rPr>
                        <w:rFonts w:ascii="Arial" w:hAnsi="Arial"/>
                        <w:color w:val="294348"/>
                        <w:sz w:val="12"/>
                      </w:rPr>
                      <w:t>Comprometimento</w:t>
                    </w:r>
                    <w:r>
                      <w:rPr>
                        <w:rFonts w:ascii="Arial" w:hAnsi="Arial"/>
                        <w:color w:val="294348"/>
                        <w:spacing w:val="-11"/>
                        <w:sz w:val="12"/>
                      </w:rPr>
                      <w:t> </w:t>
                    </w:r>
                    <w:r>
                      <w:rPr>
                        <w:rFonts w:ascii="Arial" w:hAnsi="Arial"/>
                        <w:color w:val="294348"/>
                        <w:sz w:val="12"/>
                      </w:rPr>
                      <w:t>com</w:t>
                    </w:r>
                    <w:r>
                      <w:rPr>
                        <w:rFonts w:ascii="Arial" w:hAnsi="Arial"/>
                        <w:color w:val="294348"/>
                        <w:spacing w:val="-8"/>
                        <w:sz w:val="12"/>
                      </w:rPr>
                      <w:t> </w:t>
                    </w:r>
                    <w:r>
                      <w:rPr>
                        <w:rFonts w:ascii="Arial" w:hAnsi="Arial"/>
                        <w:color w:val="294348"/>
                        <w:sz w:val="12"/>
                      </w:rPr>
                      <w:t>a</w:t>
                    </w:r>
                    <w:r>
                      <w:rPr>
                        <w:rFonts w:ascii="Arial" w:hAnsi="Arial"/>
                        <w:color w:val="294348"/>
                        <w:spacing w:val="-8"/>
                        <w:sz w:val="12"/>
                      </w:rPr>
                      <w:t> </w:t>
                    </w:r>
                    <w:r>
                      <w:rPr>
                        <w:rFonts w:ascii="Arial" w:hAnsi="Arial"/>
                        <w:color w:val="294348"/>
                        <w:sz w:val="12"/>
                      </w:rPr>
                      <w:t>inovação</w:t>
                    </w:r>
                    <w:r>
                      <w:rPr>
                        <w:rFonts w:ascii="Arial" w:hAnsi="Arial"/>
                        <w:color w:val="294348"/>
                        <w:spacing w:val="40"/>
                        <w:sz w:val="12"/>
                      </w:rPr>
                      <w:t> </w:t>
                    </w:r>
                    <w:r>
                      <w:rPr>
                        <w:rFonts w:ascii="Arial" w:hAnsi="Arial"/>
                        <w:color w:val="294348"/>
                        <w:sz w:val="12"/>
                      </w:rPr>
                      <w:t>Unicidade e integração</w:t>
                    </w:r>
                  </w:p>
                  <w:p>
                    <w:pPr>
                      <w:spacing w:line="254" w:lineRule="auto" w:before="0"/>
                      <w:ind w:left="0" w:right="0" w:firstLine="0"/>
                      <w:jc w:val="left"/>
                      <w:rPr>
                        <w:rFonts w:ascii="Arial" w:hAnsi="Arial"/>
                        <w:sz w:val="12"/>
                      </w:rPr>
                    </w:pPr>
                    <w:r>
                      <w:rPr>
                        <w:rFonts w:ascii="Arial" w:hAnsi="Arial"/>
                        <w:color w:val="294348"/>
                        <w:sz w:val="12"/>
                      </w:rPr>
                      <w:t>Democratização da informação e conhecimento</w:t>
                    </w:r>
                    <w:r>
                      <w:rPr>
                        <w:rFonts w:ascii="Arial" w:hAnsi="Arial"/>
                        <w:color w:val="294348"/>
                        <w:spacing w:val="40"/>
                        <w:sz w:val="12"/>
                      </w:rPr>
                      <w:t> </w:t>
                    </w:r>
                    <w:r>
                      <w:rPr>
                        <w:rFonts w:ascii="Arial" w:hAnsi="Arial"/>
                        <w:color w:val="294348"/>
                        <w:sz w:val="12"/>
                      </w:rPr>
                      <w:t>Interlocução</w:t>
                    </w:r>
                    <w:r>
                      <w:rPr>
                        <w:rFonts w:ascii="Arial" w:hAnsi="Arial"/>
                        <w:color w:val="294348"/>
                        <w:spacing w:val="-11"/>
                        <w:sz w:val="12"/>
                      </w:rPr>
                      <w:t> </w:t>
                    </w:r>
                    <w:r>
                      <w:rPr>
                        <w:rFonts w:ascii="Arial" w:hAnsi="Arial"/>
                        <w:color w:val="294348"/>
                        <w:sz w:val="12"/>
                      </w:rPr>
                      <w:t>da</w:t>
                    </w:r>
                    <w:r>
                      <w:rPr>
                        <w:rFonts w:ascii="Arial" w:hAnsi="Arial"/>
                        <w:color w:val="294348"/>
                        <w:spacing w:val="-8"/>
                        <w:sz w:val="12"/>
                      </w:rPr>
                      <w:t> </w:t>
                    </w:r>
                    <w:r>
                      <w:rPr>
                        <w:rFonts w:ascii="Arial" w:hAnsi="Arial"/>
                        <w:color w:val="294348"/>
                        <w:sz w:val="12"/>
                      </w:rPr>
                      <w:t>Arquitetura</w:t>
                    </w:r>
                    <w:r>
                      <w:rPr>
                        <w:rFonts w:ascii="Arial" w:hAnsi="Arial"/>
                        <w:color w:val="294348"/>
                        <w:spacing w:val="-8"/>
                        <w:sz w:val="12"/>
                      </w:rPr>
                      <w:t> </w:t>
                    </w:r>
                    <w:r>
                      <w:rPr>
                        <w:rFonts w:ascii="Arial" w:hAnsi="Arial"/>
                        <w:color w:val="294348"/>
                        <w:sz w:val="12"/>
                      </w:rPr>
                      <w:t>e</w:t>
                    </w:r>
                    <w:r>
                      <w:rPr>
                        <w:rFonts w:ascii="Arial" w:hAnsi="Arial"/>
                        <w:color w:val="294348"/>
                        <w:spacing w:val="-9"/>
                        <w:sz w:val="12"/>
                      </w:rPr>
                      <w:t> </w:t>
                    </w:r>
                    <w:r>
                      <w:rPr>
                        <w:rFonts w:ascii="Arial" w:hAnsi="Arial"/>
                        <w:color w:val="294348"/>
                        <w:sz w:val="12"/>
                      </w:rPr>
                      <w:t>Urbanismo</w:t>
                    </w:r>
                    <w:r>
                      <w:rPr>
                        <w:rFonts w:ascii="Arial" w:hAnsi="Arial"/>
                        <w:color w:val="294348"/>
                        <w:spacing w:val="-8"/>
                        <w:sz w:val="12"/>
                      </w:rPr>
                      <w:t> </w:t>
                    </w:r>
                    <w:r>
                      <w:rPr>
                        <w:rFonts w:ascii="Arial" w:hAnsi="Arial"/>
                        <w:color w:val="294348"/>
                        <w:sz w:val="12"/>
                      </w:rPr>
                      <w:t>na</w:t>
                    </w:r>
                    <w:r>
                      <w:rPr>
                        <w:rFonts w:ascii="Arial" w:hAnsi="Arial"/>
                        <w:color w:val="294348"/>
                        <w:spacing w:val="-8"/>
                        <w:sz w:val="12"/>
                      </w:rPr>
                      <w:t> </w:t>
                    </w:r>
                    <w:r>
                      <w:rPr>
                        <w:rFonts w:ascii="Arial" w:hAnsi="Arial"/>
                        <w:color w:val="294348"/>
                        <w:sz w:val="12"/>
                      </w:rPr>
                      <w:t>sociedade</w:t>
                    </w:r>
                  </w:p>
                </w:txbxContent>
              </v:textbox>
              <w10:wrap type="none"/>
            </v:shape>
            <v:shape style="position:absolute;left:8326;top:1812;width:1293;height:282" type="#_x0000_t202" id="docshape64" filled="false" stroked="false">
              <v:textbox inset="0,0,0,0">
                <w:txbxContent>
                  <w:p>
                    <w:pPr>
                      <w:spacing w:line="135" w:lineRule="exact" w:before="0"/>
                      <w:ind w:left="0" w:right="18" w:firstLine="0"/>
                      <w:jc w:val="center"/>
                      <w:rPr>
                        <w:rFonts w:ascii="Arial"/>
                        <w:sz w:val="12"/>
                      </w:rPr>
                    </w:pPr>
                    <w:r>
                      <w:rPr>
                        <w:rFonts w:ascii="Arial"/>
                        <w:spacing w:val="-2"/>
                        <w:sz w:val="12"/>
                      </w:rPr>
                      <w:t>Valorizar</w:t>
                    </w:r>
                    <w:r>
                      <w:rPr>
                        <w:rFonts w:ascii="Arial"/>
                        <w:spacing w:val="2"/>
                        <w:sz w:val="12"/>
                      </w:rPr>
                      <w:t> </w:t>
                    </w:r>
                    <w:r>
                      <w:rPr>
                        <w:rFonts w:ascii="Arial"/>
                        <w:spacing w:val="-2"/>
                        <w:sz w:val="12"/>
                      </w:rPr>
                      <w:t>a</w:t>
                    </w:r>
                    <w:r>
                      <w:rPr>
                        <w:rFonts w:ascii="Arial"/>
                        <w:spacing w:val="-5"/>
                        <w:sz w:val="12"/>
                      </w:rPr>
                      <w:t> </w:t>
                    </w:r>
                    <w:r>
                      <w:rPr>
                        <w:rFonts w:ascii="Arial"/>
                        <w:spacing w:val="-2"/>
                        <w:sz w:val="12"/>
                      </w:rPr>
                      <w:t>Arquitetura</w:t>
                    </w:r>
                    <w:r>
                      <w:rPr>
                        <w:rFonts w:ascii="Arial"/>
                        <w:spacing w:val="2"/>
                        <w:sz w:val="12"/>
                      </w:rPr>
                      <w:t> </w:t>
                    </w:r>
                    <w:r>
                      <w:rPr>
                        <w:rFonts w:ascii="Arial"/>
                        <w:spacing w:val="-10"/>
                        <w:sz w:val="12"/>
                      </w:rPr>
                      <w:t>e</w:t>
                    </w:r>
                  </w:p>
                  <w:p>
                    <w:pPr>
                      <w:spacing w:before="8"/>
                      <w:ind w:left="0" w:right="18" w:firstLine="0"/>
                      <w:jc w:val="center"/>
                      <w:rPr>
                        <w:rFonts w:ascii="Arial"/>
                        <w:sz w:val="12"/>
                      </w:rPr>
                    </w:pPr>
                    <w:r>
                      <w:rPr>
                        <w:rFonts w:ascii="Arial"/>
                        <w:spacing w:val="-2"/>
                        <w:sz w:val="12"/>
                      </w:rPr>
                      <w:t>Urbanismo</w:t>
                    </w:r>
                  </w:p>
                </w:txbxContent>
              </v:textbox>
              <w10:wrap type="none"/>
            </v:shape>
            <v:shape style="position:absolute;left:2811;top:2487;width:1129;height:135" type="#_x0000_t202" id="docshape65" filled="false" stroked="false">
              <v:textbox inset="0,0,0,0">
                <w:txbxContent>
                  <w:p>
                    <w:pPr>
                      <w:spacing w:line="134" w:lineRule="exact" w:before="0"/>
                      <w:ind w:left="0" w:right="0" w:firstLine="0"/>
                      <w:jc w:val="left"/>
                      <w:rPr>
                        <w:rFonts w:ascii="Arial"/>
                        <w:b/>
                        <w:sz w:val="12"/>
                      </w:rPr>
                    </w:pPr>
                    <w:r>
                      <w:rPr>
                        <w:rFonts w:ascii="Arial"/>
                        <w:b/>
                        <w:spacing w:val="-2"/>
                        <w:sz w:val="12"/>
                      </w:rPr>
                      <w:t>Processos</w:t>
                    </w:r>
                    <w:r>
                      <w:rPr>
                        <w:rFonts w:ascii="Arial"/>
                        <w:b/>
                        <w:spacing w:val="4"/>
                        <w:sz w:val="12"/>
                      </w:rPr>
                      <w:t> </w:t>
                    </w:r>
                    <w:r>
                      <w:rPr>
                        <w:rFonts w:ascii="Arial"/>
                        <w:b/>
                        <w:spacing w:val="-2"/>
                        <w:sz w:val="12"/>
                      </w:rPr>
                      <w:t>Internos</w:t>
                    </w:r>
                  </w:p>
                </w:txbxContent>
              </v:textbox>
              <w10:wrap type="none"/>
            </v:shape>
            <v:shape style="position:absolute;left:2921;top:2957;width:2601;height:1435" type="#_x0000_t202" id="docshape66" filled="false" stroked="false">
              <v:textbox inset="0,0,0,0">
                <w:txbxContent>
                  <w:p>
                    <w:pPr>
                      <w:spacing w:line="254" w:lineRule="auto" w:before="0"/>
                      <w:ind w:left="68" w:right="284" w:firstLine="0"/>
                      <w:jc w:val="center"/>
                      <w:rPr>
                        <w:rFonts w:ascii="Arial" w:hAnsi="Arial"/>
                        <w:sz w:val="12"/>
                      </w:rPr>
                    </w:pPr>
                    <w:r>
                      <w:rPr>
                        <w:rFonts w:ascii="Arial" w:hAnsi="Arial"/>
                        <w:color w:val="FFFFFF"/>
                        <w:sz w:val="12"/>
                      </w:rPr>
                      <w:t>Tornar</w:t>
                    </w:r>
                    <w:r>
                      <w:rPr>
                        <w:rFonts w:ascii="Arial" w:hAnsi="Arial"/>
                        <w:color w:val="FFFFFF"/>
                        <w:spacing w:val="-11"/>
                        <w:sz w:val="12"/>
                      </w:rPr>
                      <w:t> </w:t>
                    </w:r>
                    <w:r>
                      <w:rPr>
                        <w:rFonts w:ascii="Arial" w:hAnsi="Arial"/>
                        <w:color w:val="FFFFFF"/>
                        <w:sz w:val="12"/>
                      </w:rPr>
                      <w:t>a</w:t>
                    </w:r>
                    <w:r>
                      <w:rPr>
                        <w:rFonts w:ascii="Arial" w:hAnsi="Arial"/>
                        <w:color w:val="FFFFFF"/>
                        <w:spacing w:val="-8"/>
                        <w:sz w:val="12"/>
                      </w:rPr>
                      <w:t> </w:t>
                    </w:r>
                    <w:r>
                      <w:rPr>
                        <w:rFonts w:ascii="Arial" w:hAnsi="Arial"/>
                        <w:color w:val="FFFFFF"/>
                        <w:sz w:val="12"/>
                      </w:rPr>
                      <w:t>fiscalização</w:t>
                    </w:r>
                    <w:r>
                      <w:rPr>
                        <w:rFonts w:ascii="Arial" w:hAnsi="Arial"/>
                        <w:color w:val="FFFFFF"/>
                        <w:spacing w:val="-8"/>
                        <w:sz w:val="12"/>
                      </w:rPr>
                      <w:t> </w:t>
                    </w:r>
                    <w:r>
                      <w:rPr>
                        <w:rFonts w:ascii="Arial" w:hAnsi="Arial"/>
                        <w:color w:val="FFFFFF"/>
                        <w:sz w:val="12"/>
                      </w:rPr>
                      <w:t>um</w:t>
                    </w:r>
                    <w:r>
                      <w:rPr>
                        <w:rFonts w:ascii="Arial" w:hAnsi="Arial"/>
                        <w:color w:val="FFFFFF"/>
                        <w:spacing w:val="-9"/>
                        <w:sz w:val="12"/>
                      </w:rPr>
                      <w:t> </w:t>
                    </w:r>
                    <w:r>
                      <w:rPr>
                        <w:rFonts w:ascii="Arial" w:hAnsi="Arial"/>
                        <w:color w:val="FFFFFF"/>
                        <w:sz w:val="12"/>
                      </w:rPr>
                      <w:t>vetor</w:t>
                    </w:r>
                    <w:r>
                      <w:rPr>
                        <w:rFonts w:ascii="Arial" w:hAnsi="Arial"/>
                        <w:color w:val="FFFFFF"/>
                        <w:spacing w:val="-8"/>
                        <w:sz w:val="12"/>
                      </w:rPr>
                      <w:t> </w:t>
                    </w:r>
                    <w:r>
                      <w:rPr>
                        <w:rFonts w:ascii="Arial" w:hAnsi="Arial"/>
                        <w:color w:val="FFFFFF"/>
                        <w:sz w:val="12"/>
                      </w:rPr>
                      <w:t>de</w:t>
                    </w:r>
                    <w:r>
                      <w:rPr>
                        <w:rFonts w:ascii="Arial" w:hAnsi="Arial"/>
                        <w:color w:val="FFFFFF"/>
                        <w:spacing w:val="-8"/>
                        <w:sz w:val="12"/>
                      </w:rPr>
                      <w:t> </w:t>
                    </w:r>
                    <w:r>
                      <w:rPr>
                        <w:rFonts w:ascii="Arial" w:hAnsi="Arial"/>
                        <w:color w:val="FFFFFF"/>
                        <w:sz w:val="12"/>
                      </w:rPr>
                      <w:t>melhoria</w:t>
                    </w:r>
                    <w:r>
                      <w:rPr>
                        <w:rFonts w:ascii="Arial" w:hAnsi="Arial"/>
                        <w:color w:val="FFFFFF"/>
                        <w:spacing w:val="40"/>
                        <w:sz w:val="12"/>
                      </w:rPr>
                      <w:t> </w:t>
                    </w:r>
                    <w:r>
                      <w:rPr>
                        <w:rFonts w:ascii="Arial" w:hAnsi="Arial"/>
                        <w:color w:val="FFFFFF"/>
                        <w:sz w:val="12"/>
                      </w:rPr>
                      <w:t>do exercício da Arquitetura e Urbanismo</w:t>
                    </w:r>
                  </w:p>
                  <w:p>
                    <w:pPr>
                      <w:spacing w:line="249" w:lineRule="auto" w:before="38"/>
                      <w:ind w:left="245" w:right="0" w:hanging="156"/>
                      <w:jc w:val="left"/>
                      <w:rPr>
                        <w:rFonts w:ascii="Arial" w:hAnsi="Arial"/>
                        <w:sz w:val="12"/>
                      </w:rPr>
                    </w:pPr>
                    <w:r>
                      <w:rPr>
                        <w:rFonts w:ascii="Arial" w:hAnsi="Arial"/>
                        <w:sz w:val="12"/>
                      </w:rPr>
                      <w:t>Assegurar</w:t>
                    </w:r>
                    <w:r>
                      <w:rPr>
                        <w:rFonts w:ascii="Arial" w:hAnsi="Arial"/>
                        <w:spacing w:val="-7"/>
                        <w:sz w:val="12"/>
                      </w:rPr>
                      <w:t> </w:t>
                    </w:r>
                    <w:r>
                      <w:rPr>
                        <w:rFonts w:ascii="Arial" w:hAnsi="Arial"/>
                        <w:sz w:val="12"/>
                      </w:rPr>
                      <w:t>a</w:t>
                    </w:r>
                    <w:r>
                      <w:rPr>
                        <w:rFonts w:ascii="Arial" w:hAnsi="Arial"/>
                        <w:spacing w:val="-8"/>
                        <w:sz w:val="12"/>
                      </w:rPr>
                      <w:t> </w:t>
                    </w:r>
                    <w:r>
                      <w:rPr>
                        <w:rFonts w:ascii="Arial" w:hAnsi="Arial"/>
                        <w:sz w:val="12"/>
                      </w:rPr>
                      <w:t>eficácia</w:t>
                    </w:r>
                    <w:r>
                      <w:rPr>
                        <w:rFonts w:ascii="Arial" w:hAnsi="Arial"/>
                        <w:spacing w:val="-9"/>
                        <w:sz w:val="12"/>
                      </w:rPr>
                      <w:t> </w:t>
                    </w:r>
                    <w:r>
                      <w:rPr>
                        <w:rFonts w:ascii="Arial" w:hAnsi="Arial"/>
                        <w:sz w:val="12"/>
                      </w:rPr>
                      <w:t>no</w:t>
                    </w:r>
                    <w:r>
                      <w:rPr>
                        <w:rFonts w:ascii="Arial" w:hAnsi="Arial"/>
                        <w:spacing w:val="-7"/>
                        <w:sz w:val="12"/>
                      </w:rPr>
                      <w:t> </w:t>
                    </w:r>
                    <w:r>
                      <w:rPr>
                        <w:rFonts w:ascii="Arial" w:hAnsi="Arial"/>
                        <w:sz w:val="12"/>
                      </w:rPr>
                      <w:t>atendimento</w:t>
                    </w:r>
                    <w:r>
                      <w:rPr>
                        <w:rFonts w:ascii="Arial" w:hAnsi="Arial"/>
                        <w:spacing w:val="-8"/>
                        <w:sz w:val="12"/>
                      </w:rPr>
                      <w:t> </w:t>
                    </w:r>
                    <w:r>
                      <w:rPr>
                        <w:rFonts w:ascii="Arial" w:hAnsi="Arial"/>
                        <w:sz w:val="12"/>
                      </w:rPr>
                      <w:t>e</w:t>
                    </w:r>
                    <w:r>
                      <w:rPr>
                        <w:rFonts w:ascii="Arial" w:hAnsi="Arial"/>
                        <w:spacing w:val="-8"/>
                        <w:sz w:val="12"/>
                      </w:rPr>
                      <w:t> </w:t>
                    </w:r>
                    <w:r>
                      <w:rPr>
                        <w:rFonts w:ascii="Arial" w:hAnsi="Arial"/>
                        <w:sz w:val="12"/>
                      </w:rPr>
                      <w:t>no</w:t>
                    </w:r>
                    <w:r>
                      <w:rPr>
                        <w:rFonts w:ascii="Arial" w:hAnsi="Arial"/>
                        <w:color w:val="FFFFFF"/>
                        <w:position w:val="8"/>
                        <w:sz w:val="18"/>
                      </w:rPr>
                      <w:t>18 </w:t>
                    </w:r>
                    <w:r>
                      <w:rPr>
                        <w:rFonts w:ascii="Arial" w:hAnsi="Arial"/>
                        <w:sz w:val="12"/>
                      </w:rPr>
                      <w:t>relacionamento com os arquitetos e</w:t>
                    </w:r>
                  </w:p>
                  <w:p>
                    <w:pPr>
                      <w:spacing w:before="0"/>
                      <w:ind w:left="68" w:right="284" w:firstLine="0"/>
                      <w:jc w:val="center"/>
                      <w:rPr>
                        <w:rFonts w:ascii="Arial"/>
                        <w:sz w:val="12"/>
                      </w:rPr>
                    </w:pPr>
                    <w:r>
                      <w:rPr>
                        <w:rFonts w:ascii="Arial"/>
                        <w:sz w:val="12"/>
                      </w:rPr>
                      <w:t>urbanistas</w:t>
                    </w:r>
                    <w:r>
                      <w:rPr>
                        <w:rFonts w:ascii="Arial"/>
                        <w:spacing w:val="-7"/>
                        <w:sz w:val="12"/>
                      </w:rPr>
                      <w:t> </w:t>
                    </w:r>
                    <w:r>
                      <w:rPr>
                        <w:rFonts w:ascii="Arial"/>
                        <w:sz w:val="12"/>
                      </w:rPr>
                      <w:t>e</w:t>
                    </w:r>
                    <w:r>
                      <w:rPr>
                        <w:rFonts w:ascii="Arial"/>
                        <w:spacing w:val="-4"/>
                        <w:sz w:val="12"/>
                      </w:rPr>
                      <w:t> </w:t>
                    </w:r>
                    <w:r>
                      <w:rPr>
                        <w:rFonts w:ascii="Arial"/>
                        <w:sz w:val="12"/>
                      </w:rPr>
                      <w:t>a</w:t>
                    </w:r>
                    <w:r>
                      <w:rPr>
                        <w:rFonts w:ascii="Arial"/>
                        <w:spacing w:val="-6"/>
                        <w:sz w:val="12"/>
                      </w:rPr>
                      <w:t> </w:t>
                    </w:r>
                    <w:r>
                      <w:rPr>
                        <w:rFonts w:ascii="Arial"/>
                        <w:spacing w:val="-2"/>
                        <w:sz w:val="12"/>
                      </w:rPr>
                      <w:t>sociedade</w:t>
                    </w:r>
                  </w:p>
                  <w:p>
                    <w:pPr>
                      <w:spacing w:before="5"/>
                      <w:ind w:left="242" w:right="0" w:firstLine="0"/>
                      <w:jc w:val="left"/>
                      <w:rPr>
                        <w:rFonts w:ascii="Arial"/>
                        <w:sz w:val="18"/>
                      </w:rPr>
                    </w:pPr>
                    <w:r>
                      <w:rPr>
                        <w:rFonts w:ascii="Arial"/>
                        <w:sz w:val="12"/>
                      </w:rPr>
                      <w:t>Estimular</w:t>
                    </w:r>
                    <w:r>
                      <w:rPr>
                        <w:rFonts w:ascii="Arial"/>
                        <w:spacing w:val="-4"/>
                        <w:sz w:val="12"/>
                      </w:rPr>
                      <w:t> </w:t>
                    </w:r>
                    <w:r>
                      <w:rPr>
                        <w:rFonts w:ascii="Arial"/>
                        <w:sz w:val="12"/>
                      </w:rPr>
                      <w:t>o</w:t>
                    </w:r>
                    <w:r>
                      <w:rPr>
                        <w:rFonts w:ascii="Arial"/>
                        <w:spacing w:val="-3"/>
                        <w:sz w:val="12"/>
                      </w:rPr>
                      <w:t> </w:t>
                    </w:r>
                    <w:r>
                      <w:rPr>
                        <w:rFonts w:ascii="Arial"/>
                        <w:sz w:val="12"/>
                      </w:rPr>
                      <w:t>conhecimento,</w:t>
                    </w:r>
                    <w:r>
                      <w:rPr>
                        <w:rFonts w:ascii="Arial"/>
                        <w:spacing w:val="-3"/>
                        <w:sz w:val="12"/>
                      </w:rPr>
                      <w:t> </w:t>
                    </w:r>
                    <w:r>
                      <w:rPr>
                        <w:rFonts w:ascii="Arial"/>
                        <w:sz w:val="12"/>
                      </w:rPr>
                      <w:t>o</w:t>
                    </w:r>
                    <w:r>
                      <w:rPr>
                        <w:rFonts w:ascii="Arial"/>
                        <w:spacing w:val="-4"/>
                        <w:sz w:val="12"/>
                      </w:rPr>
                      <w:t> </w:t>
                    </w:r>
                    <w:r>
                      <w:rPr>
                        <w:rFonts w:ascii="Arial"/>
                        <w:sz w:val="12"/>
                      </w:rPr>
                      <w:t>uso</w:t>
                    </w:r>
                    <w:r>
                      <w:rPr>
                        <w:rFonts w:ascii="Arial"/>
                        <w:spacing w:val="-3"/>
                        <w:sz w:val="12"/>
                      </w:rPr>
                      <w:t> </w:t>
                    </w:r>
                    <w:r>
                      <w:rPr>
                        <w:rFonts w:ascii="Arial"/>
                        <w:sz w:val="12"/>
                      </w:rPr>
                      <w:t>de</w:t>
                    </w:r>
                    <w:r>
                      <w:rPr>
                        <w:rFonts w:ascii="Arial"/>
                        <w:spacing w:val="14"/>
                        <w:sz w:val="12"/>
                      </w:rPr>
                      <w:t> </w:t>
                    </w:r>
                    <w:r>
                      <w:rPr>
                        <w:rFonts w:ascii="Arial"/>
                        <w:color w:val="FFFFFF"/>
                        <w:spacing w:val="58"/>
                        <w:w w:val="150"/>
                        <w:position w:val="5"/>
                        <w:sz w:val="18"/>
                        <w:shd w:fill="00AFEF" w:color="auto" w:val="clear"/>
                      </w:rPr>
                      <w:t> </w:t>
                    </w:r>
                    <w:r>
                      <w:rPr>
                        <w:rFonts w:ascii="Arial"/>
                        <w:color w:val="FFFFFF"/>
                        <w:spacing w:val="-10"/>
                        <w:position w:val="5"/>
                        <w:sz w:val="18"/>
                        <w:shd w:fill="00AFEF" w:color="auto" w:val="clear"/>
                      </w:rPr>
                      <w:t>9</w:t>
                    </w:r>
                    <w:r>
                      <w:rPr>
                        <w:rFonts w:ascii="Arial"/>
                        <w:color w:val="FFFFFF"/>
                        <w:spacing w:val="40"/>
                        <w:position w:val="5"/>
                        <w:sz w:val="18"/>
                        <w:shd w:fill="00AFEF" w:color="auto" w:val="clear"/>
                      </w:rPr>
                      <w:t> </w:t>
                    </w:r>
                  </w:p>
                  <w:p>
                    <w:pPr>
                      <w:spacing w:line="252" w:lineRule="auto" w:before="3"/>
                      <w:ind w:left="0" w:right="216" w:firstLine="0"/>
                      <w:jc w:val="center"/>
                      <w:rPr>
                        <w:rFonts w:ascii="Arial" w:hAnsi="Arial"/>
                        <w:sz w:val="12"/>
                      </w:rPr>
                    </w:pPr>
                    <w:r>
                      <w:rPr>
                        <w:rFonts w:ascii="Arial" w:hAnsi="Arial"/>
                        <w:sz w:val="12"/>
                      </w:rPr>
                      <w:t>processos</w:t>
                    </w:r>
                    <w:r>
                      <w:rPr>
                        <w:rFonts w:ascii="Arial" w:hAnsi="Arial"/>
                        <w:spacing w:val="-9"/>
                        <w:sz w:val="12"/>
                      </w:rPr>
                      <w:t> </w:t>
                    </w:r>
                    <w:r>
                      <w:rPr>
                        <w:rFonts w:ascii="Arial" w:hAnsi="Arial"/>
                        <w:sz w:val="12"/>
                      </w:rPr>
                      <w:t>criativos</w:t>
                    </w:r>
                    <w:r>
                      <w:rPr>
                        <w:rFonts w:ascii="Arial" w:hAnsi="Arial"/>
                        <w:spacing w:val="-8"/>
                        <w:sz w:val="12"/>
                      </w:rPr>
                      <w:t> </w:t>
                    </w:r>
                    <w:r>
                      <w:rPr>
                        <w:rFonts w:ascii="Arial" w:hAnsi="Arial"/>
                        <w:sz w:val="12"/>
                      </w:rPr>
                      <w:t>e</w:t>
                    </w:r>
                    <w:r>
                      <w:rPr>
                        <w:rFonts w:ascii="Arial" w:hAnsi="Arial"/>
                        <w:spacing w:val="-8"/>
                        <w:sz w:val="12"/>
                      </w:rPr>
                      <w:t> </w:t>
                    </w:r>
                    <w:r>
                      <w:rPr>
                        <w:rFonts w:ascii="Arial" w:hAnsi="Arial"/>
                        <w:sz w:val="12"/>
                      </w:rPr>
                      <w:t>a</w:t>
                    </w:r>
                    <w:r>
                      <w:rPr>
                        <w:rFonts w:ascii="Arial" w:hAnsi="Arial"/>
                        <w:spacing w:val="-9"/>
                        <w:sz w:val="12"/>
                      </w:rPr>
                      <w:t> </w:t>
                    </w:r>
                    <w:r>
                      <w:rPr>
                        <w:rFonts w:ascii="Arial" w:hAnsi="Arial"/>
                        <w:sz w:val="12"/>
                      </w:rPr>
                      <w:t>difusão</w:t>
                    </w:r>
                    <w:r>
                      <w:rPr>
                        <w:rFonts w:ascii="Arial" w:hAnsi="Arial"/>
                        <w:spacing w:val="-8"/>
                        <w:sz w:val="12"/>
                      </w:rPr>
                      <w:t> </w:t>
                    </w:r>
                    <w:r>
                      <w:rPr>
                        <w:rFonts w:ascii="Arial" w:hAnsi="Arial"/>
                        <w:sz w:val="12"/>
                      </w:rPr>
                      <w:t>das</w:t>
                    </w:r>
                    <w:r>
                      <w:rPr>
                        <w:rFonts w:ascii="Arial" w:hAnsi="Arial"/>
                        <w:spacing w:val="-8"/>
                        <w:sz w:val="12"/>
                      </w:rPr>
                      <w:t> </w:t>
                    </w:r>
                    <w:r>
                      <w:rPr>
                        <w:rFonts w:ascii="Arial" w:hAnsi="Arial"/>
                        <w:sz w:val="12"/>
                      </w:rPr>
                      <w:t>melhores</w:t>
                    </w:r>
                    <w:r>
                      <w:rPr>
                        <w:rFonts w:ascii="Arial" w:hAnsi="Arial"/>
                        <w:spacing w:val="40"/>
                        <w:sz w:val="12"/>
                      </w:rPr>
                      <w:t> </w:t>
                    </w:r>
                    <w:r>
                      <w:rPr>
                        <w:rFonts w:ascii="Arial" w:hAnsi="Arial"/>
                        <w:sz w:val="12"/>
                      </w:rPr>
                      <w:t>práticas em Arquitetura e Urbanismo</w:t>
                    </w:r>
                  </w:p>
                </w:txbxContent>
              </v:textbox>
              <w10:wrap type="none"/>
            </v:shape>
            <v:shape style="position:absolute;left:5667;top:2734;width:2077;height:547" type="#_x0000_t202" id="docshape67" filled="false" stroked="false">
              <v:textbox inset="0,0,0,0">
                <w:txbxContent>
                  <w:p>
                    <w:pPr>
                      <w:spacing w:line="256" w:lineRule="exact" w:before="0"/>
                      <w:ind w:left="0" w:right="0" w:firstLine="0"/>
                      <w:jc w:val="left"/>
                      <w:rPr>
                        <w:rFonts w:ascii="Arial"/>
                        <w:sz w:val="18"/>
                      </w:rPr>
                    </w:pPr>
                    <w:r>
                      <w:rPr>
                        <w:rFonts w:ascii="Arial"/>
                        <w:spacing w:val="-2"/>
                        <w:sz w:val="12"/>
                      </w:rPr>
                      <w:t>Influenciar</w:t>
                    </w:r>
                    <w:r>
                      <w:rPr>
                        <w:rFonts w:ascii="Arial"/>
                        <w:spacing w:val="2"/>
                        <w:sz w:val="12"/>
                      </w:rPr>
                      <w:t> </w:t>
                    </w:r>
                    <w:r>
                      <w:rPr>
                        <w:rFonts w:ascii="Arial"/>
                        <w:spacing w:val="-2"/>
                        <w:sz w:val="12"/>
                      </w:rPr>
                      <w:t>as</w:t>
                    </w:r>
                    <w:r>
                      <w:rPr>
                        <w:rFonts w:ascii="Arial"/>
                        <w:spacing w:val="4"/>
                        <w:sz w:val="12"/>
                      </w:rPr>
                      <w:t> </w:t>
                    </w:r>
                    <w:r>
                      <w:rPr>
                        <w:rFonts w:ascii="Arial"/>
                        <w:spacing w:val="-2"/>
                        <w:sz w:val="12"/>
                      </w:rPr>
                      <w:t>diretrizes</w:t>
                    </w:r>
                    <w:r>
                      <w:rPr>
                        <w:rFonts w:ascii="Arial"/>
                        <w:spacing w:val="5"/>
                        <w:sz w:val="12"/>
                      </w:rPr>
                      <w:t> </w:t>
                    </w:r>
                    <w:r>
                      <w:rPr>
                        <w:rFonts w:ascii="Arial"/>
                        <w:spacing w:val="-2"/>
                        <w:sz w:val="12"/>
                      </w:rPr>
                      <w:t>do</w:t>
                    </w:r>
                    <w:r>
                      <w:rPr>
                        <w:rFonts w:ascii="Arial"/>
                        <w:spacing w:val="3"/>
                        <w:sz w:val="12"/>
                      </w:rPr>
                      <w:t> </w:t>
                    </w:r>
                    <w:r>
                      <w:rPr>
                        <w:rFonts w:ascii="Arial"/>
                        <w:spacing w:val="-2"/>
                        <w:sz w:val="12"/>
                      </w:rPr>
                      <w:t>ensino</w:t>
                    </w:r>
                    <w:r>
                      <w:rPr>
                        <w:rFonts w:ascii="Arial"/>
                        <w:spacing w:val="4"/>
                        <w:sz w:val="12"/>
                      </w:rPr>
                      <w:t> </w:t>
                    </w:r>
                    <w:r>
                      <w:rPr>
                        <w:rFonts w:ascii="Arial"/>
                        <w:spacing w:val="-2"/>
                        <w:sz w:val="12"/>
                      </w:rPr>
                      <w:t>de</w:t>
                    </w:r>
                    <w:r>
                      <w:rPr>
                        <w:rFonts w:ascii="Arial"/>
                        <w:spacing w:val="-18"/>
                        <w:sz w:val="12"/>
                      </w:rPr>
                      <w:t> </w:t>
                    </w:r>
                    <w:r>
                      <w:rPr>
                        <w:rFonts w:ascii="Arial"/>
                        <w:color w:val="FFFFFF"/>
                        <w:spacing w:val="-10"/>
                        <w:position w:val="7"/>
                        <w:sz w:val="18"/>
                      </w:rPr>
                      <w:t>2</w:t>
                    </w:r>
                  </w:p>
                  <w:p>
                    <w:pPr>
                      <w:spacing w:line="252" w:lineRule="auto" w:before="3"/>
                      <w:ind w:left="414" w:right="0" w:hanging="252"/>
                      <w:jc w:val="left"/>
                      <w:rPr>
                        <w:rFonts w:ascii="Arial" w:hAnsi="Arial"/>
                        <w:sz w:val="12"/>
                      </w:rPr>
                    </w:pPr>
                    <w:r>
                      <w:rPr>
                        <w:rFonts w:ascii="Arial" w:hAnsi="Arial"/>
                        <w:sz w:val="12"/>
                      </w:rPr>
                      <w:t>Arquitetura</w:t>
                    </w:r>
                    <w:r>
                      <w:rPr>
                        <w:rFonts w:ascii="Arial" w:hAnsi="Arial"/>
                        <w:spacing w:val="-9"/>
                        <w:sz w:val="12"/>
                      </w:rPr>
                      <w:t> </w:t>
                    </w:r>
                    <w:r>
                      <w:rPr>
                        <w:rFonts w:ascii="Arial" w:hAnsi="Arial"/>
                        <w:sz w:val="12"/>
                      </w:rPr>
                      <w:t>e</w:t>
                    </w:r>
                    <w:r>
                      <w:rPr>
                        <w:rFonts w:ascii="Arial" w:hAnsi="Arial"/>
                        <w:spacing w:val="-8"/>
                        <w:sz w:val="12"/>
                      </w:rPr>
                      <w:t> </w:t>
                    </w:r>
                    <w:r>
                      <w:rPr>
                        <w:rFonts w:ascii="Arial" w:hAnsi="Arial"/>
                        <w:sz w:val="12"/>
                      </w:rPr>
                      <w:t>Urbanismo</w:t>
                    </w:r>
                    <w:r>
                      <w:rPr>
                        <w:rFonts w:ascii="Arial" w:hAnsi="Arial"/>
                        <w:spacing w:val="-8"/>
                        <w:sz w:val="12"/>
                      </w:rPr>
                      <w:t> </w:t>
                    </w:r>
                    <w:r>
                      <w:rPr>
                        <w:rFonts w:ascii="Arial" w:hAnsi="Arial"/>
                        <w:sz w:val="12"/>
                      </w:rPr>
                      <w:t>e</w:t>
                    </w:r>
                    <w:r>
                      <w:rPr>
                        <w:rFonts w:ascii="Arial" w:hAnsi="Arial"/>
                        <w:spacing w:val="-9"/>
                        <w:sz w:val="12"/>
                      </w:rPr>
                      <w:t> </w:t>
                    </w:r>
                    <w:r>
                      <w:rPr>
                        <w:rFonts w:ascii="Arial" w:hAnsi="Arial"/>
                        <w:sz w:val="12"/>
                      </w:rPr>
                      <w:t>sua</w:t>
                    </w:r>
                    <w:r>
                      <w:rPr>
                        <w:rFonts w:ascii="Arial" w:hAnsi="Arial"/>
                        <w:spacing w:val="40"/>
                        <w:sz w:val="12"/>
                      </w:rPr>
                      <w:t> </w:t>
                    </w:r>
                    <w:r>
                      <w:rPr>
                        <w:rFonts w:ascii="Arial" w:hAnsi="Arial"/>
                        <w:sz w:val="12"/>
                      </w:rPr>
                      <w:t>formação</w:t>
                    </w:r>
                    <w:r>
                      <w:rPr>
                        <w:rFonts w:ascii="Arial" w:hAnsi="Arial"/>
                        <w:spacing w:val="-9"/>
                        <w:sz w:val="12"/>
                      </w:rPr>
                      <w:t> </w:t>
                    </w:r>
                    <w:r>
                      <w:rPr>
                        <w:rFonts w:ascii="Arial" w:hAnsi="Arial"/>
                        <w:sz w:val="12"/>
                      </w:rPr>
                      <w:t>continuada</w:t>
                    </w:r>
                  </w:p>
                </w:txbxContent>
              </v:textbox>
              <w10:wrap type="none"/>
            </v:shape>
            <v:shape style="position:absolute;left:5644;top:3399;width:1885;height:425" type="#_x0000_t202" id="docshape68" filled="false" stroked="false">
              <v:textbox inset="0,0,0,0">
                <w:txbxContent>
                  <w:p>
                    <w:pPr>
                      <w:spacing w:line="252" w:lineRule="auto" w:before="0"/>
                      <w:ind w:left="212" w:right="0" w:hanging="213"/>
                      <w:jc w:val="left"/>
                      <w:rPr>
                        <w:rFonts w:ascii="Arial" w:hAnsi="Arial"/>
                        <w:sz w:val="12"/>
                      </w:rPr>
                    </w:pPr>
                    <w:r>
                      <w:rPr>
                        <w:rFonts w:ascii="Arial" w:hAnsi="Arial"/>
                        <w:sz w:val="12"/>
                      </w:rPr>
                      <w:t>Garantir</w:t>
                    </w:r>
                    <w:r>
                      <w:rPr>
                        <w:rFonts w:ascii="Arial" w:hAnsi="Arial"/>
                        <w:spacing w:val="-9"/>
                        <w:sz w:val="12"/>
                      </w:rPr>
                      <w:t> </w:t>
                    </w:r>
                    <w:r>
                      <w:rPr>
                        <w:rFonts w:ascii="Arial" w:hAnsi="Arial"/>
                        <w:sz w:val="12"/>
                      </w:rPr>
                      <w:t>a</w:t>
                    </w:r>
                    <w:r>
                      <w:rPr>
                        <w:rFonts w:ascii="Arial" w:hAnsi="Arial"/>
                        <w:spacing w:val="-8"/>
                        <w:sz w:val="12"/>
                      </w:rPr>
                      <w:t> </w:t>
                    </w:r>
                    <w:r>
                      <w:rPr>
                        <w:rFonts w:ascii="Arial" w:hAnsi="Arial"/>
                        <w:sz w:val="12"/>
                      </w:rPr>
                      <w:t>participação</w:t>
                    </w:r>
                    <w:r>
                      <w:rPr>
                        <w:rFonts w:ascii="Arial" w:hAnsi="Arial"/>
                        <w:spacing w:val="-8"/>
                        <w:sz w:val="12"/>
                      </w:rPr>
                      <w:t> </w:t>
                    </w:r>
                    <w:r>
                      <w:rPr>
                        <w:rFonts w:ascii="Arial" w:hAnsi="Arial"/>
                        <w:sz w:val="12"/>
                      </w:rPr>
                      <w:t>dos</w:t>
                    </w:r>
                    <w:r>
                      <w:rPr>
                        <w:rFonts w:ascii="Arial" w:hAnsi="Arial"/>
                        <w:spacing w:val="-9"/>
                        <w:sz w:val="12"/>
                      </w:rPr>
                      <w:t> </w:t>
                    </w:r>
                    <w:r>
                      <w:rPr>
                        <w:rFonts w:ascii="Arial" w:hAnsi="Arial"/>
                        <w:sz w:val="12"/>
                      </w:rPr>
                      <w:t>arquitet</w:t>
                    </w:r>
                    <w:r>
                      <w:rPr>
                        <w:rFonts w:ascii="Arial" w:hAnsi="Arial"/>
                        <w:spacing w:val="40"/>
                        <w:sz w:val="12"/>
                      </w:rPr>
                      <w:t> </w:t>
                    </w:r>
                    <w:r>
                      <w:rPr>
                        <w:rFonts w:ascii="Arial" w:hAnsi="Arial"/>
                        <w:sz w:val="12"/>
                      </w:rPr>
                      <w:t>e urbanistas no planejamento</w:t>
                    </w:r>
                    <w:r>
                      <w:rPr>
                        <w:rFonts w:ascii="Arial" w:hAnsi="Arial"/>
                        <w:spacing w:val="40"/>
                        <w:sz w:val="12"/>
                      </w:rPr>
                      <w:t> </w:t>
                    </w:r>
                    <w:r>
                      <w:rPr>
                        <w:rFonts w:ascii="Arial" w:hAnsi="Arial"/>
                        <w:sz w:val="12"/>
                      </w:rPr>
                      <w:t>territorial e na gestão urbana</w:t>
                    </w:r>
                  </w:p>
                </w:txbxContent>
              </v:textbox>
              <w10:wrap type="none"/>
            </v:shape>
            <v:shape style="position:absolute;left:8091;top:3471;width:1534;height:281" type="#_x0000_t202" id="docshape69" filled="false" stroked="false">
              <v:textbox inset="0,0,0,0">
                <w:txbxContent>
                  <w:p>
                    <w:pPr>
                      <w:spacing w:line="254" w:lineRule="auto" w:before="0"/>
                      <w:ind w:left="129" w:right="0" w:hanging="130"/>
                      <w:jc w:val="left"/>
                      <w:rPr>
                        <w:rFonts w:ascii="Arial" w:hAnsi="Arial"/>
                        <w:sz w:val="12"/>
                      </w:rPr>
                    </w:pPr>
                    <w:r>
                      <w:rPr>
                        <w:rFonts w:ascii="Arial" w:hAnsi="Arial"/>
                        <w:sz w:val="12"/>
                      </w:rPr>
                      <w:t>Promover</w:t>
                    </w:r>
                    <w:r>
                      <w:rPr>
                        <w:rFonts w:ascii="Arial" w:hAnsi="Arial"/>
                        <w:spacing w:val="-9"/>
                        <w:sz w:val="12"/>
                      </w:rPr>
                      <w:t> </w:t>
                    </w:r>
                    <w:r>
                      <w:rPr>
                        <w:rFonts w:ascii="Arial" w:hAnsi="Arial"/>
                        <w:sz w:val="12"/>
                      </w:rPr>
                      <w:t>o</w:t>
                    </w:r>
                    <w:r>
                      <w:rPr>
                        <w:rFonts w:ascii="Arial" w:hAnsi="Arial"/>
                        <w:spacing w:val="-8"/>
                        <w:sz w:val="12"/>
                      </w:rPr>
                      <w:t> </w:t>
                    </w:r>
                    <w:r>
                      <w:rPr>
                        <w:rFonts w:ascii="Arial" w:hAnsi="Arial"/>
                        <w:sz w:val="12"/>
                      </w:rPr>
                      <w:t>exercício</w:t>
                    </w:r>
                    <w:r>
                      <w:rPr>
                        <w:rFonts w:ascii="Arial" w:hAnsi="Arial"/>
                        <w:spacing w:val="-8"/>
                        <w:sz w:val="12"/>
                      </w:rPr>
                      <w:t> </w:t>
                    </w:r>
                    <w:r>
                      <w:rPr>
                        <w:rFonts w:ascii="Arial" w:hAnsi="Arial"/>
                        <w:sz w:val="12"/>
                      </w:rPr>
                      <w:t>ético</w:t>
                    </w:r>
                    <w:r>
                      <w:rPr>
                        <w:rFonts w:ascii="Arial" w:hAnsi="Arial"/>
                        <w:spacing w:val="-9"/>
                        <w:sz w:val="12"/>
                      </w:rPr>
                      <w:t> </w:t>
                    </w:r>
                    <w:r>
                      <w:rPr>
                        <w:rFonts w:ascii="Arial" w:hAnsi="Arial"/>
                        <w:sz w:val="12"/>
                      </w:rPr>
                      <w:t>e</w:t>
                    </w:r>
                    <w:r>
                      <w:rPr>
                        <w:rFonts w:ascii="Arial" w:hAnsi="Arial"/>
                        <w:spacing w:val="40"/>
                        <w:sz w:val="12"/>
                      </w:rPr>
                      <w:t> </w:t>
                    </w:r>
                    <w:r>
                      <w:rPr>
                        <w:rFonts w:ascii="Arial" w:hAnsi="Arial"/>
                        <w:sz w:val="12"/>
                      </w:rPr>
                      <w:t>qualificado da profissão</w:t>
                    </w:r>
                  </w:p>
                </w:txbxContent>
              </v:textbox>
              <w10:wrap type="none"/>
            </v:shape>
            <v:shape style="position:absolute;left:9857;top:3313;width:121;height:204" type="#_x0000_t202" id="docshape70" filled="false" stroked="false">
              <v:textbox inset="0,0,0,0">
                <w:txbxContent>
                  <w:p>
                    <w:pPr>
                      <w:spacing w:line="203" w:lineRule="exact" w:before="0"/>
                      <w:ind w:left="0" w:right="0" w:firstLine="0"/>
                      <w:jc w:val="left"/>
                      <w:rPr>
                        <w:rFonts w:ascii="Arial"/>
                        <w:sz w:val="18"/>
                      </w:rPr>
                    </w:pPr>
                    <w:r>
                      <w:rPr>
                        <w:rFonts w:ascii="Arial"/>
                        <w:color w:val="FFFFFF"/>
                        <w:w w:val="100"/>
                        <w:sz w:val="18"/>
                      </w:rPr>
                      <w:t>8</w:t>
                    </w:r>
                  </w:p>
                </w:txbxContent>
              </v:textbox>
              <w10:wrap type="none"/>
            </v:shape>
            <v:shape style="position:absolute;left:5641;top:4013;width:2019;height:282" type="#_x0000_t202" id="docshape71" filled="false" stroked="false">
              <v:textbox inset="0,0,0,0">
                <w:txbxContent>
                  <w:p>
                    <w:pPr>
                      <w:spacing w:line="135" w:lineRule="exact" w:before="0"/>
                      <w:ind w:left="0" w:right="0" w:firstLine="0"/>
                      <w:jc w:val="left"/>
                      <w:rPr>
                        <w:rFonts w:ascii="Arial" w:hAnsi="Arial"/>
                        <w:sz w:val="12"/>
                      </w:rPr>
                    </w:pPr>
                    <w:r>
                      <w:rPr>
                        <w:rFonts w:ascii="Arial" w:hAnsi="Arial"/>
                        <w:color w:val="FFFFFF"/>
                        <w:sz w:val="12"/>
                      </w:rPr>
                      <w:t>Estimular</w:t>
                    </w:r>
                    <w:r>
                      <w:rPr>
                        <w:rFonts w:ascii="Arial" w:hAnsi="Arial"/>
                        <w:color w:val="FFFFFF"/>
                        <w:spacing w:val="-8"/>
                        <w:sz w:val="12"/>
                      </w:rPr>
                      <w:t> </w:t>
                    </w:r>
                    <w:r>
                      <w:rPr>
                        <w:rFonts w:ascii="Arial" w:hAnsi="Arial"/>
                        <w:color w:val="FFFFFF"/>
                        <w:sz w:val="12"/>
                      </w:rPr>
                      <w:t>a</w:t>
                    </w:r>
                    <w:r>
                      <w:rPr>
                        <w:rFonts w:ascii="Arial" w:hAnsi="Arial"/>
                        <w:color w:val="FFFFFF"/>
                        <w:spacing w:val="-8"/>
                        <w:sz w:val="12"/>
                      </w:rPr>
                      <w:t> </w:t>
                    </w:r>
                    <w:r>
                      <w:rPr>
                        <w:rFonts w:ascii="Arial" w:hAnsi="Arial"/>
                        <w:color w:val="FFFFFF"/>
                        <w:sz w:val="12"/>
                      </w:rPr>
                      <w:t>produção</w:t>
                    </w:r>
                    <w:r>
                      <w:rPr>
                        <w:rFonts w:ascii="Arial" w:hAnsi="Arial"/>
                        <w:color w:val="FFFFFF"/>
                        <w:spacing w:val="-8"/>
                        <w:sz w:val="12"/>
                      </w:rPr>
                      <w:t> </w:t>
                    </w:r>
                    <w:r>
                      <w:rPr>
                        <w:rFonts w:ascii="Arial" w:hAnsi="Arial"/>
                        <w:color w:val="FFFFFF"/>
                        <w:sz w:val="12"/>
                      </w:rPr>
                      <w:t>da</w:t>
                    </w:r>
                    <w:r>
                      <w:rPr>
                        <w:rFonts w:ascii="Arial" w:hAnsi="Arial"/>
                        <w:color w:val="FFFFFF"/>
                        <w:spacing w:val="-7"/>
                        <w:sz w:val="12"/>
                      </w:rPr>
                      <w:t> </w:t>
                    </w:r>
                    <w:r>
                      <w:rPr>
                        <w:rFonts w:ascii="Arial" w:hAnsi="Arial"/>
                        <w:color w:val="FFFFFF"/>
                        <w:sz w:val="12"/>
                      </w:rPr>
                      <w:t>arquitetura</w:t>
                    </w:r>
                    <w:r>
                      <w:rPr>
                        <w:rFonts w:ascii="Arial" w:hAnsi="Arial"/>
                        <w:color w:val="FFFFFF"/>
                        <w:spacing w:val="-7"/>
                        <w:sz w:val="12"/>
                      </w:rPr>
                      <w:t> </w:t>
                    </w:r>
                    <w:r>
                      <w:rPr>
                        <w:rFonts w:ascii="Arial" w:hAnsi="Arial"/>
                        <w:color w:val="FFFFFF"/>
                        <w:spacing w:val="-10"/>
                        <w:sz w:val="12"/>
                      </w:rPr>
                      <w:t>e</w:t>
                    </w:r>
                  </w:p>
                  <w:p>
                    <w:pPr>
                      <w:spacing w:before="8"/>
                      <w:ind w:left="66" w:right="0" w:firstLine="0"/>
                      <w:jc w:val="left"/>
                      <w:rPr>
                        <w:rFonts w:ascii="Arial" w:hAnsi="Arial"/>
                        <w:sz w:val="12"/>
                      </w:rPr>
                    </w:pPr>
                    <w:r>
                      <w:rPr>
                        <w:rFonts w:ascii="Arial" w:hAnsi="Arial"/>
                        <w:color w:val="FFFFFF"/>
                        <w:spacing w:val="-2"/>
                        <w:sz w:val="12"/>
                      </w:rPr>
                      <w:t>urbanismo</w:t>
                    </w:r>
                    <w:r>
                      <w:rPr>
                        <w:rFonts w:ascii="Arial" w:hAnsi="Arial"/>
                        <w:color w:val="FFFFFF"/>
                        <w:spacing w:val="2"/>
                        <w:sz w:val="12"/>
                      </w:rPr>
                      <w:t> </w:t>
                    </w:r>
                    <w:r>
                      <w:rPr>
                        <w:rFonts w:ascii="Arial" w:hAnsi="Arial"/>
                        <w:color w:val="FFFFFF"/>
                        <w:spacing w:val="-2"/>
                        <w:sz w:val="12"/>
                      </w:rPr>
                      <w:t>como</w:t>
                    </w:r>
                    <w:r>
                      <w:rPr>
                        <w:rFonts w:ascii="Arial" w:hAnsi="Arial"/>
                        <w:color w:val="FFFFFF"/>
                        <w:spacing w:val="3"/>
                        <w:sz w:val="12"/>
                      </w:rPr>
                      <w:t> </w:t>
                    </w:r>
                    <w:r>
                      <w:rPr>
                        <w:rFonts w:ascii="Arial" w:hAnsi="Arial"/>
                        <w:color w:val="FFFFFF"/>
                        <w:spacing w:val="-2"/>
                        <w:sz w:val="12"/>
                      </w:rPr>
                      <w:t>política</w:t>
                    </w:r>
                    <w:r>
                      <w:rPr>
                        <w:rFonts w:ascii="Arial" w:hAnsi="Arial"/>
                        <w:color w:val="FFFFFF"/>
                        <w:spacing w:val="3"/>
                        <w:sz w:val="12"/>
                      </w:rPr>
                      <w:t> </w:t>
                    </w:r>
                    <w:r>
                      <w:rPr>
                        <w:rFonts w:ascii="Arial" w:hAnsi="Arial"/>
                        <w:color w:val="FFFFFF"/>
                        <w:spacing w:val="-2"/>
                        <w:sz w:val="12"/>
                      </w:rPr>
                      <w:t>de</w:t>
                    </w:r>
                    <w:r>
                      <w:rPr>
                        <w:rFonts w:ascii="Arial" w:hAnsi="Arial"/>
                        <w:color w:val="FFFFFF"/>
                        <w:spacing w:val="4"/>
                        <w:sz w:val="12"/>
                      </w:rPr>
                      <w:t> </w:t>
                    </w:r>
                    <w:r>
                      <w:rPr>
                        <w:rFonts w:ascii="Arial" w:hAnsi="Arial"/>
                        <w:color w:val="FFFFFF"/>
                        <w:spacing w:val="-2"/>
                        <w:sz w:val="12"/>
                      </w:rPr>
                      <w:t>Estado</w:t>
                    </w:r>
                  </w:p>
                </w:txbxContent>
              </v:textbox>
              <w10:wrap type="none"/>
            </v:shape>
            <v:shape style="position:absolute;left:7558;top:3860;width:2550;height:435" type="#_x0000_t202" id="docshape72" filled="false" stroked="false">
              <v:textbox inset="0,0,0,0">
                <w:txbxContent>
                  <w:p>
                    <w:pPr>
                      <w:tabs>
                        <w:tab w:pos="2166" w:val="left" w:leader="none"/>
                      </w:tabs>
                      <w:spacing w:line="179" w:lineRule="exact" w:before="0"/>
                      <w:ind w:left="0" w:right="0" w:firstLine="0"/>
                      <w:jc w:val="left"/>
                      <w:rPr>
                        <w:rFonts w:ascii="Arial"/>
                        <w:sz w:val="18"/>
                      </w:rPr>
                    </w:pPr>
                    <w:r>
                      <w:rPr>
                        <w:rFonts w:ascii="Arial"/>
                        <w:color w:val="FFFFFF"/>
                        <w:spacing w:val="-5"/>
                        <w:sz w:val="18"/>
                      </w:rPr>
                      <w:t>28</w:t>
                    </w:r>
                    <w:r>
                      <w:rPr>
                        <w:rFonts w:ascii="Arial"/>
                        <w:color w:val="FFFFFF"/>
                        <w:sz w:val="18"/>
                      </w:rPr>
                      <w:tab/>
                    </w:r>
                    <w:r>
                      <w:rPr>
                        <w:rFonts w:ascii="Arial"/>
                        <w:color w:val="FFFFFF"/>
                        <w:spacing w:val="40"/>
                        <w:sz w:val="18"/>
                        <w:shd w:fill="00AFEF" w:color="auto" w:val="clear"/>
                      </w:rPr>
                      <w:t> </w:t>
                    </w:r>
                    <w:r>
                      <w:rPr>
                        <w:rFonts w:ascii="Arial"/>
                        <w:color w:val="FFFFFF"/>
                        <w:sz w:val="18"/>
                        <w:shd w:fill="00AFEF" w:color="auto" w:val="clear"/>
                      </w:rPr>
                      <w:t>11</w:t>
                    </w:r>
                    <w:r>
                      <w:rPr>
                        <w:rFonts w:ascii="Arial"/>
                        <w:color w:val="FFFFFF"/>
                        <w:spacing w:val="80"/>
                        <w:sz w:val="18"/>
                        <w:shd w:fill="00AFEF" w:color="auto" w:val="clear"/>
                      </w:rPr>
                      <w:t> </w:t>
                    </w:r>
                  </w:p>
                  <w:p>
                    <w:pPr>
                      <w:spacing w:line="110" w:lineRule="exact" w:before="0"/>
                      <w:ind w:left="355" w:right="326" w:firstLine="0"/>
                      <w:jc w:val="center"/>
                      <w:rPr>
                        <w:rFonts w:ascii="Arial" w:hAnsi="Arial"/>
                        <w:sz w:val="12"/>
                      </w:rPr>
                    </w:pPr>
                    <w:r>
                      <w:rPr>
                        <w:rFonts w:ascii="Arial" w:hAnsi="Arial"/>
                        <w:sz w:val="12"/>
                      </w:rPr>
                      <w:t>Fomentar</w:t>
                    </w:r>
                    <w:r>
                      <w:rPr>
                        <w:rFonts w:ascii="Arial" w:hAnsi="Arial"/>
                        <w:spacing w:val="-8"/>
                        <w:sz w:val="12"/>
                      </w:rPr>
                      <w:t> </w:t>
                    </w:r>
                    <w:r>
                      <w:rPr>
                        <w:rFonts w:ascii="Arial" w:hAnsi="Arial"/>
                        <w:sz w:val="12"/>
                      </w:rPr>
                      <w:t>o</w:t>
                    </w:r>
                    <w:r>
                      <w:rPr>
                        <w:rFonts w:ascii="Arial" w:hAnsi="Arial"/>
                        <w:spacing w:val="-7"/>
                        <w:sz w:val="12"/>
                      </w:rPr>
                      <w:t> </w:t>
                    </w:r>
                    <w:r>
                      <w:rPr>
                        <w:rFonts w:ascii="Arial" w:hAnsi="Arial"/>
                        <w:sz w:val="12"/>
                      </w:rPr>
                      <w:t>acesso</w:t>
                    </w:r>
                    <w:r>
                      <w:rPr>
                        <w:rFonts w:ascii="Arial" w:hAnsi="Arial"/>
                        <w:spacing w:val="-7"/>
                        <w:sz w:val="12"/>
                      </w:rPr>
                      <w:t> </w:t>
                    </w:r>
                    <w:r>
                      <w:rPr>
                        <w:rFonts w:ascii="Arial" w:hAnsi="Arial"/>
                        <w:sz w:val="12"/>
                      </w:rPr>
                      <w:t>da</w:t>
                    </w:r>
                    <w:r>
                      <w:rPr>
                        <w:rFonts w:ascii="Arial" w:hAnsi="Arial"/>
                        <w:spacing w:val="-7"/>
                        <w:sz w:val="12"/>
                      </w:rPr>
                      <w:t> </w:t>
                    </w:r>
                    <w:r>
                      <w:rPr>
                        <w:rFonts w:ascii="Arial" w:hAnsi="Arial"/>
                        <w:sz w:val="12"/>
                      </w:rPr>
                      <w:t>sociedade</w:t>
                    </w:r>
                    <w:r>
                      <w:rPr>
                        <w:rFonts w:ascii="Arial" w:hAnsi="Arial"/>
                        <w:spacing w:val="-8"/>
                        <w:sz w:val="12"/>
                      </w:rPr>
                      <w:t> </w:t>
                    </w:r>
                    <w:r>
                      <w:rPr>
                        <w:rFonts w:ascii="Arial" w:hAnsi="Arial"/>
                        <w:spacing w:val="-10"/>
                        <w:sz w:val="12"/>
                      </w:rPr>
                      <w:t>à</w:t>
                    </w:r>
                  </w:p>
                  <w:p>
                    <w:pPr>
                      <w:spacing w:before="8"/>
                      <w:ind w:left="355" w:right="326" w:firstLine="0"/>
                      <w:jc w:val="center"/>
                      <w:rPr>
                        <w:rFonts w:ascii="Arial"/>
                        <w:sz w:val="12"/>
                      </w:rPr>
                    </w:pPr>
                    <w:r>
                      <w:rPr>
                        <w:rFonts w:ascii="Arial"/>
                        <w:sz w:val="12"/>
                      </w:rPr>
                      <w:t>Arquitetura</w:t>
                    </w:r>
                    <w:r>
                      <w:rPr>
                        <w:rFonts w:ascii="Arial"/>
                        <w:spacing w:val="-9"/>
                        <w:sz w:val="12"/>
                      </w:rPr>
                      <w:t> </w:t>
                    </w:r>
                    <w:r>
                      <w:rPr>
                        <w:rFonts w:ascii="Arial"/>
                        <w:sz w:val="12"/>
                      </w:rPr>
                      <w:t>e</w:t>
                    </w:r>
                    <w:r>
                      <w:rPr>
                        <w:rFonts w:ascii="Arial"/>
                        <w:spacing w:val="-8"/>
                        <w:sz w:val="12"/>
                      </w:rPr>
                      <w:t> </w:t>
                    </w:r>
                    <w:r>
                      <w:rPr>
                        <w:rFonts w:ascii="Arial"/>
                        <w:spacing w:val="-2"/>
                        <w:sz w:val="12"/>
                      </w:rPr>
                      <w:t>Urbanismo</w:t>
                    </w:r>
                  </w:p>
                </w:txbxContent>
              </v:textbox>
              <w10:wrap type="none"/>
            </v:shape>
            <v:shape style="position:absolute;left:4594;top:4635;width:278;height:204" type="#_x0000_t202" id="docshape73" filled="false" stroked="false">
              <v:textbox inset="0,0,0,0">
                <w:txbxContent>
                  <w:p>
                    <w:pPr>
                      <w:spacing w:line="203" w:lineRule="exact" w:before="0"/>
                      <w:ind w:left="0" w:right="0" w:firstLine="0"/>
                      <w:jc w:val="left"/>
                      <w:rPr>
                        <w:rFonts w:ascii="Arial"/>
                        <w:sz w:val="18"/>
                      </w:rPr>
                    </w:pPr>
                    <w:r>
                      <w:rPr>
                        <w:rFonts w:ascii="Arial"/>
                        <w:color w:val="FFFFFF"/>
                        <w:spacing w:val="28"/>
                        <w:sz w:val="18"/>
                        <w:shd w:fill="00AFEF" w:color="auto" w:val="clear"/>
                      </w:rPr>
                      <w:t> </w:t>
                    </w:r>
                    <w:r>
                      <w:rPr>
                        <w:rFonts w:ascii="Arial"/>
                        <w:color w:val="FFFFFF"/>
                        <w:spacing w:val="-10"/>
                        <w:sz w:val="18"/>
                        <w:shd w:fill="00AFEF" w:color="auto" w:val="clear"/>
                      </w:rPr>
                      <w:t>3</w:t>
                    </w:r>
                    <w:r>
                      <w:rPr>
                        <w:rFonts w:ascii="Arial"/>
                        <w:color w:val="FFFFFF"/>
                        <w:spacing w:val="80"/>
                        <w:sz w:val="18"/>
                        <w:shd w:fill="00AFEF" w:color="auto" w:val="clear"/>
                      </w:rPr>
                      <w:t> </w:t>
                    </w:r>
                  </w:p>
                </w:txbxContent>
              </v:textbox>
              <w10:wrap type="none"/>
            </v:shape>
            <v:shape style="position:absolute;left:6083;top:4572;width:839;height:141" type="#_x0000_t202" id="docshape74" filled="false" stroked="false">
              <v:textbox inset="0,0,0,0">
                <w:txbxContent>
                  <w:p>
                    <w:pPr>
                      <w:spacing w:line="141" w:lineRule="exact" w:before="0"/>
                      <w:ind w:left="0" w:right="0" w:firstLine="0"/>
                      <w:jc w:val="left"/>
                      <w:rPr>
                        <w:sz w:val="14"/>
                      </w:rPr>
                    </w:pPr>
                    <w:r>
                      <w:rPr>
                        <w:spacing w:val="-2"/>
                        <w:sz w:val="14"/>
                      </w:rPr>
                      <w:t>Alavancadores</w:t>
                    </w:r>
                  </w:p>
                </w:txbxContent>
              </v:textbox>
              <w10:wrap type="none"/>
            </v:shape>
            <v:shape style="position:absolute;left:5208;top:4767;width:665;height:135" type="#_x0000_t202" id="docshape75" filled="false" stroked="false">
              <v:textbox inset="0,0,0,0">
                <w:txbxContent>
                  <w:p>
                    <w:pPr>
                      <w:spacing w:line="134" w:lineRule="exact" w:before="0"/>
                      <w:ind w:left="0" w:right="0" w:firstLine="0"/>
                      <w:jc w:val="left"/>
                      <w:rPr>
                        <w:rFonts w:ascii="Arial"/>
                        <w:sz w:val="12"/>
                      </w:rPr>
                    </w:pPr>
                    <w:r>
                      <w:rPr>
                        <w:rFonts w:ascii="Arial"/>
                        <w:spacing w:val="-2"/>
                        <w:sz w:val="12"/>
                      </w:rPr>
                      <w:t>Assegurar</w:t>
                    </w:r>
                    <w:r>
                      <w:rPr>
                        <w:rFonts w:ascii="Arial"/>
                        <w:spacing w:val="5"/>
                        <w:sz w:val="12"/>
                      </w:rPr>
                      <w:t> </w:t>
                    </w:r>
                    <w:r>
                      <w:rPr>
                        <w:rFonts w:ascii="Arial"/>
                        <w:spacing w:val="-10"/>
                        <w:sz w:val="12"/>
                      </w:rPr>
                      <w:t>a</w:t>
                    </w:r>
                  </w:p>
                </w:txbxContent>
              </v:textbox>
              <w10:wrap type="none"/>
            </v:shape>
            <v:shape style="position:absolute;left:7983;top:4651;width:292;height:204" type="#_x0000_t202" id="docshape76" filled="false" stroked="false">
              <v:textbox inset="0,0,0,0">
                <w:txbxContent>
                  <w:p>
                    <w:pPr>
                      <w:spacing w:line="203" w:lineRule="exact" w:before="0"/>
                      <w:ind w:left="0" w:right="0" w:firstLine="0"/>
                      <w:jc w:val="left"/>
                      <w:rPr>
                        <w:rFonts w:ascii="Arial"/>
                        <w:sz w:val="18"/>
                      </w:rPr>
                    </w:pPr>
                    <w:r>
                      <w:rPr>
                        <w:rFonts w:ascii="Arial"/>
                        <w:color w:val="FFFFFF"/>
                        <w:spacing w:val="36"/>
                        <w:sz w:val="18"/>
                        <w:shd w:fill="00AFEF" w:color="auto" w:val="clear"/>
                      </w:rPr>
                      <w:t> </w:t>
                    </w:r>
                    <w:r>
                      <w:rPr>
                        <w:rFonts w:ascii="Arial"/>
                        <w:color w:val="FFFFFF"/>
                        <w:spacing w:val="-10"/>
                        <w:sz w:val="18"/>
                        <w:shd w:fill="00AFEF" w:color="auto" w:val="clear"/>
                      </w:rPr>
                      <w:t>2</w:t>
                    </w:r>
                    <w:r>
                      <w:rPr>
                        <w:rFonts w:ascii="Arial"/>
                        <w:color w:val="FFFFFF"/>
                        <w:spacing w:val="80"/>
                        <w:sz w:val="18"/>
                        <w:shd w:fill="00AFEF" w:color="auto" w:val="clear"/>
                      </w:rPr>
                      <w:t> </w:t>
                    </w:r>
                  </w:p>
                </w:txbxContent>
              </v:textbox>
              <w10:wrap type="none"/>
            </v:shape>
            <v:shape style="position:absolute;left:4823;top:4913;width:1434;height:135" type="#_x0000_t202" id="docshape77" filled="false" stroked="false">
              <v:textbox inset="0,0,0,0">
                <w:txbxContent>
                  <w:p>
                    <w:pPr>
                      <w:spacing w:line="134" w:lineRule="exact" w:before="0"/>
                      <w:ind w:left="0" w:right="0" w:firstLine="0"/>
                      <w:jc w:val="left"/>
                      <w:rPr>
                        <w:rFonts w:ascii="Arial"/>
                        <w:sz w:val="12"/>
                      </w:rPr>
                    </w:pPr>
                    <w:r>
                      <w:rPr>
                        <w:rFonts w:ascii="Arial"/>
                        <w:spacing w:val="-2"/>
                        <w:sz w:val="12"/>
                      </w:rPr>
                      <w:t>sustentabilidade</w:t>
                    </w:r>
                    <w:r>
                      <w:rPr>
                        <w:rFonts w:ascii="Arial"/>
                        <w:spacing w:val="21"/>
                        <w:sz w:val="12"/>
                      </w:rPr>
                      <w:t> </w:t>
                    </w:r>
                    <w:r>
                      <w:rPr>
                        <w:rFonts w:ascii="Arial"/>
                        <w:spacing w:val="-2"/>
                        <w:sz w:val="12"/>
                      </w:rPr>
                      <w:t>financeira</w:t>
                    </w:r>
                  </w:p>
                </w:txbxContent>
              </v:textbox>
              <w10:wrap type="none"/>
            </v:shape>
            <v:shape style="position:absolute;left:6700;top:4782;width:1175;height:281" type="#_x0000_t202" id="docshape78" filled="false" stroked="false">
              <v:textbox inset="0,0,0,0">
                <w:txbxContent>
                  <w:p>
                    <w:pPr>
                      <w:spacing w:line="254" w:lineRule="auto" w:before="0"/>
                      <w:ind w:left="0" w:right="0" w:firstLine="6"/>
                      <w:jc w:val="left"/>
                      <w:rPr>
                        <w:rFonts w:ascii="Arial" w:hAnsi="Arial"/>
                        <w:sz w:val="12"/>
                      </w:rPr>
                    </w:pPr>
                    <w:r>
                      <w:rPr>
                        <w:rFonts w:ascii="Arial" w:hAnsi="Arial"/>
                        <w:sz w:val="12"/>
                      </w:rPr>
                      <w:t>Aprimorar</w:t>
                    </w:r>
                    <w:r>
                      <w:rPr>
                        <w:rFonts w:ascii="Arial" w:hAnsi="Arial"/>
                        <w:spacing w:val="-11"/>
                        <w:sz w:val="12"/>
                      </w:rPr>
                      <w:t> </w:t>
                    </w:r>
                    <w:r>
                      <w:rPr>
                        <w:rFonts w:ascii="Arial" w:hAnsi="Arial"/>
                        <w:sz w:val="12"/>
                      </w:rPr>
                      <w:t>e</w:t>
                    </w:r>
                    <w:r>
                      <w:rPr>
                        <w:rFonts w:ascii="Arial" w:hAnsi="Arial"/>
                        <w:spacing w:val="-8"/>
                        <w:sz w:val="12"/>
                      </w:rPr>
                      <w:t> </w:t>
                    </w:r>
                    <w:r>
                      <w:rPr>
                        <w:rFonts w:ascii="Arial" w:hAnsi="Arial"/>
                        <w:sz w:val="12"/>
                      </w:rPr>
                      <w:t>inovar</w:t>
                    </w:r>
                    <w:r>
                      <w:rPr>
                        <w:rFonts w:ascii="Arial" w:hAnsi="Arial"/>
                        <w:spacing w:val="-8"/>
                        <w:sz w:val="12"/>
                      </w:rPr>
                      <w:t> </w:t>
                    </w:r>
                    <w:r>
                      <w:rPr>
                        <w:rFonts w:ascii="Arial" w:hAnsi="Arial"/>
                        <w:sz w:val="12"/>
                      </w:rPr>
                      <w:t>os</w:t>
                    </w:r>
                    <w:r>
                      <w:rPr>
                        <w:rFonts w:ascii="Arial" w:hAnsi="Arial"/>
                        <w:spacing w:val="40"/>
                        <w:sz w:val="12"/>
                      </w:rPr>
                      <w:t> </w:t>
                    </w:r>
                    <w:r>
                      <w:rPr>
                        <w:rFonts w:ascii="Arial" w:hAnsi="Arial"/>
                        <w:sz w:val="12"/>
                      </w:rPr>
                      <w:t>processos</w:t>
                    </w:r>
                    <w:r>
                      <w:rPr>
                        <w:rFonts w:ascii="Arial" w:hAnsi="Arial"/>
                        <w:spacing w:val="-5"/>
                        <w:sz w:val="12"/>
                      </w:rPr>
                      <w:t> </w:t>
                    </w:r>
                    <w:r>
                      <w:rPr>
                        <w:rFonts w:ascii="Arial" w:hAnsi="Arial"/>
                        <w:sz w:val="12"/>
                      </w:rPr>
                      <w:t>e</w:t>
                    </w:r>
                    <w:r>
                      <w:rPr>
                        <w:rFonts w:ascii="Arial" w:hAnsi="Arial"/>
                        <w:spacing w:val="-7"/>
                        <w:sz w:val="12"/>
                      </w:rPr>
                      <w:t> </w:t>
                    </w:r>
                    <w:r>
                      <w:rPr>
                        <w:rFonts w:ascii="Arial" w:hAnsi="Arial"/>
                        <w:sz w:val="12"/>
                      </w:rPr>
                      <w:t>as</w:t>
                    </w:r>
                    <w:r>
                      <w:rPr>
                        <w:rFonts w:ascii="Arial" w:hAnsi="Arial"/>
                        <w:spacing w:val="-6"/>
                        <w:sz w:val="12"/>
                      </w:rPr>
                      <w:t> </w:t>
                    </w:r>
                    <w:r>
                      <w:rPr>
                        <w:rFonts w:ascii="Arial" w:hAnsi="Arial"/>
                        <w:spacing w:val="-2"/>
                        <w:sz w:val="12"/>
                      </w:rPr>
                      <w:t>ações</w:t>
                    </w:r>
                  </w:p>
                </w:txbxContent>
              </v:textbox>
              <w10:wrap type="none"/>
            </v:shape>
            <v:shape style="position:absolute;left:2811;top:5187;width:2291;height:652" type="#_x0000_t202" id="docshape79" filled="false" stroked="false">
              <v:textbox inset="0,0,0,0">
                <w:txbxContent>
                  <w:p>
                    <w:pPr>
                      <w:spacing w:line="239" w:lineRule="exact" w:before="0"/>
                      <w:ind w:left="0" w:right="0" w:firstLine="0"/>
                      <w:jc w:val="left"/>
                      <w:rPr>
                        <w:rFonts w:ascii="Arial"/>
                        <w:sz w:val="18"/>
                      </w:rPr>
                    </w:pPr>
                    <w:r>
                      <w:rPr>
                        <w:rFonts w:ascii="Arial"/>
                        <w:b/>
                        <w:spacing w:val="-2"/>
                        <w:sz w:val="12"/>
                      </w:rPr>
                      <w:t>Pessoas</w:t>
                    </w:r>
                    <w:r>
                      <w:rPr>
                        <w:rFonts w:ascii="Arial"/>
                        <w:b/>
                        <w:spacing w:val="3"/>
                        <w:sz w:val="12"/>
                      </w:rPr>
                      <w:t> </w:t>
                    </w:r>
                    <w:r>
                      <w:rPr>
                        <w:rFonts w:ascii="Arial"/>
                        <w:b/>
                        <w:spacing w:val="-2"/>
                        <w:sz w:val="12"/>
                      </w:rPr>
                      <w:t>e</w:t>
                    </w:r>
                    <w:r>
                      <w:rPr>
                        <w:rFonts w:ascii="Arial"/>
                        <w:b/>
                        <w:spacing w:val="-22"/>
                        <w:sz w:val="12"/>
                      </w:rPr>
                      <w:t> </w:t>
                    </w:r>
                    <w:r>
                      <w:rPr>
                        <w:rFonts w:ascii="Arial"/>
                        <w:color w:val="FFFFFF"/>
                        <w:spacing w:val="-10"/>
                        <w:position w:val="7"/>
                        <w:sz w:val="18"/>
                      </w:rPr>
                      <w:t>4</w:t>
                    </w:r>
                  </w:p>
                  <w:p>
                    <w:pPr>
                      <w:spacing w:line="180" w:lineRule="auto" w:before="1"/>
                      <w:ind w:left="0" w:right="0" w:firstLine="0"/>
                      <w:jc w:val="left"/>
                      <w:rPr>
                        <w:rFonts w:ascii="Arial" w:hAnsi="Arial"/>
                        <w:sz w:val="12"/>
                      </w:rPr>
                    </w:pPr>
                    <w:r>
                      <w:rPr>
                        <w:rFonts w:ascii="Arial" w:hAnsi="Arial"/>
                        <w:b/>
                        <w:spacing w:val="-2"/>
                        <w:position w:val="-3"/>
                        <w:sz w:val="12"/>
                      </w:rPr>
                      <w:t>Infraestrutura</w:t>
                    </w:r>
                    <w:r>
                      <w:rPr>
                        <w:rFonts w:ascii="Arial" w:hAnsi="Arial"/>
                        <w:b/>
                        <w:spacing w:val="40"/>
                        <w:position w:val="-3"/>
                        <w:sz w:val="12"/>
                      </w:rPr>
                      <w:t> </w:t>
                    </w:r>
                    <w:r>
                      <w:rPr>
                        <w:rFonts w:ascii="Arial" w:hAnsi="Arial"/>
                        <w:color w:val="FFFFFF"/>
                        <w:spacing w:val="-2"/>
                        <w:sz w:val="12"/>
                      </w:rPr>
                      <w:t>Desenvolver</w:t>
                    </w:r>
                    <w:r>
                      <w:rPr>
                        <w:rFonts w:ascii="Arial" w:hAnsi="Arial"/>
                        <w:color w:val="FFFFFF"/>
                        <w:spacing w:val="5"/>
                        <w:sz w:val="12"/>
                      </w:rPr>
                      <w:t> </w:t>
                    </w:r>
                    <w:r>
                      <w:rPr>
                        <w:rFonts w:ascii="Arial" w:hAnsi="Arial"/>
                        <w:color w:val="FFFFFF"/>
                        <w:spacing w:val="-2"/>
                        <w:sz w:val="12"/>
                      </w:rPr>
                      <w:t>competências</w:t>
                    </w:r>
                  </w:p>
                  <w:p>
                    <w:pPr>
                      <w:spacing w:line="122" w:lineRule="exact" w:before="0"/>
                      <w:ind w:left="1163" w:right="0" w:firstLine="0"/>
                      <w:jc w:val="left"/>
                      <w:rPr>
                        <w:rFonts w:ascii="Arial"/>
                        <w:sz w:val="12"/>
                      </w:rPr>
                    </w:pPr>
                    <w:r>
                      <w:rPr>
                        <w:rFonts w:ascii="Arial"/>
                        <w:color w:val="FFFFFF"/>
                        <w:spacing w:val="-2"/>
                        <w:sz w:val="12"/>
                      </w:rPr>
                      <w:t>de</w:t>
                    </w:r>
                    <w:r>
                      <w:rPr>
                        <w:rFonts w:ascii="Arial"/>
                        <w:color w:val="FFFFFF"/>
                        <w:spacing w:val="3"/>
                        <w:sz w:val="12"/>
                      </w:rPr>
                      <w:t> </w:t>
                    </w:r>
                    <w:r>
                      <w:rPr>
                        <w:rFonts w:ascii="Arial"/>
                        <w:color w:val="FFFFFF"/>
                        <w:spacing w:val="-2"/>
                        <w:sz w:val="12"/>
                      </w:rPr>
                      <w:t>dirigentes</w:t>
                    </w:r>
                    <w:r>
                      <w:rPr>
                        <w:rFonts w:ascii="Arial"/>
                        <w:color w:val="FFFFFF"/>
                        <w:spacing w:val="3"/>
                        <w:sz w:val="12"/>
                      </w:rPr>
                      <w:t> </w:t>
                    </w:r>
                    <w:r>
                      <w:rPr>
                        <w:rFonts w:ascii="Arial"/>
                        <w:color w:val="FFFFFF"/>
                        <w:spacing w:val="-10"/>
                        <w:sz w:val="12"/>
                      </w:rPr>
                      <w:t>e</w:t>
                    </w:r>
                  </w:p>
                  <w:p>
                    <w:pPr>
                      <w:spacing w:before="7"/>
                      <w:ind w:left="1176" w:right="0" w:firstLine="0"/>
                      <w:jc w:val="left"/>
                      <w:rPr>
                        <w:rFonts w:ascii="Arial"/>
                        <w:sz w:val="12"/>
                      </w:rPr>
                    </w:pPr>
                    <w:r>
                      <w:rPr>
                        <w:rFonts w:ascii="Arial"/>
                        <w:color w:val="FFFFFF"/>
                        <w:spacing w:val="-2"/>
                        <w:sz w:val="12"/>
                      </w:rPr>
                      <w:t>colaboradores</w:t>
                    </w:r>
                  </w:p>
                </w:txbxContent>
              </v:textbox>
              <w10:wrap type="none"/>
            </v:shape>
            <v:shape style="position:absolute;left:5375;top:5245;width:1864;height:517" type="#_x0000_t202" id="docshape80" filled="false" stroked="false">
              <v:textbox inset="0,0,0,0">
                <w:txbxContent>
                  <w:p>
                    <w:pPr>
                      <w:spacing w:line="203" w:lineRule="exact" w:before="0"/>
                      <w:ind w:left="0" w:right="18" w:firstLine="0"/>
                      <w:jc w:val="right"/>
                      <w:rPr>
                        <w:rFonts w:ascii="Arial"/>
                        <w:sz w:val="18"/>
                      </w:rPr>
                    </w:pPr>
                    <w:r>
                      <w:rPr>
                        <w:rFonts w:ascii="Arial"/>
                        <w:color w:val="FFFFFF"/>
                        <w:spacing w:val="47"/>
                        <w:sz w:val="18"/>
                        <w:shd w:fill="00AFEF" w:color="auto" w:val="clear"/>
                      </w:rPr>
                      <w:t> </w:t>
                    </w:r>
                    <w:r>
                      <w:rPr>
                        <w:rFonts w:ascii="Arial"/>
                        <w:color w:val="FFFFFF"/>
                        <w:spacing w:val="-10"/>
                        <w:sz w:val="18"/>
                        <w:shd w:fill="00AFEF" w:color="auto" w:val="clear"/>
                      </w:rPr>
                      <w:t>1</w:t>
                    </w:r>
                    <w:r>
                      <w:rPr>
                        <w:rFonts w:ascii="Arial"/>
                        <w:color w:val="FFFFFF"/>
                        <w:spacing w:val="80"/>
                        <w:sz w:val="18"/>
                        <w:shd w:fill="00AFEF" w:color="auto" w:val="clear"/>
                      </w:rPr>
                      <w:t> </w:t>
                    </w:r>
                  </w:p>
                  <w:p>
                    <w:pPr>
                      <w:spacing w:line="254" w:lineRule="auto" w:before="26"/>
                      <w:ind w:left="245" w:right="174" w:hanging="246"/>
                      <w:jc w:val="left"/>
                      <w:rPr>
                        <w:rFonts w:ascii="Arial" w:hAnsi="Arial"/>
                        <w:sz w:val="12"/>
                      </w:rPr>
                    </w:pPr>
                    <w:r>
                      <w:rPr>
                        <w:rFonts w:ascii="Arial" w:hAnsi="Arial"/>
                        <w:color w:val="FFFFFF"/>
                        <w:sz w:val="12"/>
                      </w:rPr>
                      <w:t>Construir</w:t>
                    </w:r>
                    <w:r>
                      <w:rPr>
                        <w:rFonts w:ascii="Arial" w:hAnsi="Arial"/>
                        <w:color w:val="FFFFFF"/>
                        <w:spacing w:val="-9"/>
                        <w:sz w:val="12"/>
                      </w:rPr>
                      <w:t> </w:t>
                    </w:r>
                    <w:r>
                      <w:rPr>
                        <w:rFonts w:ascii="Arial" w:hAnsi="Arial"/>
                        <w:color w:val="FFFFFF"/>
                        <w:sz w:val="12"/>
                      </w:rPr>
                      <w:t>cultura</w:t>
                    </w:r>
                    <w:r>
                      <w:rPr>
                        <w:rFonts w:ascii="Arial" w:hAnsi="Arial"/>
                        <w:color w:val="FFFFFF"/>
                        <w:spacing w:val="-8"/>
                        <w:sz w:val="12"/>
                      </w:rPr>
                      <w:t> </w:t>
                    </w:r>
                    <w:r>
                      <w:rPr>
                        <w:rFonts w:ascii="Arial" w:hAnsi="Arial"/>
                        <w:color w:val="FFFFFF"/>
                        <w:sz w:val="12"/>
                      </w:rPr>
                      <w:t>organizacional</w:t>
                    </w:r>
                    <w:r>
                      <w:rPr>
                        <w:rFonts w:ascii="Arial" w:hAnsi="Arial"/>
                        <w:color w:val="FFFFFF"/>
                        <w:spacing w:val="40"/>
                        <w:sz w:val="12"/>
                      </w:rPr>
                      <w:t> </w:t>
                    </w:r>
                    <w:r>
                      <w:rPr>
                        <w:rFonts w:ascii="Arial" w:hAnsi="Arial"/>
                        <w:color w:val="FFFFFF"/>
                        <w:sz w:val="12"/>
                      </w:rPr>
                      <w:t>adequada à estratégia</w:t>
                    </w:r>
                  </w:p>
                </w:txbxContent>
              </v:textbox>
              <w10:wrap type="none"/>
            </v:shape>
            <v:shape style="position:absolute;left:7378;top:5187;width:2545;height:652" type="#_x0000_t202" id="docshape81" filled="false" stroked="false">
              <v:textbox inset="0,0,0,0">
                <w:txbxContent>
                  <w:p>
                    <w:pPr>
                      <w:spacing w:line="203" w:lineRule="exact" w:before="0"/>
                      <w:ind w:left="0" w:right="18" w:firstLine="0"/>
                      <w:jc w:val="right"/>
                      <w:rPr>
                        <w:rFonts w:ascii="Arial"/>
                        <w:sz w:val="18"/>
                      </w:rPr>
                    </w:pPr>
                    <w:r>
                      <w:rPr>
                        <w:rFonts w:ascii="Arial"/>
                        <w:color w:val="FFFFFF"/>
                        <w:spacing w:val="64"/>
                        <w:w w:val="150"/>
                        <w:sz w:val="18"/>
                        <w:shd w:fill="00AFEF" w:color="auto" w:val="clear"/>
                      </w:rPr>
                      <w:t> </w:t>
                    </w:r>
                    <w:r>
                      <w:rPr>
                        <w:rFonts w:ascii="Arial"/>
                        <w:color w:val="FFFFFF"/>
                        <w:spacing w:val="-10"/>
                        <w:sz w:val="18"/>
                        <w:shd w:fill="00AFEF" w:color="auto" w:val="clear"/>
                      </w:rPr>
                      <w:t>5</w:t>
                    </w:r>
                    <w:r>
                      <w:rPr>
                        <w:rFonts w:ascii="Arial"/>
                        <w:color w:val="FFFFFF"/>
                        <w:spacing w:val="40"/>
                        <w:sz w:val="18"/>
                        <w:shd w:fill="00AFEF" w:color="auto" w:val="clear"/>
                      </w:rPr>
                      <w:t> </w:t>
                    </w:r>
                  </w:p>
                  <w:p>
                    <w:pPr>
                      <w:spacing w:line="252" w:lineRule="auto" w:before="16"/>
                      <w:ind w:left="0" w:right="244" w:firstLine="0"/>
                      <w:jc w:val="center"/>
                      <w:rPr>
                        <w:rFonts w:ascii="Arial" w:hAnsi="Arial"/>
                        <w:sz w:val="12"/>
                      </w:rPr>
                    </w:pPr>
                    <w:r>
                      <w:rPr>
                        <w:rFonts w:ascii="Arial" w:hAnsi="Arial"/>
                        <w:color w:val="FFFFFF"/>
                        <w:sz w:val="12"/>
                      </w:rPr>
                      <w:t>Ter</w:t>
                    </w:r>
                    <w:r>
                      <w:rPr>
                        <w:rFonts w:ascii="Arial" w:hAnsi="Arial"/>
                        <w:color w:val="FFFFFF"/>
                        <w:spacing w:val="-9"/>
                        <w:sz w:val="12"/>
                      </w:rPr>
                      <w:t> </w:t>
                    </w:r>
                    <w:r>
                      <w:rPr>
                        <w:rFonts w:ascii="Arial" w:hAnsi="Arial"/>
                        <w:color w:val="FFFFFF"/>
                        <w:sz w:val="12"/>
                      </w:rPr>
                      <w:t>sistemas</w:t>
                    </w:r>
                    <w:r>
                      <w:rPr>
                        <w:rFonts w:ascii="Arial" w:hAnsi="Arial"/>
                        <w:color w:val="FFFFFF"/>
                        <w:spacing w:val="-8"/>
                        <w:sz w:val="12"/>
                      </w:rPr>
                      <w:t> </w:t>
                    </w:r>
                    <w:r>
                      <w:rPr>
                        <w:rFonts w:ascii="Arial" w:hAnsi="Arial"/>
                        <w:color w:val="FFFFFF"/>
                        <w:sz w:val="12"/>
                      </w:rPr>
                      <w:t>de</w:t>
                    </w:r>
                    <w:r>
                      <w:rPr>
                        <w:rFonts w:ascii="Arial" w:hAnsi="Arial"/>
                        <w:color w:val="FFFFFF"/>
                        <w:spacing w:val="-8"/>
                        <w:sz w:val="12"/>
                      </w:rPr>
                      <w:t> </w:t>
                    </w:r>
                    <w:r>
                      <w:rPr>
                        <w:rFonts w:ascii="Arial" w:hAnsi="Arial"/>
                        <w:color w:val="FFFFFF"/>
                        <w:sz w:val="12"/>
                      </w:rPr>
                      <w:t>informação</w:t>
                    </w:r>
                    <w:r>
                      <w:rPr>
                        <w:rFonts w:ascii="Arial" w:hAnsi="Arial"/>
                        <w:color w:val="FFFFFF"/>
                        <w:spacing w:val="-9"/>
                        <w:sz w:val="12"/>
                      </w:rPr>
                      <w:t> </w:t>
                    </w:r>
                    <w:r>
                      <w:rPr>
                        <w:rFonts w:ascii="Arial" w:hAnsi="Arial"/>
                        <w:color w:val="FFFFFF"/>
                        <w:sz w:val="12"/>
                      </w:rPr>
                      <w:t>e</w:t>
                    </w:r>
                    <w:r>
                      <w:rPr>
                        <w:rFonts w:ascii="Arial" w:hAnsi="Arial"/>
                        <w:color w:val="FFFFFF"/>
                        <w:spacing w:val="-8"/>
                        <w:sz w:val="12"/>
                      </w:rPr>
                      <w:t> </w:t>
                    </w:r>
                    <w:r>
                      <w:rPr>
                        <w:rFonts w:ascii="Arial" w:hAnsi="Arial"/>
                        <w:color w:val="FFFFFF"/>
                        <w:sz w:val="12"/>
                      </w:rPr>
                      <w:t>infraestrutura</w:t>
                    </w:r>
                    <w:r>
                      <w:rPr>
                        <w:rFonts w:ascii="Arial" w:hAnsi="Arial"/>
                        <w:color w:val="FFFFFF"/>
                        <w:spacing w:val="40"/>
                        <w:sz w:val="12"/>
                      </w:rPr>
                      <w:t> </w:t>
                    </w:r>
                    <w:r>
                      <w:rPr>
                        <w:rFonts w:ascii="Arial" w:hAnsi="Arial"/>
                        <w:color w:val="FFFFFF"/>
                        <w:sz w:val="12"/>
                      </w:rPr>
                      <w:t>que viabilizem a gestão e o atendimento</w:t>
                    </w:r>
                    <w:r>
                      <w:rPr>
                        <w:rFonts w:ascii="Arial" w:hAnsi="Arial"/>
                        <w:color w:val="FFFFFF"/>
                        <w:spacing w:val="40"/>
                        <w:sz w:val="12"/>
                      </w:rPr>
                      <w:t> </w:t>
                    </w:r>
                    <w:r>
                      <w:rPr>
                        <w:rFonts w:ascii="Arial" w:hAnsi="Arial"/>
                        <w:color w:val="FFFFFF"/>
                        <w:sz w:val="12"/>
                      </w:rPr>
                      <w:t>dos arquitetos e urbanistas e a sociedade</w:t>
                    </w:r>
                  </w:p>
                </w:txbxContent>
              </v:textbox>
              <w10:wrap type="none"/>
            </v:shape>
            <v:shape style="position:absolute;left:7802;top:2770;width:2111;height:497" type="#_x0000_t202" id="docshape82" filled="false" stroked="false">
              <v:textbox inset="0,0,0,0">
                <w:txbxContent>
                  <w:p>
                    <w:pPr>
                      <w:spacing w:line="252" w:lineRule="auto" w:before="78"/>
                      <w:ind w:left="220" w:right="235" w:hanging="2"/>
                      <w:jc w:val="center"/>
                      <w:rPr>
                        <w:rFonts w:ascii="Arial" w:hAnsi="Arial"/>
                        <w:sz w:val="12"/>
                      </w:rPr>
                    </w:pPr>
                    <w:r>
                      <w:rPr>
                        <w:rFonts w:ascii="Arial" w:hAnsi="Arial"/>
                        <w:color w:val="FFFFFF"/>
                        <w:sz w:val="12"/>
                      </w:rPr>
                      <w:t>Assegurar a eficácia no</w:t>
                    </w:r>
                    <w:r>
                      <w:rPr>
                        <w:rFonts w:ascii="Arial" w:hAnsi="Arial"/>
                        <w:color w:val="FFFFFF"/>
                        <w:spacing w:val="40"/>
                        <w:sz w:val="12"/>
                      </w:rPr>
                      <w:t> </w:t>
                    </w:r>
                    <w:r>
                      <w:rPr>
                        <w:rFonts w:ascii="Arial" w:hAnsi="Arial"/>
                        <w:color w:val="FFFFFF"/>
                        <w:sz w:val="12"/>
                      </w:rPr>
                      <w:t>relacionamento</w:t>
                    </w:r>
                    <w:r>
                      <w:rPr>
                        <w:rFonts w:ascii="Arial" w:hAnsi="Arial"/>
                        <w:color w:val="FFFFFF"/>
                        <w:spacing w:val="-9"/>
                        <w:sz w:val="12"/>
                      </w:rPr>
                      <w:t> </w:t>
                    </w:r>
                    <w:r>
                      <w:rPr>
                        <w:rFonts w:ascii="Arial" w:hAnsi="Arial"/>
                        <w:color w:val="FFFFFF"/>
                        <w:sz w:val="12"/>
                      </w:rPr>
                      <w:t>e</w:t>
                    </w:r>
                    <w:r>
                      <w:rPr>
                        <w:rFonts w:ascii="Arial" w:hAnsi="Arial"/>
                        <w:color w:val="FFFFFF"/>
                        <w:spacing w:val="-8"/>
                        <w:sz w:val="12"/>
                      </w:rPr>
                      <w:t> </w:t>
                    </w:r>
                    <w:r>
                      <w:rPr>
                        <w:rFonts w:ascii="Arial" w:hAnsi="Arial"/>
                        <w:color w:val="FFFFFF"/>
                        <w:sz w:val="12"/>
                      </w:rPr>
                      <w:t>comunicação</w:t>
                    </w:r>
                    <w:r>
                      <w:rPr>
                        <w:rFonts w:ascii="Arial" w:hAnsi="Arial"/>
                        <w:color w:val="FFFFFF"/>
                        <w:spacing w:val="40"/>
                        <w:sz w:val="12"/>
                      </w:rPr>
                      <w:t> </w:t>
                    </w:r>
                    <w:r>
                      <w:rPr>
                        <w:rFonts w:ascii="Arial" w:hAnsi="Arial"/>
                        <w:color w:val="FFFFFF"/>
                        <w:sz w:val="12"/>
                      </w:rPr>
                      <w:t>com a sociedade</w:t>
                    </w:r>
                  </w:p>
                </w:txbxContent>
              </v:textbox>
              <w10:wrap type="none"/>
            </v:shape>
            <v:shape style="position:absolute;left:7879;top:2604;width:1883;height:156" type="#_x0000_t202" id="docshape83" filled="false" stroked="false">
              <v:textbox inset="0,0,0,0">
                <w:txbxContent>
                  <w:p>
                    <w:pPr>
                      <w:spacing w:line="112" w:lineRule="exact" w:before="43"/>
                      <w:ind w:left="263" w:right="0" w:firstLine="0"/>
                      <w:jc w:val="left"/>
                      <w:rPr>
                        <w:rFonts w:ascii="Arial" w:hAnsi="Arial"/>
                        <w:sz w:val="12"/>
                      </w:rPr>
                    </w:pPr>
                    <w:r>
                      <w:rPr>
                        <w:rFonts w:ascii="Arial" w:hAnsi="Arial"/>
                        <w:sz w:val="12"/>
                      </w:rPr>
                      <w:t>Relação</w:t>
                    </w:r>
                    <w:r>
                      <w:rPr>
                        <w:rFonts w:ascii="Arial" w:hAnsi="Arial"/>
                        <w:spacing w:val="-4"/>
                        <w:sz w:val="12"/>
                      </w:rPr>
                      <w:t> </w:t>
                    </w:r>
                    <w:r>
                      <w:rPr>
                        <w:rFonts w:ascii="Arial" w:hAnsi="Arial"/>
                        <w:sz w:val="12"/>
                      </w:rPr>
                      <w:t>com</w:t>
                    </w:r>
                    <w:r>
                      <w:rPr>
                        <w:rFonts w:ascii="Arial" w:hAnsi="Arial"/>
                        <w:spacing w:val="-3"/>
                        <w:sz w:val="12"/>
                      </w:rPr>
                      <w:t> </w:t>
                    </w:r>
                    <w:r>
                      <w:rPr>
                        <w:rFonts w:ascii="Arial" w:hAnsi="Arial"/>
                        <w:sz w:val="12"/>
                      </w:rPr>
                      <w:t>a</w:t>
                    </w:r>
                    <w:r>
                      <w:rPr>
                        <w:rFonts w:ascii="Arial" w:hAnsi="Arial"/>
                        <w:spacing w:val="-3"/>
                        <w:sz w:val="12"/>
                      </w:rPr>
                      <w:t> </w:t>
                    </w:r>
                    <w:r>
                      <w:rPr>
                        <w:rFonts w:ascii="Arial" w:hAnsi="Arial"/>
                        <w:spacing w:val="-2"/>
                        <w:sz w:val="12"/>
                      </w:rPr>
                      <w:t>Sociedade</w:t>
                    </w:r>
                  </w:p>
                </w:txbxContent>
              </v:textbox>
              <w10:wrap type="none"/>
            </v:shape>
            <v:shape style="position:absolute;left:5104;top:2781;width:388;height:243" type="#_x0000_t202" id="docshape84" filled="true" fillcolor="#416266" stroked="true" strokeweight="3.01575pt" strokecolor="#ff6600">
              <v:textbox inset="0,0,0,0">
                <w:txbxContent>
                  <w:p>
                    <w:pPr>
                      <w:spacing w:line="182" w:lineRule="exact" w:before="0"/>
                      <w:ind w:left="62" w:right="0" w:firstLine="0"/>
                      <w:jc w:val="left"/>
                      <w:rPr>
                        <w:rFonts w:ascii="Arial"/>
                        <w:color w:val="000000"/>
                        <w:sz w:val="18"/>
                      </w:rPr>
                    </w:pPr>
                    <w:r>
                      <w:rPr>
                        <w:rFonts w:ascii="Arial"/>
                        <w:color w:val="FFFFFF"/>
                        <w:spacing w:val="-5"/>
                        <w:sz w:val="18"/>
                      </w:rPr>
                      <w:t>28</w:t>
                    </w:r>
                  </w:p>
                </w:txbxContent>
              </v:textbox>
              <v:fill type="solid"/>
              <v:stroke dashstyle="solid"/>
              <w10:wrap type="none"/>
            </v:shape>
            <v:shape style="position:absolute;left:3167;top:2646;width:1825;height:220" type="#_x0000_t202" id="docshape85" filled="true" fillcolor="#f1f1f1" stroked="false">
              <v:textbox inset="0,0,0,0">
                <w:txbxContent>
                  <w:p>
                    <w:pPr>
                      <w:spacing w:before="43"/>
                      <w:ind w:left="209" w:right="0" w:firstLine="0"/>
                      <w:jc w:val="left"/>
                      <w:rPr>
                        <w:rFonts w:ascii="Arial" w:hAnsi="Arial"/>
                        <w:color w:val="000000"/>
                        <w:sz w:val="12"/>
                      </w:rPr>
                    </w:pPr>
                    <w:r>
                      <w:rPr>
                        <w:rFonts w:ascii="Arial" w:hAnsi="Arial"/>
                        <w:color w:val="000000"/>
                        <w:spacing w:val="-2"/>
                        <w:sz w:val="12"/>
                      </w:rPr>
                      <w:t>Excelência</w:t>
                    </w:r>
                    <w:r>
                      <w:rPr>
                        <w:rFonts w:ascii="Arial" w:hAnsi="Arial"/>
                        <w:color w:val="000000"/>
                        <w:spacing w:val="4"/>
                        <w:sz w:val="12"/>
                      </w:rPr>
                      <w:t> </w:t>
                    </w:r>
                    <w:r>
                      <w:rPr>
                        <w:rFonts w:ascii="Arial" w:hAnsi="Arial"/>
                        <w:color w:val="000000"/>
                        <w:spacing w:val="-2"/>
                        <w:sz w:val="12"/>
                      </w:rPr>
                      <w:t>Organizacional</w:t>
                    </w:r>
                  </w:p>
                </w:txbxContent>
              </v:textbox>
              <v:fill type="solid"/>
              <w10:wrap type="none"/>
            </v:shape>
            <v:shape style="position:absolute;left:7528;top:3263;width:296;height:244" type="#_x0000_t202" id="docshape86" filled="true" fillcolor="#00afef" stroked="false">
              <v:textbox inset="0,0,0,0">
                <w:txbxContent>
                  <w:p>
                    <w:pPr>
                      <w:spacing w:before="21"/>
                      <w:ind w:left="97" w:right="0" w:firstLine="0"/>
                      <w:jc w:val="left"/>
                      <w:rPr>
                        <w:rFonts w:ascii="Arial"/>
                        <w:color w:val="000000"/>
                        <w:sz w:val="18"/>
                      </w:rPr>
                    </w:pPr>
                    <w:r>
                      <w:rPr>
                        <w:rFonts w:ascii="Arial"/>
                        <w:color w:val="FFFFFF"/>
                        <w:w w:val="100"/>
                        <w:sz w:val="18"/>
                      </w:rPr>
                      <w:t>2</w:t>
                    </w:r>
                  </w:p>
                </w:txbxContent>
              </v:textbox>
              <v:fill type="solid"/>
              <w10:wrap type="none"/>
            </v:shape>
            <v:shape style="position:absolute;left:9668;top:2649;width:364;height:300" type="#_x0000_t202" id="docshape87" filled="false" stroked="false">
              <v:textbox inset="0,0,0,0">
                <w:txbxContent>
                  <w:p>
                    <w:pPr>
                      <w:spacing w:before="49"/>
                      <w:ind w:left="82" w:right="0" w:firstLine="0"/>
                      <w:jc w:val="left"/>
                      <w:rPr>
                        <w:rFonts w:ascii="Arial"/>
                        <w:sz w:val="18"/>
                      </w:rPr>
                    </w:pPr>
                    <w:r>
                      <w:rPr>
                        <w:rFonts w:ascii="Arial"/>
                        <w:color w:val="FFFFFF"/>
                        <w:spacing w:val="-5"/>
                        <w:sz w:val="18"/>
                      </w:rPr>
                      <w:t>28</w:t>
                    </w:r>
                  </w:p>
                </w:txbxContent>
              </v:textbox>
              <w10:wrap type="none"/>
            </v:shape>
            <v:shape style="position:absolute;left:5799;top:2604;width:1479;height:220" type="#_x0000_t202" id="docshape88" filled="true" fillcolor="#f1f1f1" stroked="false">
              <v:textbox inset="0,0,0,0">
                <w:txbxContent>
                  <w:p>
                    <w:pPr>
                      <w:spacing w:before="43"/>
                      <w:ind w:left="129" w:right="0" w:firstLine="0"/>
                      <w:jc w:val="left"/>
                      <w:rPr>
                        <w:rFonts w:ascii="Arial" w:hAnsi="Arial"/>
                        <w:color w:val="000000"/>
                        <w:sz w:val="12"/>
                      </w:rPr>
                    </w:pPr>
                    <w:r>
                      <w:rPr>
                        <w:rFonts w:ascii="Arial" w:hAnsi="Arial"/>
                        <w:color w:val="000000"/>
                        <w:sz w:val="12"/>
                      </w:rPr>
                      <w:t>Relações</w:t>
                    </w:r>
                    <w:r>
                      <w:rPr>
                        <w:rFonts w:ascii="Arial" w:hAnsi="Arial"/>
                        <w:color w:val="000000"/>
                        <w:spacing w:val="-8"/>
                        <w:sz w:val="12"/>
                      </w:rPr>
                      <w:t> </w:t>
                    </w:r>
                    <w:r>
                      <w:rPr>
                        <w:rFonts w:ascii="Arial" w:hAnsi="Arial"/>
                        <w:color w:val="000000"/>
                        <w:spacing w:val="-2"/>
                        <w:sz w:val="12"/>
                      </w:rPr>
                      <w:t>Institucionais</w:t>
                    </w:r>
                  </w:p>
                </w:txbxContent>
              </v:textbox>
              <v:fill type="solid"/>
              <w10:wrap type="none"/>
            </v:shape>
            <w10:wrap type="topAndBottom"/>
          </v:group>
        </w:pict>
      </w:r>
      <w:bookmarkStart w:name="_bookmark2" w:id="3"/>
      <w:bookmarkEnd w:id="3"/>
      <w:r>
        <w:rPr>
          <w:b w:val="0"/>
        </w:rPr>
      </w:r>
      <w:r>
        <w:rPr/>
        <w:t>Figura</w:t>
      </w:r>
      <w:r>
        <w:rPr>
          <w:spacing w:val="-3"/>
        </w:rPr>
        <w:t> </w:t>
      </w:r>
      <w:r>
        <w:rPr/>
        <w:t>1.</w:t>
      </w:r>
      <w:r>
        <w:rPr>
          <w:spacing w:val="-1"/>
        </w:rPr>
        <w:t> </w:t>
      </w:r>
      <w:r>
        <w:rPr/>
        <w:t>Mapa</w:t>
      </w:r>
      <w:r>
        <w:rPr>
          <w:spacing w:val="-3"/>
        </w:rPr>
        <w:t> </w:t>
      </w:r>
      <w:r>
        <w:rPr/>
        <w:t>Estratégico</w:t>
      </w:r>
      <w:r>
        <w:rPr>
          <w:spacing w:val="-1"/>
        </w:rPr>
        <w:t> </w:t>
      </w:r>
      <w:r>
        <w:rPr/>
        <w:t>do</w:t>
      </w:r>
      <w:r>
        <w:rPr>
          <w:spacing w:val="-4"/>
        </w:rPr>
        <w:t> </w:t>
      </w:r>
      <w:r>
        <w:rPr/>
        <w:t>CAU</w:t>
      </w:r>
      <w:r>
        <w:rPr>
          <w:spacing w:val="-4"/>
        </w:rPr>
        <w:t> 2023</w:t>
      </w:r>
    </w:p>
    <w:p>
      <w:pPr>
        <w:spacing w:after="0"/>
        <w:jc w:val="both"/>
        <w:sectPr>
          <w:pgSz w:w="11910" w:h="16840"/>
          <w:pgMar w:header="689" w:footer="261" w:top="1580" w:bottom="460" w:left="1300" w:right="700"/>
        </w:sectPr>
      </w:pPr>
    </w:p>
    <w:p>
      <w:pPr>
        <w:pStyle w:val="BodyText"/>
        <w:spacing w:before="11"/>
        <w:rPr>
          <w:b/>
          <w:sz w:val="20"/>
        </w:rPr>
      </w:pPr>
    </w:p>
    <w:p>
      <w:pPr>
        <w:spacing w:line="360" w:lineRule="auto" w:before="51"/>
        <w:ind w:left="118" w:right="144" w:firstLine="851"/>
        <w:jc w:val="both"/>
        <w:rPr>
          <w:sz w:val="24"/>
        </w:rPr>
      </w:pPr>
      <w:r>
        <w:rPr>
          <w:sz w:val="24"/>
        </w:rPr>
        <w:t>Para a Reprogramação</w:t>
      </w:r>
      <w:r>
        <w:rPr>
          <w:spacing w:val="-1"/>
          <w:sz w:val="24"/>
        </w:rPr>
        <w:t> </w:t>
      </w:r>
      <w:r>
        <w:rPr>
          <w:sz w:val="24"/>
        </w:rPr>
        <w:t>do Plano</w:t>
      </w:r>
      <w:r>
        <w:rPr>
          <w:spacing w:val="-1"/>
          <w:sz w:val="24"/>
        </w:rPr>
        <w:t> </w:t>
      </w:r>
      <w:r>
        <w:rPr>
          <w:sz w:val="24"/>
        </w:rPr>
        <w:t>de Ação</w:t>
      </w:r>
      <w:r>
        <w:rPr>
          <w:spacing w:val="-1"/>
          <w:sz w:val="24"/>
        </w:rPr>
        <w:t> </w:t>
      </w:r>
      <w:r>
        <w:rPr>
          <w:sz w:val="24"/>
        </w:rPr>
        <w:t>do exercício de</w:t>
      </w:r>
      <w:r>
        <w:rPr>
          <w:spacing w:val="-1"/>
          <w:sz w:val="24"/>
        </w:rPr>
        <w:t> </w:t>
      </w:r>
      <w:r>
        <w:rPr>
          <w:sz w:val="24"/>
        </w:rPr>
        <w:t>2020, as iniciativas estratégicas</w:t>
      </w:r>
      <w:r>
        <w:rPr>
          <w:spacing w:val="-2"/>
          <w:sz w:val="24"/>
        </w:rPr>
        <w:t> </w:t>
      </w:r>
      <w:r>
        <w:rPr>
          <w:sz w:val="24"/>
        </w:rPr>
        <w:t>a serem implementadas pelo Conselho, visando ao alcance de resultados que façam a diferença na atuação</w:t>
      </w:r>
      <w:r>
        <w:rPr>
          <w:spacing w:val="-11"/>
          <w:sz w:val="24"/>
        </w:rPr>
        <w:t> </w:t>
      </w:r>
      <w:r>
        <w:rPr>
          <w:sz w:val="24"/>
        </w:rPr>
        <w:t>dos</w:t>
      </w:r>
      <w:r>
        <w:rPr>
          <w:spacing w:val="-11"/>
          <w:sz w:val="24"/>
        </w:rPr>
        <w:t> </w:t>
      </w:r>
      <w:r>
        <w:rPr>
          <w:sz w:val="24"/>
        </w:rPr>
        <w:t>arquitetos</w:t>
      </w:r>
      <w:r>
        <w:rPr>
          <w:spacing w:val="-11"/>
          <w:sz w:val="24"/>
        </w:rPr>
        <w:t> </w:t>
      </w:r>
      <w:r>
        <w:rPr>
          <w:sz w:val="24"/>
        </w:rPr>
        <w:t>e</w:t>
      </w:r>
      <w:r>
        <w:rPr>
          <w:spacing w:val="-13"/>
          <w:sz w:val="24"/>
        </w:rPr>
        <w:t> </w:t>
      </w:r>
      <w:r>
        <w:rPr>
          <w:sz w:val="24"/>
        </w:rPr>
        <w:t>urbanistas</w:t>
      </w:r>
      <w:r>
        <w:rPr>
          <w:spacing w:val="-11"/>
          <w:sz w:val="24"/>
        </w:rPr>
        <w:t> </w:t>
      </w:r>
      <w:r>
        <w:rPr>
          <w:sz w:val="24"/>
        </w:rPr>
        <w:t>brasileiros,</w:t>
      </w:r>
      <w:r>
        <w:rPr>
          <w:spacing w:val="-11"/>
          <w:sz w:val="24"/>
        </w:rPr>
        <w:t> </w:t>
      </w:r>
      <w:r>
        <w:rPr>
          <w:sz w:val="24"/>
        </w:rPr>
        <w:t>focam</w:t>
      </w:r>
      <w:r>
        <w:rPr>
          <w:spacing w:val="-8"/>
          <w:sz w:val="24"/>
        </w:rPr>
        <w:t> </w:t>
      </w:r>
      <w:r>
        <w:rPr>
          <w:sz w:val="24"/>
        </w:rPr>
        <w:t>prioritariamente</w:t>
      </w:r>
      <w:r>
        <w:rPr>
          <w:spacing w:val="-11"/>
          <w:sz w:val="24"/>
        </w:rPr>
        <w:t> </w:t>
      </w:r>
      <w:r>
        <w:rPr>
          <w:sz w:val="24"/>
        </w:rPr>
        <w:t>os</w:t>
      </w:r>
      <w:r>
        <w:rPr>
          <w:spacing w:val="-13"/>
          <w:sz w:val="24"/>
        </w:rPr>
        <w:t> </w:t>
      </w:r>
      <w:r>
        <w:rPr>
          <w:sz w:val="24"/>
        </w:rPr>
        <w:t>Objetivos</w:t>
      </w:r>
      <w:r>
        <w:rPr>
          <w:spacing w:val="-11"/>
          <w:sz w:val="24"/>
        </w:rPr>
        <w:t> </w:t>
      </w:r>
      <w:r>
        <w:rPr>
          <w:sz w:val="24"/>
        </w:rPr>
        <w:t>Estratégicos</w:t>
      </w:r>
      <w:r>
        <w:rPr>
          <w:spacing w:val="-13"/>
          <w:sz w:val="24"/>
        </w:rPr>
        <w:t> </w:t>
      </w:r>
      <w:r>
        <w:rPr>
          <w:sz w:val="24"/>
        </w:rPr>
        <w:t>de âmbito nacional </w:t>
      </w:r>
      <w:r>
        <w:rPr>
          <w:b/>
          <w:sz w:val="24"/>
        </w:rPr>
        <w:t>(i) Tornar a fiscalização um vetor de melhoria do exercício da Arquitetura e Urbanismo; (ii) Assegurar a eficácia no relacionamento e comunicação com a sociedade; e (iii) Estimular</w:t>
      </w:r>
      <w:r>
        <w:rPr>
          <w:b/>
          <w:spacing w:val="-11"/>
          <w:sz w:val="24"/>
        </w:rPr>
        <w:t> </w:t>
      </w:r>
      <w:r>
        <w:rPr>
          <w:b/>
          <w:sz w:val="24"/>
        </w:rPr>
        <w:t>a</w:t>
      </w:r>
      <w:r>
        <w:rPr>
          <w:b/>
          <w:spacing w:val="-12"/>
          <w:sz w:val="24"/>
        </w:rPr>
        <w:t> </w:t>
      </w:r>
      <w:r>
        <w:rPr>
          <w:b/>
          <w:sz w:val="24"/>
        </w:rPr>
        <w:t>produção</w:t>
      </w:r>
      <w:r>
        <w:rPr>
          <w:b/>
          <w:spacing w:val="-11"/>
          <w:sz w:val="24"/>
        </w:rPr>
        <w:t> </w:t>
      </w:r>
      <w:r>
        <w:rPr>
          <w:b/>
          <w:sz w:val="24"/>
        </w:rPr>
        <w:t>da</w:t>
      </w:r>
      <w:r>
        <w:rPr>
          <w:b/>
          <w:spacing w:val="-14"/>
          <w:sz w:val="24"/>
        </w:rPr>
        <w:t> </w:t>
      </w:r>
      <w:r>
        <w:rPr>
          <w:b/>
          <w:sz w:val="24"/>
        </w:rPr>
        <w:t>Arquitetura</w:t>
      </w:r>
      <w:r>
        <w:rPr>
          <w:b/>
          <w:spacing w:val="-12"/>
          <w:sz w:val="24"/>
        </w:rPr>
        <w:t> </w:t>
      </w:r>
      <w:r>
        <w:rPr>
          <w:b/>
          <w:sz w:val="24"/>
        </w:rPr>
        <w:t>e</w:t>
      </w:r>
      <w:r>
        <w:rPr>
          <w:b/>
          <w:spacing w:val="-12"/>
          <w:sz w:val="24"/>
        </w:rPr>
        <w:t> </w:t>
      </w:r>
      <w:r>
        <w:rPr>
          <w:b/>
          <w:sz w:val="24"/>
        </w:rPr>
        <w:t>Urbanismo</w:t>
      </w:r>
      <w:r>
        <w:rPr>
          <w:b/>
          <w:spacing w:val="-10"/>
          <w:sz w:val="24"/>
        </w:rPr>
        <w:t> </w:t>
      </w:r>
      <w:r>
        <w:rPr>
          <w:b/>
          <w:sz w:val="24"/>
        </w:rPr>
        <w:t>como</w:t>
      </w:r>
      <w:r>
        <w:rPr>
          <w:b/>
          <w:spacing w:val="-13"/>
          <w:sz w:val="24"/>
        </w:rPr>
        <w:t> </w:t>
      </w:r>
      <w:r>
        <w:rPr>
          <w:b/>
          <w:sz w:val="24"/>
        </w:rPr>
        <w:t>política</w:t>
      </w:r>
      <w:r>
        <w:rPr>
          <w:b/>
          <w:spacing w:val="-12"/>
          <w:sz w:val="24"/>
        </w:rPr>
        <w:t> </w:t>
      </w:r>
      <w:r>
        <w:rPr>
          <w:b/>
          <w:sz w:val="24"/>
        </w:rPr>
        <w:t>de</w:t>
      </w:r>
      <w:r>
        <w:rPr>
          <w:b/>
          <w:spacing w:val="-12"/>
          <w:sz w:val="24"/>
        </w:rPr>
        <w:t> </w:t>
      </w:r>
      <w:r>
        <w:rPr>
          <w:b/>
          <w:sz w:val="24"/>
        </w:rPr>
        <w:t>Estado.</w:t>
      </w:r>
      <w:r>
        <w:rPr>
          <w:b/>
          <w:spacing w:val="-10"/>
          <w:sz w:val="24"/>
        </w:rPr>
        <w:t> </w:t>
      </w:r>
      <w:r>
        <w:rPr>
          <w:sz w:val="24"/>
        </w:rPr>
        <w:t>Os</w:t>
      </w:r>
      <w:r>
        <w:rPr>
          <w:spacing w:val="-12"/>
          <w:sz w:val="24"/>
        </w:rPr>
        <w:t> </w:t>
      </w:r>
      <w:r>
        <w:rPr>
          <w:sz w:val="24"/>
        </w:rPr>
        <w:t>CAU/UF</w:t>
      </w:r>
      <w:r>
        <w:rPr>
          <w:spacing w:val="-14"/>
          <w:sz w:val="24"/>
        </w:rPr>
        <w:t> </w:t>
      </w:r>
      <w:r>
        <w:rPr>
          <w:sz w:val="24"/>
        </w:rPr>
        <w:t>e</w:t>
      </w:r>
      <w:r>
        <w:rPr>
          <w:spacing w:val="-10"/>
          <w:sz w:val="24"/>
        </w:rPr>
        <w:t> </w:t>
      </w:r>
      <w:r>
        <w:rPr>
          <w:sz w:val="24"/>
        </w:rPr>
        <w:t>o</w:t>
      </w:r>
      <w:r>
        <w:rPr>
          <w:spacing w:val="-13"/>
          <w:sz w:val="24"/>
        </w:rPr>
        <w:t> </w:t>
      </w:r>
      <w:r>
        <w:rPr>
          <w:sz w:val="24"/>
        </w:rPr>
        <w:t>CAU/BR também elencaram outros objetivos estratégicos que melhor atendam às suas prioridades de atuação local, e retratados em seus próprios mapas estratégicos.</w:t>
      </w:r>
    </w:p>
    <w:p>
      <w:pPr>
        <w:spacing w:line="360" w:lineRule="auto" w:before="160"/>
        <w:ind w:left="118" w:right="146" w:firstLine="851"/>
        <w:jc w:val="both"/>
        <w:rPr>
          <w:sz w:val="24"/>
        </w:rPr>
      </w:pPr>
      <w:r>
        <w:rPr>
          <w:sz w:val="24"/>
        </w:rPr>
        <w:t>Também na busca de levar a </w:t>
      </w:r>
      <w:r>
        <w:rPr>
          <w:b/>
          <w:sz w:val="24"/>
        </w:rPr>
        <w:t>arquitetura e urbanismo para todos os segmentos da sociedade brasileira</w:t>
      </w:r>
      <w:r>
        <w:rPr>
          <w:sz w:val="24"/>
        </w:rPr>
        <w:t>, em 2020, uma das prioridades de atuação do Conselho, está voltada para a atuação da profissão junto às classes menos favorecidas.</w:t>
      </w:r>
    </w:p>
    <w:p>
      <w:pPr>
        <w:spacing w:line="360" w:lineRule="auto" w:before="160"/>
        <w:ind w:left="118" w:right="145" w:firstLine="851"/>
        <w:jc w:val="both"/>
        <w:rPr>
          <w:sz w:val="24"/>
        </w:rPr>
      </w:pPr>
      <w:r>
        <w:rPr>
          <w:sz w:val="24"/>
        </w:rPr>
        <w:t>Essas ações, visando ao alcance da Missão do Conselho </w:t>
      </w:r>
      <w:r>
        <w:rPr>
          <w:b/>
          <w:sz w:val="24"/>
        </w:rPr>
        <w:t>“Arquitetura e Urbanismo para Todos”</w:t>
      </w:r>
      <w:r>
        <w:rPr>
          <w:sz w:val="24"/>
        </w:rPr>
        <w:t>, no âmbito do Objetivo Estratégico </w:t>
      </w:r>
      <w:r>
        <w:rPr>
          <w:b/>
          <w:sz w:val="24"/>
        </w:rPr>
        <w:t>“Fomentar o acesso da sociedade à Arquitetura e Urbanismo” </w:t>
      </w:r>
      <w:r>
        <w:rPr>
          <w:sz w:val="24"/>
        </w:rPr>
        <w:t>serão implementadas por meio de iniciativas estratégicas em </w:t>
      </w:r>
      <w:r>
        <w:rPr>
          <w:b/>
          <w:sz w:val="24"/>
        </w:rPr>
        <w:t>Assistência Técnica em Habitações</w:t>
      </w:r>
      <w:r>
        <w:rPr>
          <w:b/>
          <w:spacing w:val="-2"/>
          <w:sz w:val="24"/>
        </w:rPr>
        <w:t> </w:t>
      </w:r>
      <w:r>
        <w:rPr>
          <w:b/>
          <w:sz w:val="24"/>
        </w:rPr>
        <w:t>de</w:t>
      </w:r>
      <w:r>
        <w:rPr>
          <w:b/>
          <w:spacing w:val="-5"/>
          <w:sz w:val="24"/>
        </w:rPr>
        <w:t> </w:t>
      </w:r>
      <w:r>
        <w:rPr>
          <w:b/>
          <w:sz w:val="24"/>
        </w:rPr>
        <w:t>Interesse</w:t>
      </w:r>
      <w:r>
        <w:rPr>
          <w:b/>
          <w:spacing w:val="-4"/>
          <w:sz w:val="24"/>
        </w:rPr>
        <w:t> </w:t>
      </w:r>
      <w:r>
        <w:rPr>
          <w:b/>
          <w:sz w:val="24"/>
        </w:rPr>
        <w:t>Social</w:t>
      </w:r>
      <w:r>
        <w:rPr>
          <w:b/>
          <w:spacing w:val="-1"/>
          <w:sz w:val="24"/>
        </w:rPr>
        <w:t> </w:t>
      </w:r>
      <w:r>
        <w:rPr>
          <w:b/>
          <w:sz w:val="24"/>
        </w:rPr>
        <w:t>ATHIS</w:t>
      </w:r>
      <w:r>
        <w:rPr>
          <w:sz w:val="24"/>
        </w:rPr>
        <w:t>,</w:t>
      </w:r>
      <w:r>
        <w:rPr>
          <w:spacing w:val="-4"/>
          <w:sz w:val="24"/>
        </w:rPr>
        <w:t> </w:t>
      </w:r>
      <w:r>
        <w:rPr>
          <w:sz w:val="24"/>
        </w:rPr>
        <w:t>que</w:t>
      </w:r>
      <w:r>
        <w:rPr>
          <w:spacing w:val="-4"/>
          <w:sz w:val="24"/>
        </w:rPr>
        <w:t> </w:t>
      </w:r>
      <w:r>
        <w:rPr>
          <w:sz w:val="24"/>
        </w:rPr>
        <w:t>devem</w:t>
      </w:r>
      <w:r>
        <w:rPr>
          <w:spacing w:val="-3"/>
          <w:sz w:val="24"/>
        </w:rPr>
        <w:t> </w:t>
      </w:r>
      <w:r>
        <w:rPr>
          <w:sz w:val="24"/>
        </w:rPr>
        <w:t>observar</w:t>
      </w:r>
      <w:r>
        <w:rPr>
          <w:spacing w:val="-4"/>
          <w:sz w:val="24"/>
        </w:rPr>
        <w:t> </w:t>
      </w:r>
      <w:r>
        <w:rPr>
          <w:sz w:val="24"/>
        </w:rPr>
        <w:t>aspectos</w:t>
      </w:r>
      <w:r>
        <w:rPr>
          <w:spacing w:val="-1"/>
          <w:sz w:val="24"/>
        </w:rPr>
        <w:t> </w:t>
      </w:r>
      <w:r>
        <w:rPr>
          <w:sz w:val="24"/>
        </w:rPr>
        <w:t>relevantes</w:t>
      </w:r>
      <w:r>
        <w:rPr>
          <w:spacing w:val="-4"/>
          <w:sz w:val="24"/>
        </w:rPr>
        <w:t> </w:t>
      </w:r>
      <w:r>
        <w:rPr>
          <w:sz w:val="24"/>
        </w:rPr>
        <w:t>para</w:t>
      </w:r>
      <w:r>
        <w:rPr>
          <w:spacing w:val="-1"/>
          <w:sz w:val="24"/>
        </w:rPr>
        <w:t> </w:t>
      </w:r>
      <w:r>
        <w:rPr>
          <w:sz w:val="24"/>
        </w:rPr>
        <w:t>a</w:t>
      </w:r>
      <w:r>
        <w:rPr>
          <w:spacing w:val="-4"/>
          <w:sz w:val="24"/>
        </w:rPr>
        <w:t> </w:t>
      </w:r>
      <w:r>
        <w:rPr>
          <w:sz w:val="24"/>
        </w:rPr>
        <w:t>melhoria</w:t>
      </w:r>
      <w:r>
        <w:rPr>
          <w:spacing w:val="-4"/>
          <w:sz w:val="24"/>
        </w:rPr>
        <w:t> </w:t>
      </w:r>
      <w:r>
        <w:rPr>
          <w:sz w:val="24"/>
        </w:rPr>
        <w:t>da qualidade de vida da população brasileira, em acordo com a Resolução CAU/BR nº 94, de 07 de novembro</w:t>
      </w:r>
      <w:r>
        <w:rPr>
          <w:spacing w:val="-8"/>
          <w:sz w:val="24"/>
        </w:rPr>
        <w:t> </w:t>
      </w:r>
      <w:r>
        <w:rPr>
          <w:sz w:val="24"/>
        </w:rPr>
        <w:t>de</w:t>
      </w:r>
      <w:r>
        <w:rPr>
          <w:spacing w:val="-9"/>
          <w:sz w:val="24"/>
        </w:rPr>
        <w:t> </w:t>
      </w:r>
      <w:r>
        <w:rPr>
          <w:sz w:val="24"/>
        </w:rPr>
        <w:t>2014,</w:t>
      </w:r>
      <w:r>
        <w:rPr>
          <w:spacing w:val="-8"/>
          <w:sz w:val="24"/>
        </w:rPr>
        <w:t> </w:t>
      </w:r>
      <w:r>
        <w:rPr>
          <w:sz w:val="24"/>
        </w:rPr>
        <w:t>e</w:t>
      </w:r>
      <w:r>
        <w:rPr>
          <w:spacing w:val="-8"/>
          <w:sz w:val="24"/>
        </w:rPr>
        <w:t> </w:t>
      </w:r>
      <w:r>
        <w:rPr>
          <w:sz w:val="24"/>
        </w:rPr>
        <w:t>os</w:t>
      </w:r>
      <w:r>
        <w:rPr>
          <w:spacing w:val="-10"/>
          <w:sz w:val="24"/>
        </w:rPr>
        <w:t> </w:t>
      </w:r>
      <w:r>
        <w:rPr>
          <w:sz w:val="24"/>
        </w:rPr>
        <w:t>princípios</w:t>
      </w:r>
      <w:r>
        <w:rPr>
          <w:spacing w:val="-8"/>
          <w:sz w:val="24"/>
        </w:rPr>
        <w:t> </w:t>
      </w:r>
      <w:r>
        <w:rPr>
          <w:sz w:val="24"/>
        </w:rPr>
        <w:t>da</w:t>
      </w:r>
      <w:r>
        <w:rPr>
          <w:spacing w:val="-8"/>
          <w:sz w:val="24"/>
        </w:rPr>
        <w:t> </w:t>
      </w:r>
      <w:r>
        <w:rPr>
          <w:sz w:val="24"/>
        </w:rPr>
        <w:t>Lei</w:t>
      </w:r>
      <w:r>
        <w:rPr>
          <w:spacing w:val="-10"/>
          <w:sz w:val="24"/>
        </w:rPr>
        <w:t> </w:t>
      </w:r>
      <w:r>
        <w:rPr>
          <w:sz w:val="24"/>
        </w:rPr>
        <w:t>n°</w:t>
      </w:r>
      <w:r>
        <w:rPr>
          <w:spacing w:val="-8"/>
          <w:sz w:val="24"/>
        </w:rPr>
        <w:t> </w:t>
      </w:r>
      <w:r>
        <w:rPr>
          <w:sz w:val="24"/>
        </w:rPr>
        <w:t>11.888/2008</w:t>
      </w:r>
      <w:r>
        <w:rPr>
          <w:spacing w:val="-8"/>
          <w:sz w:val="24"/>
        </w:rPr>
        <w:t> </w:t>
      </w:r>
      <w:r>
        <w:rPr>
          <w:sz w:val="24"/>
        </w:rPr>
        <w:t>“...que</w:t>
      </w:r>
      <w:r>
        <w:rPr>
          <w:spacing w:val="-9"/>
          <w:sz w:val="24"/>
        </w:rPr>
        <w:t> </w:t>
      </w:r>
      <w:r>
        <w:rPr>
          <w:sz w:val="24"/>
        </w:rPr>
        <w:t>assegura</w:t>
      </w:r>
      <w:r>
        <w:rPr>
          <w:spacing w:val="-9"/>
          <w:sz w:val="24"/>
        </w:rPr>
        <w:t> </w:t>
      </w:r>
      <w:r>
        <w:rPr>
          <w:sz w:val="24"/>
        </w:rPr>
        <w:t>às</w:t>
      </w:r>
      <w:r>
        <w:rPr>
          <w:spacing w:val="-8"/>
          <w:sz w:val="24"/>
        </w:rPr>
        <w:t> </w:t>
      </w:r>
      <w:r>
        <w:rPr>
          <w:sz w:val="24"/>
        </w:rPr>
        <w:t>famílias</w:t>
      </w:r>
      <w:r>
        <w:rPr>
          <w:spacing w:val="-8"/>
          <w:sz w:val="24"/>
        </w:rPr>
        <w:t> </w:t>
      </w:r>
      <w:r>
        <w:rPr>
          <w:sz w:val="24"/>
        </w:rPr>
        <w:t>de</w:t>
      </w:r>
      <w:r>
        <w:rPr>
          <w:spacing w:val="-9"/>
          <w:sz w:val="24"/>
        </w:rPr>
        <w:t> </w:t>
      </w:r>
      <w:r>
        <w:rPr>
          <w:sz w:val="24"/>
        </w:rPr>
        <w:t>baixa</w:t>
      </w:r>
      <w:r>
        <w:rPr>
          <w:spacing w:val="-8"/>
          <w:sz w:val="24"/>
        </w:rPr>
        <w:t> </w:t>
      </w:r>
      <w:r>
        <w:rPr>
          <w:sz w:val="24"/>
        </w:rPr>
        <w:t>renda assistência técnica pública e gratuita para o projeto e a construção de habitação de interesse </w:t>
      </w:r>
      <w:r>
        <w:rPr>
          <w:spacing w:val="-2"/>
          <w:sz w:val="24"/>
        </w:rPr>
        <w:t>social...”.</w:t>
      </w:r>
    </w:p>
    <w:p>
      <w:pPr>
        <w:pStyle w:val="BodyText"/>
        <w:spacing w:line="360" w:lineRule="auto" w:before="162"/>
        <w:ind w:left="118" w:right="146" w:firstLine="851"/>
        <w:jc w:val="both"/>
      </w:pPr>
      <w:r>
        <w:rPr/>
        <w:t>Em 2020, as ações do CAU, em todo território nacional, estão voltadas para um público alvo composto por 190.756 mil arquitetos, 27.380 mil empresas de arquitetura e, com atividades profissionais representadas por 713.260 mil RRT</w:t>
      </w:r>
      <w:r>
        <w:rPr>
          <w:vertAlign w:val="superscript"/>
        </w:rPr>
        <w:t>1</w:t>
      </w:r>
      <w:r>
        <w:rPr>
          <w:vertAlign w:val="baseline"/>
        </w:rPr>
        <w:t>. Frente à programação inicial, se apresentam as seguintes variações: </w:t>
      </w:r>
      <w:r>
        <w:rPr>
          <w:b/>
          <w:vertAlign w:val="baseline"/>
        </w:rPr>
        <w:t>(i) </w:t>
      </w:r>
      <w:r>
        <w:rPr>
          <w:vertAlign w:val="baseline"/>
        </w:rPr>
        <w:t>crescimento de 2,0% para profissionais ativos (186.957) e redução de 7,5% para empresas ativas (29.599); e </w:t>
      </w:r>
      <w:r>
        <w:rPr>
          <w:b/>
          <w:vertAlign w:val="baseline"/>
        </w:rPr>
        <w:t>(ii) </w:t>
      </w:r>
      <w:r>
        <w:rPr>
          <w:vertAlign w:val="baseline"/>
        </w:rPr>
        <w:t>de 25,6% para os RRT emitidos (958.928).</w:t>
      </w:r>
    </w:p>
    <w:p>
      <w:pPr>
        <w:pStyle w:val="BodyText"/>
        <w:spacing w:line="360" w:lineRule="auto" w:before="159"/>
        <w:ind w:left="118" w:right="142" w:firstLine="851"/>
        <w:jc w:val="both"/>
      </w:pPr>
      <w:r>
        <w:rPr/>
        <w:t>No contexto do Plano de Ação Reprogramado para 2020, os CAU/UF e o CAU/BR também elencaram</w:t>
      </w:r>
      <w:r>
        <w:rPr>
          <w:spacing w:val="-2"/>
        </w:rPr>
        <w:t> </w:t>
      </w:r>
      <w:r>
        <w:rPr/>
        <w:t>outros</w:t>
      </w:r>
      <w:r>
        <w:rPr>
          <w:spacing w:val="-2"/>
        </w:rPr>
        <w:t> </w:t>
      </w:r>
      <w:r>
        <w:rPr/>
        <w:t>objetivos</w:t>
      </w:r>
      <w:r>
        <w:rPr>
          <w:spacing w:val="-2"/>
        </w:rPr>
        <w:t> </w:t>
      </w:r>
      <w:r>
        <w:rPr/>
        <w:t>estratégicos</w:t>
      </w:r>
      <w:r>
        <w:rPr>
          <w:spacing w:val="-3"/>
        </w:rPr>
        <w:t> </w:t>
      </w:r>
      <w:r>
        <w:rPr/>
        <w:t>que</w:t>
      </w:r>
      <w:r>
        <w:rPr>
          <w:spacing w:val="-2"/>
        </w:rPr>
        <w:t> </w:t>
      </w:r>
      <w:r>
        <w:rPr/>
        <w:t>melhor</w:t>
      </w:r>
      <w:r>
        <w:rPr>
          <w:spacing w:val="-2"/>
        </w:rPr>
        <w:t> </w:t>
      </w:r>
      <w:r>
        <w:rPr/>
        <w:t>atendam</w:t>
      </w:r>
      <w:r>
        <w:rPr>
          <w:spacing w:val="-2"/>
        </w:rPr>
        <w:t> </w:t>
      </w:r>
      <w:r>
        <w:rPr/>
        <w:t>às</w:t>
      </w:r>
      <w:r>
        <w:rPr>
          <w:spacing w:val="-3"/>
        </w:rPr>
        <w:t> </w:t>
      </w:r>
      <w:r>
        <w:rPr/>
        <w:t>suas</w:t>
      </w:r>
      <w:r>
        <w:rPr>
          <w:spacing w:val="-3"/>
        </w:rPr>
        <w:t> </w:t>
      </w:r>
      <w:r>
        <w:rPr/>
        <w:t>prioridades</w:t>
      </w:r>
      <w:r>
        <w:rPr>
          <w:spacing w:val="-4"/>
        </w:rPr>
        <w:t> </w:t>
      </w:r>
      <w:r>
        <w:rPr/>
        <w:t>de</w:t>
      </w:r>
      <w:r>
        <w:rPr>
          <w:spacing w:val="-2"/>
        </w:rPr>
        <w:t> </w:t>
      </w:r>
      <w:r>
        <w:rPr/>
        <w:t>atuação local, e retratados em seus próprios mapas estratégicos.</w:t>
      </w:r>
    </w:p>
    <w:p>
      <w:pPr>
        <w:pStyle w:val="BodyText"/>
        <w:spacing w:line="360" w:lineRule="auto" w:before="161"/>
        <w:ind w:left="118" w:right="148" w:firstLine="851"/>
        <w:jc w:val="both"/>
      </w:pPr>
      <w:r>
        <w:rPr/>
        <w:t>No cenário sócio-econômico-financeiro, a atuação dos arquitetos e urbanistas contribui para o desenvolvimento e melhoria da qualidade de vida da população do Brasil representada por</w:t>
      </w:r>
    </w:p>
    <w:p>
      <w:pPr>
        <w:pStyle w:val="BodyText"/>
        <w:spacing w:before="9"/>
        <w:rPr>
          <w:sz w:val="25"/>
        </w:rPr>
      </w:pPr>
      <w:r>
        <w:rPr/>
        <w:pict>
          <v:rect style="position:absolute;margin-left:113.540001pt;margin-top:16.925968pt;width:144.020pt;height:.71997pt;mso-position-horizontal-relative:page;mso-position-vertical-relative:paragraph;z-index:-15726592;mso-wrap-distance-left:0;mso-wrap-distance-right:0" id="docshape89" filled="true" fillcolor="#000000" stroked="false">
            <v:fill type="solid"/>
            <w10:wrap type="topAndBottom"/>
          </v:rect>
        </w:pict>
      </w:r>
    </w:p>
    <w:p>
      <w:pPr>
        <w:spacing w:before="119"/>
        <w:ind w:left="970" w:right="0" w:firstLine="0"/>
        <w:jc w:val="left"/>
        <w:rPr>
          <w:sz w:val="18"/>
        </w:rPr>
      </w:pPr>
      <w:r>
        <w:rPr>
          <w:sz w:val="18"/>
          <w:vertAlign w:val="superscript"/>
        </w:rPr>
        <w:t>1</w:t>
      </w:r>
      <w:r>
        <w:rPr>
          <w:spacing w:val="3"/>
          <w:sz w:val="18"/>
          <w:vertAlign w:val="baseline"/>
        </w:rPr>
        <w:t> </w:t>
      </w:r>
      <w:r>
        <w:rPr>
          <w:sz w:val="18"/>
          <w:vertAlign w:val="baseline"/>
        </w:rPr>
        <w:t>Fonte: </w:t>
      </w:r>
      <w:r>
        <w:rPr>
          <w:spacing w:val="-2"/>
          <w:sz w:val="18"/>
          <w:vertAlign w:val="baseline"/>
        </w:rPr>
        <w:t>SICCAU.</w:t>
      </w:r>
    </w:p>
    <w:p>
      <w:pPr>
        <w:spacing w:after="0"/>
        <w:jc w:val="left"/>
        <w:rPr>
          <w:sz w:val="18"/>
        </w:rPr>
        <w:sectPr>
          <w:pgSz w:w="11910" w:h="16840"/>
          <w:pgMar w:header="689" w:footer="261" w:top="1580" w:bottom="460" w:left="1300" w:right="700"/>
        </w:sectPr>
      </w:pPr>
    </w:p>
    <w:p>
      <w:pPr>
        <w:pStyle w:val="BodyText"/>
        <w:spacing w:line="360" w:lineRule="auto" w:before="14"/>
        <w:ind w:left="118" w:right="143"/>
        <w:jc w:val="both"/>
      </w:pPr>
      <w:r>
        <w:rPr/>
        <w:t>210,147 milhões de pessoas</w:t>
      </w:r>
      <w:r>
        <w:rPr>
          <w:vertAlign w:val="superscript"/>
        </w:rPr>
        <w:t>2</w:t>
      </w:r>
      <w:r>
        <w:rPr>
          <w:vertAlign w:val="baseline"/>
        </w:rPr>
        <w:t>, com um PIB de R$ 5,996 trilhões, uma Renda Per capital</w:t>
      </w:r>
      <w:r>
        <w:rPr>
          <w:vertAlign w:val="superscript"/>
        </w:rPr>
        <w:t>2</w:t>
      </w:r>
      <w:r>
        <w:rPr>
          <w:vertAlign w:val="baseline"/>
        </w:rPr>
        <w:t> de R$13.356,00 e um IDH de 0,70</w:t>
      </w:r>
      <w:r>
        <w:rPr>
          <w:vertAlign w:val="superscript"/>
        </w:rPr>
        <w:t>3</w:t>
      </w:r>
      <w:r>
        <w:rPr>
          <w:vertAlign w:val="baseline"/>
        </w:rPr>
        <w:t>.</w:t>
      </w:r>
    </w:p>
    <w:p>
      <w:pPr>
        <w:pStyle w:val="BodyText"/>
        <w:spacing w:line="360" w:lineRule="auto" w:before="160"/>
        <w:ind w:left="118" w:right="147" w:firstLine="851"/>
        <w:jc w:val="both"/>
      </w:pPr>
      <w:r>
        <w:rPr/>
        <w:t>Nesse</w:t>
      </w:r>
      <w:r>
        <w:rPr>
          <w:spacing w:val="-7"/>
        </w:rPr>
        <w:t> </w:t>
      </w:r>
      <w:r>
        <w:rPr/>
        <w:t>contexto,</w:t>
      </w:r>
      <w:r>
        <w:rPr>
          <w:spacing w:val="-7"/>
        </w:rPr>
        <w:t> </w:t>
      </w:r>
      <w:r>
        <w:rPr/>
        <w:t>a</w:t>
      </w:r>
      <w:r>
        <w:rPr>
          <w:spacing w:val="-10"/>
        </w:rPr>
        <w:t> </w:t>
      </w:r>
      <w:r>
        <w:rPr/>
        <w:t>atuação</w:t>
      </w:r>
      <w:r>
        <w:rPr>
          <w:spacing w:val="-7"/>
        </w:rPr>
        <w:t> </w:t>
      </w:r>
      <w:r>
        <w:rPr/>
        <w:t>do</w:t>
      </w:r>
      <w:r>
        <w:rPr>
          <w:spacing w:val="-9"/>
        </w:rPr>
        <w:t> </w:t>
      </w:r>
      <w:r>
        <w:rPr/>
        <w:t>CAU</w:t>
      </w:r>
      <w:r>
        <w:rPr>
          <w:spacing w:val="-7"/>
        </w:rPr>
        <w:t> </w:t>
      </w:r>
      <w:r>
        <w:rPr/>
        <w:t>em</w:t>
      </w:r>
      <w:r>
        <w:rPr>
          <w:spacing w:val="-9"/>
        </w:rPr>
        <w:t> </w:t>
      </w:r>
      <w:r>
        <w:rPr/>
        <w:t>2020,</w:t>
      </w:r>
      <w:r>
        <w:rPr>
          <w:spacing w:val="-7"/>
        </w:rPr>
        <w:t> </w:t>
      </w:r>
      <w:r>
        <w:rPr/>
        <w:t>em</w:t>
      </w:r>
      <w:r>
        <w:rPr>
          <w:spacing w:val="-7"/>
        </w:rPr>
        <w:t> </w:t>
      </w:r>
      <w:r>
        <w:rPr/>
        <w:t>prol</w:t>
      </w:r>
      <w:r>
        <w:rPr>
          <w:spacing w:val="-7"/>
        </w:rPr>
        <w:t> </w:t>
      </w:r>
      <w:r>
        <w:rPr/>
        <w:t>do</w:t>
      </w:r>
      <w:r>
        <w:rPr>
          <w:spacing w:val="-7"/>
        </w:rPr>
        <w:t> </w:t>
      </w:r>
      <w:r>
        <w:rPr/>
        <w:t>desenvolvimento</w:t>
      </w:r>
      <w:r>
        <w:rPr>
          <w:spacing w:val="-9"/>
        </w:rPr>
        <w:t> </w:t>
      </w:r>
      <w:r>
        <w:rPr/>
        <w:t>e</w:t>
      </w:r>
      <w:r>
        <w:rPr>
          <w:spacing w:val="-7"/>
        </w:rPr>
        <w:t> </w:t>
      </w:r>
      <w:r>
        <w:rPr/>
        <w:t>fortalecimento dos arquitetos e urbanistas e da arquitetura brasileira, compreende </w:t>
      </w:r>
      <w:r>
        <w:rPr>
          <w:b/>
        </w:rPr>
        <w:t>678 iniciativas estratégicas </w:t>
      </w:r>
      <w:r>
        <w:rPr/>
        <w:t>sendo</w:t>
      </w:r>
      <w:r>
        <w:rPr>
          <w:b/>
        </w:rPr>
        <w:t>: 221 projetos e 457 atividades. </w:t>
      </w:r>
      <w:r>
        <w:rPr/>
        <w:t>Comparativamente a programação inicialmente aprovada para 2020, verifica-se uma redução de 44 iniciativas estratégicas (722 na programação 2020), conforme demonstra o anexo 1.</w:t>
      </w:r>
    </w:p>
    <w:p>
      <w:pPr>
        <w:spacing w:line="360" w:lineRule="auto" w:before="160"/>
        <w:ind w:left="118" w:right="142" w:firstLine="851"/>
        <w:jc w:val="both"/>
        <w:rPr>
          <w:sz w:val="24"/>
        </w:rPr>
      </w:pPr>
      <w:r>
        <w:rPr>
          <w:b/>
          <w:sz w:val="24"/>
        </w:rPr>
        <w:t>Para</w:t>
      </w:r>
      <w:r>
        <w:rPr>
          <w:b/>
          <w:spacing w:val="-4"/>
          <w:sz w:val="24"/>
        </w:rPr>
        <w:t> </w:t>
      </w:r>
      <w:r>
        <w:rPr>
          <w:b/>
          <w:sz w:val="24"/>
        </w:rPr>
        <w:t>o</w:t>
      </w:r>
      <w:r>
        <w:rPr>
          <w:b/>
          <w:spacing w:val="-2"/>
          <w:sz w:val="24"/>
        </w:rPr>
        <w:t> </w:t>
      </w:r>
      <w:r>
        <w:rPr>
          <w:b/>
          <w:sz w:val="24"/>
        </w:rPr>
        <w:t>desenvolvimento</w:t>
      </w:r>
      <w:r>
        <w:rPr>
          <w:b/>
          <w:spacing w:val="-2"/>
          <w:sz w:val="24"/>
        </w:rPr>
        <w:t> </w:t>
      </w:r>
      <w:r>
        <w:rPr>
          <w:b/>
          <w:sz w:val="24"/>
        </w:rPr>
        <w:t>dessas</w:t>
      </w:r>
      <w:r>
        <w:rPr>
          <w:b/>
          <w:spacing w:val="-3"/>
          <w:sz w:val="24"/>
        </w:rPr>
        <w:t> </w:t>
      </w:r>
      <w:r>
        <w:rPr>
          <w:b/>
          <w:sz w:val="24"/>
        </w:rPr>
        <w:t>iniciativas,</w:t>
      </w:r>
      <w:r>
        <w:rPr>
          <w:b/>
          <w:spacing w:val="-2"/>
          <w:sz w:val="24"/>
        </w:rPr>
        <w:t> </w:t>
      </w:r>
      <w:r>
        <w:rPr>
          <w:b/>
          <w:sz w:val="24"/>
        </w:rPr>
        <w:t>os</w:t>
      </w:r>
      <w:r>
        <w:rPr>
          <w:b/>
          <w:spacing w:val="-2"/>
          <w:sz w:val="24"/>
        </w:rPr>
        <w:t> </w:t>
      </w:r>
      <w:r>
        <w:rPr>
          <w:b/>
          <w:sz w:val="24"/>
        </w:rPr>
        <w:t>recursos</w:t>
      </w:r>
      <w:r>
        <w:rPr>
          <w:b/>
          <w:spacing w:val="-5"/>
          <w:sz w:val="24"/>
        </w:rPr>
        <w:t> </w:t>
      </w:r>
      <w:r>
        <w:rPr>
          <w:b/>
          <w:sz w:val="24"/>
        </w:rPr>
        <w:t>direcionados</w:t>
      </w:r>
      <w:r>
        <w:rPr>
          <w:b/>
          <w:spacing w:val="-2"/>
          <w:sz w:val="24"/>
        </w:rPr>
        <w:t> </w:t>
      </w:r>
      <w:r>
        <w:rPr>
          <w:b/>
          <w:sz w:val="24"/>
        </w:rPr>
        <w:t>totalizam</w:t>
      </w:r>
      <w:r>
        <w:rPr>
          <w:b/>
          <w:spacing w:val="-4"/>
          <w:sz w:val="24"/>
        </w:rPr>
        <w:t> </w:t>
      </w:r>
      <w:r>
        <w:rPr>
          <w:b/>
          <w:sz w:val="24"/>
        </w:rPr>
        <w:t>R$ 220,62 milhões, dos quais os CAU/UF respondem por R$ 160,31 milhões, ou 72,7% e o CAU/BR por R$ 60,31 milhões, ou 27,3%. </w:t>
      </w:r>
      <w:r>
        <w:rPr>
          <w:sz w:val="24"/>
        </w:rPr>
        <w:t>Frente às metas da programação inicialmente aprovada para 2020, verifica-se uma variação negativa de 13,2% (R$ 33,59 milhões da programação anterior de 2020), conforme demonstra os anexos 1 e 3.</w:t>
      </w:r>
    </w:p>
    <w:p>
      <w:pPr>
        <w:pStyle w:val="BodyText"/>
        <w:spacing w:line="360" w:lineRule="auto" w:before="160"/>
        <w:ind w:left="118" w:right="145" w:firstLine="851"/>
        <w:jc w:val="both"/>
      </w:pPr>
      <w:r>
        <w:rPr/>
        <w:t>Os</w:t>
      </w:r>
      <w:r>
        <w:rPr>
          <w:spacing w:val="-3"/>
        </w:rPr>
        <w:t> </w:t>
      </w:r>
      <w:r>
        <w:rPr/>
        <w:t>direcionadores</w:t>
      </w:r>
      <w:r>
        <w:rPr>
          <w:spacing w:val="-1"/>
        </w:rPr>
        <w:t> </w:t>
      </w:r>
      <w:r>
        <w:rPr/>
        <w:t>estratégicos,</w:t>
      </w:r>
      <w:r>
        <w:rPr>
          <w:spacing w:val="-2"/>
        </w:rPr>
        <w:t> </w:t>
      </w:r>
      <w:r>
        <w:rPr/>
        <w:t>objeto</w:t>
      </w:r>
      <w:r>
        <w:rPr>
          <w:spacing w:val="-1"/>
        </w:rPr>
        <w:t> </w:t>
      </w:r>
      <w:r>
        <w:rPr/>
        <w:t>de</w:t>
      </w:r>
      <w:r>
        <w:rPr>
          <w:spacing w:val="-3"/>
        </w:rPr>
        <w:t> </w:t>
      </w:r>
      <w:r>
        <w:rPr/>
        <w:t>todo</w:t>
      </w:r>
      <w:r>
        <w:rPr>
          <w:spacing w:val="-1"/>
        </w:rPr>
        <w:t> </w:t>
      </w:r>
      <w:r>
        <w:rPr/>
        <w:t>o</w:t>
      </w:r>
      <w:r>
        <w:rPr>
          <w:spacing w:val="-3"/>
        </w:rPr>
        <w:t> </w:t>
      </w:r>
      <w:r>
        <w:rPr/>
        <w:t>processo</w:t>
      </w:r>
      <w:r>
        <w:rPr>
          <w:spacing w:val="-1"/>
        </w:rPr>
        <w:t> </w:t>
      </w:r>
      <w:r>
        <w:rPr/>
        <w:t>do Planejamento</w:t>
      </w:r>
      <w:r>
        <w:rPr>
          <w:spacing w:val="-1"/>
        </w:rPr>
        <w:t> </w:t>
      </w:r>
      <w:r>
        <w:rPr/>
        <w:t>do</w:t>
      </w:r>
      <w:r>
        <w:rPr>
          <w:spacing w:val="-1"/>
        </w:rPr>
        <w:t> </w:t>
      </w:r>
      <w:r>
        <w:rPr/>
        <w:t>CAU</w:t>
      </w:r>
      <w:r>
        <w:rPr>
          <w:spacing w:val="-2"/>
        </w:rPr>
        <w:t> </w:t>
      </w:r>
      <w:r>
        <w:rPr/>
        <w:t>2023, e</w:t>
      </w:r>
      <w:r>
        <w:rPr>
          <w:spacing w:val="-8"/>
        </w:rPr>
        <w:t> </w:t>
      </w:r>
      <w:r>
        <w:rPr/>
        <w:t>as</w:t>
      </w:r>
      <w:r>
        <w:rPr>
          <w:spacing w:val="-9"/>
        </w:rPr>
        <w:t> </w:t>
      </w:r>
      <w:r>
        <w:rPr/>
        <w:t>programações</w:t>
      </w:r>
      <w:r>
        <w:rPr>
          <w:spacing w:val="-11"/>
        </w:rPr>
        <w:t> </w:t>
      </w:r>
      <w:r>
        <w:rPr/>
        <w:t>que</w:t>
      </w:r>
      <w:r>
        <w:rPr>
          <w:spacing w:val="-8"/>
        </w:rPr>
        <w:t> </w:t>
      </w:r>
      <w:r>
        <w:rPr/>
        <w:t>os</w:t>
      </w:r>
      <w:r>
        <w:rPr>
          <w:spacing w:val="-9"/>
        </w:rPr>
        <w:t> </w:t>
      </w:r>
      <w:r>
        <w:rPr/>
        <w:t>CAU/UF</w:t>
      </w:r>
      <w:r>
        <w:rPr>
          <w:spacing w:val="-9"/>
        </w:rPr>
        <w:t> </w:t>
      </w:r>
      <w:r>
        <w:rPr/>
        <w:t>e</w:t>
      </w:r>
      <w:r>
        <w:rPr>
          <w:spacing w:val="-8"/>
        </w:rPr>
        <w:t> </w:t>
      </w:r>
      <w:r>
        <w:rPr/>
        <w:t>o</w:t>
      </w:r>
      <w:r>
        <w:rPr>
          <w:spacing w:val="-11"/>
        </w:rPr>
        <w:t> </w:t>
      </w:r>
      <w:r>
        <w:rPr/>
        <w:t>CAU/BR,</w:t>
      </w:r>
      <w:r>
        <w:rPr>
          <w:spacing w:val="-9"/>
        </w:rPr>
        <w:t> </w:t>
      </w:r>
      <w:r>
        <w:rPr/>
        <w:t>na</w:t>
      </w:r>
      <w:r>
        <w:rPr>
          <w:spacing w:val="-11"/>
        </w:rPr>
        <w:t> </w:t>
      </w:r>
      <w:r>
        <w:rPr/>
        <w:t>forma</w:t>
      </w:r>
      <w:r>
        <w:rPr>
          <w:spacing w:val="-11"/>
        </w:rPr>
        <w:t> </w:t>
      </w:r>
      <w:r>
        <w:rPr/>
        <w:t>dos</w:t>
      </w:r>
      <w:r>
        <w:rPr>
          <w:spacing w:val="-11"/>
        </w:rPr>
        <w:t> </w:t>
      </w:r>
      <w:r>
        <w:rPr/>
        <w:t>projetos</w:t>
      </w:r>
      <w:r>
        <w:rPr>
          <w:spacing w:val="-8"/>
        </w:rPr>
        <w:t> </w:t>
      </w:r>
      <w:r>
        <w:rPr/>
        <w:t>e</w:t>
      </w:r>
      <w:r>
        <w:rPr>
          <w:spacing w:val="-8"/>
        </w:rPr>
        <w:t> </w:t>
      </w:r>
      <w:r>
        <w:rPr/>
        <w:t>atividades</w:t>
      </w:r>
      <w:r>
        <w:rPr>
          <w:spacing w:val="-11"/>
        </w:rPr>
        <w:t> </w:t>
      </w:r>
      <w:r>
        <w:rPr/>
        <w:t>estruturados</w:t>
      </w:r>
      <w:r>
        <w:rPr>
          <w:spacing w:val="-11"/>
        </w:rPr>
        <w:t> </w:t>
      </w:r>
      <w:r>
        <w:rPr/>
        <w:t>nos Planos de Ação e Orçamento, apontam que a Reprogramação do Plano de Ação 2020, enfatizando a </w:t>
      </w:r>
      <w:r>
        <w:rPr>
          <w:b/>
        </w:rPr>
        <w:t>alocação estratégica de recursos </w:t>
      </w:r>
      <w:r>
        <w:rPr/>
        <w:t>como forma de garantir a implementação do planejamento do CAU e o alcance dos resultados institucionais da Visão de Futuro 2023, focam:</w:t>
      </w:r>
    </w:p>
    <w:p>
      <w:pPr>
        <w:pStyle w:val="ListParagraph"/>
        <w:numPr>
          <w:ilvl w:val="0"/>
          <w:numId w:val="2"/>
        </w:numPr>
        <w:tabs>
          <w:tab w:pos="827" w:val="left" w:leader="none"/>
        </w:tabs>
        <w:spacing w:line="357" w:lineRule="auto" w:before="161" w:after="0"/>
        <w:ind w:left="826" w:right="146" w:hanging="360"/>
        <w:jc w:val="both"/>
        <w:rPr>
          <w:sz w:val="24"/>
        </w:rPr>
      </w:pPr>
      <w:r>
        <w:rPr>
          <w:b/>
          <w:sz w:val="24"/>
        </w:rPr>
        <w:t>Fiscalização mínimo de 15% </w:t>
      </w:r>
      <w:r>
        <w:rPr>
          <w:sz w:val="24"/>
        </w:rPr>
        <w:t>(quinze por cento) do total das receitas de arrecadação do exercício (anuidades, RRT e taxas e multas) deduzidos os valores destinados ao Fundo de Apoio, deve ser alocado em projetos estratégicos para atender ao objetivo estratégico </w:t>
      </w:r>
      <w:r>
        <w:rPr>
          <w:b/>
          <w:sz w:val="24"/>
        </w:rPr>
        <w:t>"Tornar a fiscalização um vetor de melhoria do exercício da Arquitetura e Urbanismo"</w:t>
      </w:r>
      <w:r>
        <w:rPr>
          <w:sz w:val="24"/>
        </w:rPr>
        <w:t>.</w:t>
      </w:r>
    </w:p>
    <w:p>
      <w:pPr>
        <w:pStyle w:val="ListParagraph"/>
        <w:numPr>
          <w:ilvl w:val="0"/>
          <w:numId w:val="2"/>
        </w:numPr>
        <w:tabs>
          <w:tab w:pos="827" w:val="left" w:leader="none"/>
        </w:tabs>
        <w:spacing w:line="357" w:lineRule="auto" w:before="13" w:after="0"/>
        <w:ind w:left="826" w:right="149" w:hanging="360"/>
        <w:jc w:val="both"/>
        <w:rPr>
          <w:sz w:val="24"/>
        </w:rPr>
      </w:pPr>
      <w:r>
        <w:rPr>
          <w:b/>
          <w:sz w:val="24"/>
        </w:rPr>
        <w:t>Atendimento mínimo de 10% </w:t>
      </w:r>
      <w:r>
        <w:rPr>
          <w:sz w:val="24"/>
        </w:rPr>
        <w:t>(dez por cento) do total das receitas de arrecadação do exercício (anuidades, RRT e taxas e multas) deduzidos os valores destinados ao Fundo de Apoio, deve ser alocado em projetos estratégicos para atender ao objetivo estratégico </w:t>
      </w:r>
      <w:r>
        <w:rPr>
          <w:b/>
          <w:sz w:val="24"/>
        </w:rPr>
        <w:t>"Assegurar</w:t>
      </w:r>
      <w:r>
        <w:rPr>
          <w:b/>
          <w:spacing w:val="-6"/>
          <w:sz w:val="24"/>
        </w:rPr>
        <w:t> </w:t>
      </w:r>
      <w:r>
        <w:rPr>
          <w:b/>
          <w:sz w:val="24"/>
        </w:rPr>
        <w:t>a</w:t>
      </w:r>
      <w:r>
        <w:rPr>
          <w:b/>
          <w:spacing w:val="-6"/>
          <w:sz w:val="24"/>
        </w:rPr>
        <w:t> </w:t>
      </w:r>
      <w:r>
        <w:rPr>
          <w:b/>
          <w:sz w:val="24"/>
        </w:rPr>
        <w:t>eficácia</w:t>
      </w:r>
      <w:r>
        <w:rPr>
          <w:b/>
          <w:spacing w:val="-8"/>
          <w:sz w:val="24"/>
        </w:rPr>
        <w:t> </w:t>
      </w:r>
      <w:r>
        <w:rPr>
          <w:b/>
          <w:sz w:val="24"/>
        </w:rPr>
        <w:t>no</w:t>
      </w:r>
      <w:r>
        <w:rPr>
          <w:b/>
          <w:spacing w:val="-9"/>
          <w:sz w:val="24"/>
        </w:rPr>
        <w:t> </w:t>
      </w:r>
      <w:r>
        <w:rPr>
          <w:b/>
          <w:sz w:val="24"/>
        </w:rPr>
        <w:t>atendimento</w:t>
      </w:r>
      <w:r>
        <w:rPr>
          <w:b/>
          <w:spacing w:val="-6"/>
          <w:sz w:val="24"/>
        </w:rPr>
        <w:t> </w:t>
      </w:r>
      <w:r>
        <w:rPr>
          <w:b/>
          <w:sz w:val="24"/>
        </w:rPr>
        <w:t>e</w:t>
      </w:r>
      <w:r>
        <w:rPr>
          <w:b/>
          <w:spacing w:val="-8"/>
          <w:sz w:val="24"/>
        </w:rPr>
        <w:t> </w:t>
      </w:r>
      <w:r>
        <w:rPr>
          <w:b/>
          <w:sz w:val="24"/>
        </w:rPr>
        <w:t>no</w:t>
      </w:r>
      <w:r>
        <w:rPr>
          <w:b/>
          <w:spacing w:val="-7"/>
          <w:sz w:val="24"/>
        </w:rPr>
        <w:t> </w:t>
      </w:r>
      <w:r>
        <w:rPr>
          <w:b/>
          <w:sz w:val="24"/>
        </w:rPr>
        <w:t>relacionamento</w:t>
      </w:r>
      <w:r>
        <w:rPr>
          <w:b/>
          <w:spacing w:val="-4"/>
          <w:sz w:val="24"/>
        </w:rPr>
        <w:t> </w:t>
      </w:r>
      <w:r>
        <w:rPr>
          <w:b/>
          <w:sz w:val="24"/>
        </w:rPr>
        <w:t>com</w:t>
      </w:r>
      <w:r>
        <w:rPr>
          <w:b/>
          <w:spacing w:val="-5"/>
          <w:sz w:val="24"/>
        </w:rPr>
        <w:t> </w:t>
      </w:r>
      <w:r>
        <w:rPr>
          <w:b/>
          <w:sz w:val="24"/>
        </w:rPr>
        <w:t>os</w:t>
      </w:r>
      <w:r>
        <w:rPr>
          <w:b/>
          <w:spacing w:val="-7"/>
          <w:sz w:val="24"/>
        </w:rPr>
        <w:t> </w:t>
      </w:r>
      <w:r>
        <w:rPr>
          <w:b/>
          <w:sz w:val="24"/>
        </w:rPr>
        <w:t>arquitetos</w:t>
      </w:r>
      <w:r>
        <w:rPr>
          <w:b/>
          <w:spacing w:val="-5"/>
          <w:sz w:val="24"/>
        </w:rPr>
        <w:t> </w:t>
      </w:r>
      <w:r>
        <w:rPr>
          <w:b/>
          <w:sz w:val="24"/>
        </w:rPr>
        <w:t>e</w:t>
      </w:r>
      <w:r>
        <w:rPr>
          <w:b/>
          <w:spacing w:val="-8"/>
          <w:sz w:val="24"/>
        </w:rPr>
        <w:t> </w:t>
      </w:r>
      <w:r>
        <w:rPr>
          <w:b/>
          <w:sz w:val="24"/>
        </w:rPr>
        <w:t>urbanistas e a sociedade"</w:t>
      </w:r>
      <w:r>
        <w:rPr>
          <w:sz w:val="24"/>
        </w:rPr>
        <w:t>.</w:t>
      </w:r>
    </w:p>
    <w:p>
      <w:pPr>
        <w:pStyle w:val="ListParagraph"/>
        <w:numPr>
          <w:ilvl w:val="0"/>
          <w:numId w:val="2"/>
        </w:numPr>
        <w:tabs>
          <w:tab w:pos="827" w:val="left" w:leader="none"/>
        </w:tabs>
        <w:spacing w:line="352" w:lineRule="auto" w:before="14" w:after="0"/>
        <w:ind w:left="826" w:right="149" w:hanging="360"/>
        <w:jc w:val="both"/>
        <w:rPr>
          <w:sz w:val="24"/>
        </w:rPr>
      </w:pPr>
      <w:r>
        <w:rPr>
          <w:b/>
          <w:sz w:val="24"/>
        </w:rPr>
        <w:t>Objetivos estratégicos locais mínimo de 6% </w:t>
      </w:r>
      <w:r>
        <w:rPr>
          <w:sz w:val="24"/>
        </w:rPr>
        <w:t>(seis por cento) do total das receitas de arrecadação</w:t>
      </w:r>
      <w:r>
        <w:rPr>
          <w:spacing w:val="-3"/>
          <w:sz w:val="24"/>
        </w:rPr>
        <w:t> </w:t>
      </w:r>
      <w:r>
        <w:rPr>
          <w:sz w:val="24"/>
        </w:rPr>
        <w:t>do</w:t>
      </w:r>
      <w:r>
        <w:rPr>
          <w:spacing w:val="-4"/>
          <w:sz w:val="24"/>
        </w:rPr>
        <w:t> </w:t>
      </w:r>
      <w:r>
        <w:rPr>
          <w:sz w:val="24"/>
        </w:rPr>
        <w:t>exercício</w:t>
      </w:r>
      <w:r>
        <w:rPr>
          <w:spacing w:val="-7"/>
          <w:sz w:val="24"/>
        </w:rPr>
        <w:t> </w:t>
      </w:r>
      <w:r>
        <w:rPr>
          <w:sz w:val="24"/>
        </w:rPr>
        <w:t>(anuidades,</w:t>
      </w:r>
      <w:r>
        <w:rPr>
          <w:spacing w:val="-4"/>
          <w:sz w:val="24"/>
        </w:rPr>
        <w:t> </w:t>
      </w:r>
      <w:r>
        <w:rPr>
          <w:sz w:val="24"/>
        </w:rPr>
        <w:t>RRT</w:t>
      </w:r>
      <w:r>
        <w:rPr>
          <w:spacing w:val="-4"/>
          <w:sz w:val="24"/>
        </w:rPr>
        <w:t> </w:t>
      </w:r>
      <w:r>
        <w:rPr>
          <w:sz w:val="24"/>
        </w:rPr>
        <w:t>e</w:t>
      </w:r>
      <w:r>
        <w:rPr>
          <w:spacing w:val="-4"/>
          <w:sz w:val="24"/>
        </w:rPr>
        <w:t> </w:t>
      </w:r>
      <w:r>
        <w:rPr>
          <w:sz w:val="24"/>
        </w:rPr>
        <w:t>taxas</w:t>
      </w:r>
      <w:r>
        <w:rPr>
          <w:spacing w:val="-8"/>
          <w:sz w:val="24"/>
        </w:rPr>
        <w:t> </w:t>
      </w:r>
      <w:r>
        <w:rPr>
          <w:sz w:val="24"/>
        </w:rPr>
        <w:t>e</w:t>
      </w:r>
      <w:r>
        <w:rPr>
          <w:spacing w:val="-4"/>
          <w:sz w:val="24"/>
        </w:rPr>
        <w:t> </w:t>
      </w:r>
      <w:r>
        <w:rPr>
          <w:sz w:val="24"/>
        </w:rPr>
        <w:t>multas)</w:t>
      </w:r>
      <w:r>
        <w:rPr>
          <w:spacing w:val="-6"/>
          <w:sz w:val="24"/>
        </w:rPr>
        <w:t> </w:t>
      </w:r>
      <w:r>
        <w:rPr>
          <w:sz w:val="24"/>
        </w:rPr>
        <w:t>deduzidos</w:t>
      </w:r>
      <w:r>
        <w:rPr>
          <w:spacing w:val="-5"/>
          <w:sz w:val="24"/>
        </w:rPr>
        <w:t> </w:t>
      </w:r>
      <w:r>
        <w:rPr>
          <w:sz w:val="24"/>
        </w:rPr>
        <w:t>os</w:t>
      </w:r>
      <w:r>
        <w:rPr>
          <w:spacing w:val="-5"/>
          <w:sz w:val="24"/>
        </w:rPr>
        <w:t> </w:t>
      </w:r>
      <w:r>
        <w:rPr>
          <w:sz w:val="24"/>
        </w:rPr>
        <w:t>valores</w:t>
      </w:r>
      <w:r>
        <w:rPr>
          <w:spacing w:val="-5"/>
          <w:sz w:val="24"/>
        </w:rPr>
        <w:t> </w:t>
      </w:r>
      <w:r>
        <w:rPr>
          <w:sz w:val="24"/>
        </w:rPr>
        <w:t>destinados</w:t>
      </w:r>
    </w:p>
    <w:p>
      <w:pPr>
        <w:pStyle w:val="BodyText"/>
        <w:rPr>
          <w:sz w:val="20"/>
        </w:rPr>
      </w:pPr>
    </w:p>
    <w:p>
      <w:pPr>
        <w:pStyle w:val="BodyText"/>
        <w:rPr>
          <w:sz w:val="20"/>
        </w:rPr>
      </w:pPr>
    </w:p>
    <w:p>
      <w:pPr>
        <w:pStyle w:val="BodyText"/>
        <w:rPr>
          <w:sz w:val="20"/>
        </w:rPr>
      </w:pPr>
    </w:p>
    <w:p>
      <w:pPr>
        <w:pStyle w:val="BodyText"/>
        <w:spacing w:before="11"/>
        <w:rPr>
          <w:sz w:val="16"/>
        </w:rPr>
      </w:pPr>
      <w:r>
        <w:rPr/>
        <w:pict>
          <v:rect style="position:absolute;margin-left:113.540001pt;margin-top:11.549346pt;width:144.020pt;height:.71997pt;mso-position-horizontal-relative:page;mso-position-vertical-relative:paragraph;z-index:-15726080;mso-wrap-distance-left:0;mso-wrap-distance-right:0" id="docshape90" filled="true" fillcolor="#000000" stroked="false">
            <v:fill type="solid"/>
            <w10:wrap type="topAndBottom"/>
          </v:rect>
        </w:pict>
      </w:r>
    </w:p>
    <w:p>
      <w:pPr>
        <w:spacing w:before="121"/>
        <w:ind w:left="118" w:right="0" w:firstLine="0"/>
        <w:jc w:val="left"/>
        <w:rPr>
          <w:sz w:val="18"/>
        </w:rPr>
      </w:pPr>
      <w:r>
        <w:rPr>
          <w:sz w:val="18"/>
          <w:vertAlign w:val="superscript"/>
        </w:rPr>
        <w:t>2</w:t>
      </w:r>
      <w:r>
        <w:rPr>
          <w:sz w:val="18"/>
          <w:vertAlign w:val="baseline"/>
        </w:rPr>
        <w:t>Dados</w:t>
      </w:r>
      <w:r>
        <w:rPr>
          <w:spacing w:val="-5"/>
          <w:sz w:val="18"/>
          <w:vertAlign w:val="baseline"/>
        </w:rPr>
        <w:t> </w:t>
      </w:r>
      <w:r>
        <w:rPr>
          <w:sz w:val="18"/>
          <w:vertAlign w:val="baseline"/>
        </w:rPr>
        <w:t>extraídos</w:t>
      </w:r>
      <w:r>
        <w:rPr>
          <w:spacing w:val="-4"/>
          <w:sz w:val="18"/>
          <w:vertAlign w:val="baseline"/>
        </w:rPr>
        <w:t> </w:t>
      </w:r>
      <w:r>
        <w:rPr>
          <w:sz w:val="18"/>
          <w:vertAlign w:val="baseline"/>
        </w:rPr>
        <w:t>do</w:t>
      </w:r>
      <w:r>
        <w:rPr>
          <w:spacing w:val="-4"/>
          <w:sz w:val="18"/>
          <w:vertAlign w:val="baseline"/>
        </w:rPr>
        <w:t> </w:t>
      </w:r>
      <w:r>
        <w:rPr>
          <w:sz w:val="18"/>
          <w:vertAlign w:val="baseline"/>
        </w:rPr>
        <w:t>site</w:t>
      </w:r>
      <w:r>
        <w:rPr>
          <w:spacing w:val="-4"/>
          <w:sz w:val="18"/>
          <w:vertAlign w:val="baseline"/>
        </w:rPr>
        <w:t> </w:t>
      </w:r>
      <w:r>
        <w:rPr>
          <w:sz w:val="18"/>
          <w:vertAlign w:val="baseline"/>
        </w:rPr>
        <w:t>do</w:t>
      </w:r>
      <w:r>
        <w:rPr>
          <w:spacing w:val="-4"/>
          <w:sz w:val="18"/>
          <w:vertAlign w:val="baseline"/>
        </w:rPr>
        <w:t> </w:t>
      </w:r>
      <w:r>
        <w:rPr>
          <w:sz w:val="18"/>
          <w:vertAlign w:val="baseline"/>
        </w:rPr>
        <w:t>IBGE</w:t>
      </w:r>
      <w:r>
        <w:rPr>
          <w:spacing w:val="-3"/>
          <w:sz w:val="18"/>
          <w:vertAlign w:val="baseline"/>
        </w:rPr>
        <w:t> </w:t>
      </w:r>
      <w:r>
        <w:rPr>
          <w:sz w:val="18"/>
          <w:vertAlign w:val="baseline"/>
        </w:rPr>
        <w:t>até</w:t>
      </w:r>
      <w:r>
        <w:rPr>
          <w:spacing w:val="-4"/>
          <w:sz w:val="18"/>
          <w:vertAlign w:val="baseline"/>
        </w:rPr>
        <w:t> </w:t>
      </w:r>
      <w:r>
        <w:rPr>
          <w:sz w:val="18"/>
          <w:vertAlign w:val="baseline"/>
        </w:rPr>
        <w:t>2015-</w:t>
      </w:r>
      <w:r>
        <w:rPr>
          <w:spacing w:val="-4"/>
          <w:sz w:val="18"/>
          <w:vertAlign w:val="baseline"/>
        </w:rPr>
        <w:t> </w:t>
      </w:r>
      <w:hyperlink r:id="rId40">
        <w:r>
          <w:rPr>
            <w:color w:val="0462C1"/>
            <w:sz w:val="18"/>
            <w:u w:val="single" w:color="0462C1"/>
            <w:vertAlign w:val="baseline"/>
          </w:rPr>
          <w:t>ftp://ftp.ibge.gov.br/Pib_Municipios/2015/base/</w:t>
        </w:r>
        <w:r>
          <w:rPr>
            <w:color w:val="0462C1"/>
            <w:spacing w:val="-4"/>
            <w:sz w:val="18"/>
            <w:u w:val="single" w:color="0462C1"/>
            <w:vertAlign w:val="baseline"/>
          </w:rPr>
          <w:t> </w:t>
        </w:r>
        <w:r>
          <w:rPr>
            <w:color w:val="0462C1"/>
            <w:spacing w:val="-2"/>
            <w:sz w:val="18"/>
            <w:u w:val="single" w:color="0462C1"/>
            <w:vertAlign w:val="baseline"/>
          </w:rPr>
          <w:t>base_de_dados_2010_2015_xls.zip</w:t>
        </w:r>
      </w:hyperlink>
    </w:p>
    <w:p>
      <w:pPr>
        <w:spacing w:before="23"/>
        <w:ind w:left="118" w:right="0" w:firstLine="0"/>
        <w:jc w:val="left"/>
        <w:rPr>
          <w:sz w:val="18"/>
        </w:rPr>
      </w:pPr>
      <w:r>
        <w:rPr>
          <w:sz w:val="18"/>
          <w:vertAlign w:val="superscript"/>
        </w:rPr>
        <w:t>3</w:t>
      </w:r>
      <w:r>
        <w:rPr>
          <w:sz w:val="18"/>
          <w:vertAlign w:val="baseline"/>
        </w:rPr>
        <w:t>Dados</w:t>
      </w:r>
      <w:r>
        <w:rPr>
          <w:spacing w:val="-3"/>
          <w:sz w:val="18"/>
          <w:vertAlign w:val="baseline"/>
        </w:rPr>
        <w:t> </w:t>
      </w:r>
      <w:r>
        <w:rPr>
          <w:sz w:val="18"/>
          <w:vertAlign w:val="baseline"/>
        </w:rPr>
        <w:t>extraídos</w:t>
      </w:r>
      <w:r>
        <w:rPr>
          <w:spacing w:val="-3"/>
          <w:sz w:val="18"/>
          <w:vertAlign w:val="baseline"/>
        </w:rPr>
        <w:t> </w:t>
      </w:r>
      <w:r>
        <w:rPr>
          <w:sz w:val="18"/>
          <w:vertAlign w:val="baseline"/>
        </w:rPr>
        <w:t>do</w:t>
      </w:r>
      <w:r>
        <w:rPr>
          <w:spacing w:val="-2"/>
          <w:sz w:val="18"/>
          <w:vertAlign w:val="baseline"/>
        </w:rPr>
        <w:t> </w:t>
      </w:r>
      <w:r>
        <w:rPr>
          <w:sz w:val="18"/>
          <w:vertAlign w:val="baseline"/>
        </w:rPr>
        <w:t>site</w:t>
      </w:r>
      <w:r>
        <w:rPr>
          <w:spacing w:val="-3"/>
          <w:sz w:val="18"/>
          <w:vertAlign w:val="baseline"/>
        </w:rPr>
        <w:t> </w:t>
      </w:r>
      <w:r>
        <w:rPr>
          <w:sz w:val="18"/>
          <w:vertAlign w:val="baseline"/>
        </w:rPr>
        <w:t>IBGE/IGEO-</w:t>
      </w:r>
      <w:r>
        <w:rPr>
          <w:spacing w:val="-2"/>
          <w:sz w:val="18"/>
          <w:vertAlign w:val="baseline"/>
        </w:rPr>
        <w:t> </w:t>
      </w:r>
      <w:r>
        <w:rPr>
          <w:sz w:val="18"/>
          <w:vertAlign w:val="baseline"/>
        </w:rPr>
        <w:t>Censo</w:t>
      </w:r>
      <w:r>
        <w:rPr>
          <w:spacing w:val="-2"/>
          <w:sz w:val="18"/>
          <w:vertAlign w:val="baseline"/>
        </w:rPr>
        <w:t> </w:t>
      </w:r>
      <w:r>
        <w:rPr>
          <w:spacing w:val="-4"/>
          <w:sz w:val="18"/>
          <w:vertAlign w:val="baseline"/>
        </w:rPr>
        <w:t>2010</w:t>
      </w:r>
    </w:p>
    <w:p>
      <w:pPr>
        <w:spacing w:after="0"/>
        <w:jc w:val="left"/>
        <w:rPr>
          <w:sz w:val="18"/>
        </w:rPr>
        <w:sectPr>
          <w:pgSz w:w="11910" w:h="16840"/>
          <w:pgMar w:header="689" w:footer="261" w:top="1580" w:bottom="460" w:left="1300" w:right="700"/>
        </w:sectPr>
      </w:pPr>
    </w:p>
    <w:p>
      <w:pPr>
        <w:spacing w:line="360" w:lineRule="auto" w:before="14"/>
        <w:ind w:left="826" w:right="146" w:firstLine="0"/>
        <w:jc w:val="both"/>
        <w:rPr>
          <w:sz w:val="24"/>
        </w:rPr>
      </w:pPr>
      <w:r>
        <w:rPr>
          <w:sz w:val="24"/>
        </w:rPr>
        <w:t>ao Fundo de Apoio, deve ser alocado em projetos estratégicos para atender </w:t>
      </w:r>
      <w:r>
        <w:rPr>
          <w:b/>
          <w:sz w:val="24"/>
        </w:rPr>
        <w:t>os objetivos estratégicos selecionados pelo CAU/BR e pelos CAU/UF</w:t>
      </w:r>
      <w:r>
        <w:rPr>
          <w:sz w:val="24"/>
        </w:rPr>
        <w:t>.</w:t>
      </w:r>
    </w:p>
    <w:p>
      <w:pPr>
        <w:pStyle w:val="ListParagraph"/>
        <w:numPr>
          <w:ilvl w:val="0"/>
          <w:numId w:val="2"/>
        </w:numPr>
        <w:tabs>
          <w:tab w:pos="827" w:val="left" w:leader="none"/>
        </w:tabs>
        <w:spacing w:line="357" w:lineRule="auto" w:before="1" w:after="0"/>
        <w:ind w:left="826" w:right="146" w:hanging="360"/>
        <w:jc w:val="both"/>
        <w:rPr>
          <w:sz w:val="24"/>
        </w:rPr>
      </w:pPr>
      <w:r>
        <w:rPr>
          <w:b/>
          <w:sz w:val="24"/>
        </w:rPr>
        <w:t>Capacitação mínimo de 2% </w:t>
      </w:r>
      <w:r>
        <w:rPr>
          <w:sz w:val="24"/>
        </w:rPr>
        <w:t>(dois por cento) e </w:t>
      </w:r>
      <w:r>
        <w:rPr>
          <w:b/>
          <w:sz w:val="24"/>
        </w:rPr>
        <w:t>máximo de 4% </w:t>
      </w:r>
      <w:r>
        <w:rPr>
          <w:sz w:val="24"/>
        </w:rPr>
        <w:t>(quatro por cento) do valor total</w:t>
      </w:r>
      <w:r>
        <w:rPr>
          <w:spacing w:val="-7"/>
          <w:sz w:val="24"/>
        </w:rPr>
        <w:t> </w:t>
      </w:r>
      <w:r>
        <w:rPr>
          <w:sz w:val="24"/>
        </w:rPr>
        <w:t>das</w:t>
      </w:r>
      <w:r>
        <w:rPr>
          <w:spacing w:val="-5"/>
          <w:sz w:val="24"/>
        </w:rPr>
        <w:t> </w:t>
      </w:r>
      <w:r>
        <w:rPr>
          <w:sz w:val="24"/>
        </w:rPr>
        <w:t>respectivas</w:t>
      </w:r>
      <w:r>
        <w:rPr>
          <w:spacing w:val="-6"/>
          <w:sz w:val="24"/>
        </w:rPr>
        <w:t> </w:t>
      </w:r>
      <w:r>
        <w:rPr>
          <w:sz w:val="24"/>
        </w:rPr>
        <w:t>folhas</w:t>
      </w:r>
      <w:r>
        <w:rPr>
          <w:spacing w:val="-3"/>
          <w:sz w:val="24"/>
        </w:rPr>
        <w:t> </w:t>
      </w:r>
      <w:r>
        <w:rPr>
          <w:sz w:val="24"/>
        </w:rPr>
        <w:t>de</w:t>
      </w:r>
      <w:r>
        <w:rPr>
          <w:spacing w:val="-4"/>
          <w:sz w:val="24"/>
        </w:rPr>
        <w:t> </w:t>
      </w:r>
      <w:r>
        <w:rPr>
          <w:sz w:val="24"/>
        </w:rPr>
        <w:t>pagamento</w:t>
      </w:r>
      <w:r>
        <w:rPr>
          <w:spacing w:val="-2"/>
          <w:sz w:val="24"/>
        </w:rPr>
        <w:t> </w:t>
      </w:r>
      <w:r>
        <w:rPr>
          <w:sz w:val="24"/>
        </w:rPr>
        <w:t>(salários,</w:t>
      </w:r>
      <w:r>
        <w:rPr>
          <w:spacing w:val="-4"/>
          <w:sz w:val="24"/>
        </w:rPr>
        <w:t> </w:t>
      </w:r>
      <w:r>
        <w:rPr>
          <w:sz w:val="24"/>
        </w:rPr>
        <w:t>encargos</w:t>
      </w:r>
      <w:r>
        <w:rPr>
          <w:spacing w:val="-5"/>
          <w:sz w:val="24"/>
        </w:rPr>
        <w:t> </w:t>
      </w:r>
      <w:r>
        <w:rPr>
          <w:sz w:val="24"/>
        </w:rPr>
        <w:t>e</w:t>
      </w:r>
      <w:r>
        <w:rPr>
          <w:spacing w:val="-5"/>
          <w:sz w:val="24"/>
        </w:rPr>
        <w:t> </w:t>
      </w:r>
      <w:r>
        <w:rPr>
          <w:sz w:val="24"/>
        </w:rPr>
        <w:t>benefícios),</w:t>
      </w:r>
      <w:r>
        <w:rPr>
          <w:spacing w:val="-5"/>
          <w:sz w:val="24"/>
        </w:rPr>
        <w:t> </w:t>
      </w:r>
      <w:r>
        <w:rPr>
          <w:sz w:val="24"/>
        </w:rPr>
        <w:t>do</w:t>
      </w:r>
      <w:r>
        <w:rPr>
          <w:spacing w:val="-2"/>
          <w:sz w:val="24"/>
        </w:rPr>
        <w:t> </w:t>
      </w:r>
      <w:r>
        <w:rPr>
          <w:sz w:val="24"/>
        </w:rPr>
        <w:t>CAU/UF</w:t>
      </w:r>
      <w:r>
        <w:rPr>
          <w:spacing w:val="-5"/>
          <w:sz w:val="24"/>
        </w:rPr>
        <w:t> </w:t>
      </w:r>
      <w:r>
        <w:rPr>
          <w:sz w:val="24"/>
        </w:rPr>
        <w:t>e</w:t>
      </w:r>
      <w:r>
        <w:rPr>
          <w:spacing w:val="-4"/>
          <w:sz w:val="24"/>
        </w:rPr>
        <w:t> </w:t>
      </w:r>
      <w:r>
        <w:rPr>
          <w:sz w:val="24"/>
        </w:rPr>
        <w:t>do CAU/BR,</w:t>
      </w:r>
      <w:r>
        <w:rPr>
          <w:spacing w:val="-8"/>
          <w:sz w:val="24"/>
        </w:rPr>
        <w:t> </w:t>
      </w:r>
      <w:r>
        <w:rPr>
          <w:sz w:val="24"/>
        </w:rPr>
        <w:t>deve</w:t>
      </w:r>
      <w:r>
        <w:rPr>
          <w:spacing w:val="-9"/>
          <w:sz w:val="24"/>
        </w:rPr>
        <w:t> </w:t>
      </w:r>
      <w:r>
        <w:rPr>
          <w:sz w:val="24"/>
        </w:rPr>
        <w:t>ser</w:t>
      </w:r>
      <w:r>
        <w:rPr>
          <w:spacing w:val="-8"/>
          <w:sz w:val="24"/>
        </w:rPr>
        <w:t> </w:t>
      </w:r>
      <w:r>
        <w:rPr>
          <w:b/>
          <w:sz w:val="24"/>
        </w:rPr>
        <w:t>alocado</w:t>
      </w:r>
      <w:r>
        <w:rPr>
          <w:b/>
          <w:spacing w:val="-7"/>
          <w:sz w:val="24"/>
        </w:rPr>
        <w:t> </w:t>
      </w:r>
      <w:r>
        <w:rPr>
          <w:b/>
          <w:sz w:val="24"/>
        </w:rPr>
        <w:t>em</w:t>
      </w:r>
      <w:r>
        <w:rPr>
          <w:b/>
          <w:spacing w:val="-8"/>
          <w:sz w:val="24"/>
        </w:rPr>
        <w:t> </w:t>
      </w:r>
      <w:r>
        <w:rPr>
          <w:b/>
          <w:sz w:val="24"/>
        </w:rPr>
        <w:t>ações</w:t>
      </w:r>
      <w:r>
        <w:rPr>
          <w:b/>
          <w:spacing w:val="-9"/>
          <w:sz w:val="24"/>
        </w:rPr>
        <w:t> </w:t>
      </w:r>
      <w:r>
        <w:rPr>
          <w:b/>
          <w:sz w:val="24"/>
        </w:rPr>
        <w:t>de</w:t>
      </w:r>
      <w:r>
        <w:rPr>
          <w:b/>
          <w:spacing w:val="-11"/>
          <w:sz w:val="24"/>
        </w:rPr>
        <w:t> </w:t>
      </w:r>
      <w:r>
        <w:rPr>
          <w:b/>
          <w:sz w:val="24"/>
        </w:rPr>
        <w:t>capacitação</w:t>
      </w:r>
      <w:r>
        <w:rPr>
          <w:b/>
          <w:spacing w:val="-7"/>
          <w:sz w:val="24"/>
        </w:rPr>
        <w:t> </w:t>
      </w:r>
      <w:r>
        <w:rPr>
          <w:b/>
          <w:sz w:val="24"/>
        </w:rPr>
        <w:t>dos</w:t>
      </w:r>
      <w:r>
        <w:rPr>
          <w:b/>
          <w:spacing w:val="-9"/>
          <w:sz w:val="24"/>
        </w:rPr>
        <w:t> </w:t>
      </w:r>
      <w:r>
        <w:rPr>
          <w:b/>
          <w:sz w:val="24"/>
        </w:rPr>
        <w:t>conselheiros</w:t>
      </w:r>
      <w:r>
        <w:rPr>
          <w:b/>
          <w:spacing w:val="-9"/>
          <w:sz w:val="24"/>
        </w:rPr>
        <w:t> </w:t>
      </w:r>
      <w:r>
        <w:rPr>
          <w:b/>
          <w:sz w:val="24"/>
        </w:rPr>
        <w:t>e</w:t>
      </w:r>
      <w:r>
        <w:rPr>
          <w:b/>
          <w:spacing w:val="-11"/>
          <w:sz w:val="24"/>
        </w:rPr>
        <w:t> </w:t>
      </w:r>
      <w:r>
        <w:rPr>
          <w:b/>
          <w:sz w:val="24"/>
        </w:rPr>
        <w:t>colaboradores</w:t>
      </w:r>
      <w:r>
        <w:rPr>
          <w:sz w:val="24"/>
        </w:rPr>
        <w:t>,</w:t>
      </w:r>
      <w:r>
        <w:rPr>
          <w:spacing w:val="-10"/>
          <w:sz w:val="24"/>
        </w:rPr>
        <w:t> </w:t>
      </w:r>
      <w:r>
        <w:rPr>
          <w:sz w:val="24"/>
        </w:rPr>
        <w:t>para atender ao </w:t>
      </w:r>
      <w:r>
        <w:rPr>
          <w:b/>
          <w:sz w:val="24"/>
        </w:rPr>
        <w:t>objetivo estratégico "Desenvolver competências de dirigentes e </w:t>
      </w:r>
      <w:r>
        <w:rPr>
          <w:b/>
          <w:spacing w:val="-2"/>
          <w:sz w:val="24"/>
        </w:rPr>
        <w:t>colaboradores"</w:t>
      </w:r>
      <w:r>
        <w:rPr>
          <w:spacing w:val="-2"/>
          <w:sz w:val="24"/>
        </w:rPr>
        <w:t>.</w:t>
      </w:r>
    </w:p>
    <w:p>
      <w:pPr>
        <w:pStyle w:val="ListParagraph"/>
        <w:numPr>
          <w:ilvl w:val="0"/>
          <w:numId w:val="2"/>
        </w:numPr>
        <w:tabs>
          <w:tab w:pos="827" w:val="left" w:leader="none"/>
        </w:tabs>
        <w:spacing w:line="357" w:lineRule="auto" w:before="15" w:after="0"/>
        <w:ind w:left="826" w:right="145" w:hanging="360"/>
        <w:jc w:val="both"/>
        <w:rPr>
          <w:sz w:val="24"/>
        </w:rPr>
      </w:pPr>
      <w:r>
        <w:rPr>
          <w:b/>
          <w:sz w:val="24"/>
        </w:rPr>
        <w:t>Comunicação mínimo de 3% </w:t>
      </w:r>
      <w:r>
        <w:rPr>
          <w:sz w:val="24"/>
        </w:rPr>
        <w:t>(três por cento) do total das receitas de arrecadação do exercício (anuidades, RRT e taxas e multas) deduzidos os valores destinados ao Fundo de Apoio, deve ser alocado em projetos estratégicos para atender o objetivo estratégico </w:t>
      </w:r>
      <w:r>
        <w:rPr>
          <w:b/>
          <w:sz w:val="24"/>
        </w:rPr>
        <w:t>"Assegurar a eficácia no relacionamento e comunicação com a sociedade"</w:t>
      </w:r>
      <w:r>
        <w:rPr>
          <w:sz w:val="24"/>
        </w:rPr>
        <w:t>.</w:t>
      </w:r>
    </w:p>
    <w:p>
      <w:pPr>
        <w:pStyle w:val="ListParagraph"/>
        <w:numPr>
          <w:ilvl w:val="0"/>
          <w:numId w:val="2"/>
        </w:numPr>
        <w:tabs>
          <w:tab w:pos="827" w:val="left" w:leader="none"/>
        </w:tabs>
        <w:spacing w:line="357" w:lineRule="auto" w:before="12" w:after="0"/>
        <w:ind w:left="826" w:right="148" w:hanging="360"/>
        <w:jc w:val="both"/>
        <w:rPr>
          <w:sz w:val="24"/>
        </w:rPr>
      </w:pPr>
      <w:r>
        <w:rPr>
          <w:b/>
          <w:sz w:val="24"/>
        </w:rPr>
        <w:t>Patrocínios máximo de 5% </w:t>
      </w:r>
      <w:r>
        <w:rPr>
          <w:sz w:val="24"/>
        </w:rPr>
        <w:t>(cinco por cento) do total</w:t>
      </w:r>
      <w:r>
        <w:rPr>
          <w:spacing w:val="-2"/>
          <w:sz w:val="24"/>
        </w:rPr>
        <w:t> </w:t>
      </w:r>
      <w:r>
        <w:rPr>
          <w:sz w:val="24"/>
        </w:rPr>
        <w:t>dos recursos oriundos das receitas de arrecadação</w:t>
      </w:r>
      <w:r>
        <w:rPr>
          <w:spacing w:val="-4"/>
          <w:sz w:val="24"/>
        </w:rPr>
        <w:t> </w:t>
      </w:r>
      <w:r>
        <w:rPr>
          <w:sz w:val="24"/>
        </w:rPr>
        <w:t>do</w:t>
      </w:r>
      <w:r>
        <w:rPr>
          <w:spacing w:val="-4"/>
          <w:sz w:val="24"/>
        </w:rPr>
        <w:t> </w:t>
      </w:r>
      <w:r>
        <w:rPr>
          <w:sz w:val="24"/>
        </w:rPr>
        <w:t>exercício</w:t>
      </w:r>
      <w:r>
        <w:rPr>
          <w:spacing w:val="-6"/>
          <w:sz w:val="24"/>
        </w:rPr>
        <w:t> </w:t>
      </w:r>
      <w:r>
        <w:rPr>
          <w:sz w:val="24"/>
        </w:rPr>
        <w:t>(anuidades,</w:t>
      </w:r>
      <w:r>
        <w:rPr>
          <w:spacing w:val="-4"/>
          <w:sz w:val="24"/>
        </w:rPr>
        <w:t> </w:t>
      </w:r>
      <w:r>
        <w:rPr>
          <w:sz w:val="24"/>
        </w:rPr>
        <w:t>RRT</w:t>
      </w:r>
      <w:r>
        <w:rPr>
          <w:spacing w:val="-4"/>
          <w:sz w:val="24"/>
        </w:rPr>
        <w:t> </w:t>
      </w:r>
      <w:r>
        <w:rPr>
          <w:sz w:val="24"/>
        </w:rPr>
        <w:t>e</w:t>
      </w:r>
      <w:r>
        <w:rPr>
          <w:spacing w:val="-4"/>
          <w:sz w:val="24"/>
        </w:rPr>
        <w:t> </w:t>
      </w:r>
      <w:r>
        <w:rPr>
          <w:sz w:val="24"/>
        </w:rPr>
        <w:t>taxas</w:t>
      </w:r>
      <w:r>
        <w:rPr>
          <w:spacing w:val="-8"/>
          <w:sz w:val="24"/>
        </w:rPr>
        <w:t> </w:t>
      </w:r>
      <w:r>
        <w:rPr>
          <w:sz w:val="24"/>
        </w:rPr>
        <w:t>e</w:t>
      </w:r>
      <w:r>
        <w:rPr>
          <w:spacing w:val="-4"/>
          <w:sz w:val="24"/>
        </w:rPr>
        <w:t> </w:t>
      </w:r>
      <w:r>
        <w:rPr>
          <w:sz w:val="24"/>
        </w:rPr>
        <w:t>multas)</w:t>
      </w:r>
      <w:r>
        <w:rPr>
          <w:spacing w:val="-6"/>
          <w:sz w:val="24"/>
        </w:rPr>
        <w:t> </w:t>
      </w:r>
      <w:r>
        <w:rPr>
          <w:sz w:val="24"/>
        </w:rPr>
        <w:t>deduzidos</w:t>
      </w:r>
      <w:r>
        <w:rPr>
          <w:spacing w:val="-5"/>
          <w:sz w:val="24"/>
        </w:rPr>
        <w:t> </w:t>
      </w:r>
      <w:r>
        <w:rPr>
          <w:sz w:val="24"/>
        </w:rPr>
        <w:t>os</w:t>
      </w:r>
      <w:r>
        <w:rPr>
          <w:spacing w:val="-5"/>
          <w:sz w:val="24"/>
        </w:rPr>
        <w:t> </w:t>
      </w:r>
      <w:r>
        <w:rPr>
          <w:sz w:val="24"/>
        </w:rPr>
        <w:t>valores</w:t>
      </w:r>
      <w:r>
        <w:rPr>
          <w:spacing w:val="-5"/>
          <w:sz w:val="24"/>
        </w:rPr>
        <w:t> </w:t>
      </w:r>
      <w:r>
        <w:rPr>
          <w:sz w:val="24"/>
        </w:rPr>
        <w:t>destinados ao Fundo de Apoio, deve ser </w:t>
      </w:r>
      <w:r>
        <w:rPr>
          <w:b/>
          <w:sz w:val="24"/>
        </w:rPr>
        <w:t>alocado em patrocínios </w:t>
      </w:r>
      <w:r>
        <w:rPr>
          <w:sz w:val="24"/>
        </w:rPr>
        <w:t>para atender ao objetivo estratégico </w:t>
      </w:r>
      <w:r>
        <w:rPr>
          <w:b/>
          <w:sz w:val="24"/>
        </w:rPr>
        <w:t>"Estimular</w:t>
      </w:r>
      <w:r>
        <w:rPr>
          <w:b/>
          <w:spacing w:val="-6"/>
          <w:sz w:val="24"/>
        </w:rPr>
        <w:t> </w:t>
      </w:r>
      <w:r>
        <w:rPr>
          <w:b/>
          <w:sz w:val="24"/>
        </w:rPr>
        <w:t>o</w:t>
      </w:r>
      <w:r>
        <w:rPr>
          <w:b/>
          <w:spacing w:val="-2"/>
          <w:sz w:val="24"/>
        </w:rPr>
        <w:t> </w:t>
      </w:r>
      <w:r>
        <w:rPr>
          <w:b/>
          <w:sz w:val="24"/>
        </w:rPr>
        <w:t>conhecimento,</w:t>
      </w:r>
      <w:r>
        <w:rPr>
          <w:b/>
          <w:spacing w:val="-6"/>
          <w:sz w:val="24"/>
        </w:rPr>
        <w:t> </w:t>
      </w:r>
      <w:r>
        <w:rPr>
          <w:b/>
          <w:sz w:val="24"/>
        </w:rPr>
        <w:t>o</w:t>
      </w:r>
      <w:r>
        <w:rPr>
          <w:b/>
          <w:spacing w:val="-6"/>
          <w:sz w:val="24"/>
        </w:rPr>
        <w:t> </w:t>
      </w:r>
      <w:r>
        <w:rPr>
          <w:b/>
          <w:sz w:val="24"/>
        </w:rPr>
        <w:t>uso</w:t>
      </w:r>
      <w:r>
        <w:rPr>
          <w:b/>
          <w:spacing w:val="-6"/>
          <w:sz w:val="24"/>
        </w:rPr>
        <w:t> </w:t>
      </w:r>
      <w:r>
        <w:rPr>
          <w:b/>
          <w:sz w:val="24"/>
        </w:rPr>
        <w:t>de</w:t>
      </w:r>
      <w:r>
        <w:rPr>
          <w:b/>
          <w:spacing w:val="-7"/>
          <w:sz w:val="24"/>
        </w:rPr>
        <w:t> </w:t>
      </w:r>
      <w:r>
        <w:rPr>
          <w:b/>
          <w:sz w:val="24"/>
        </w:rPr>
        <w:t>processos</w:t>
      </w:r>
      <w:r>
        <w:rPr>
          <w:b/>
          <w:spacing w:val="-6"/>
          <w:sz w:val="24"/>
        </w:rPr>
        <w:t> </w:t>
      </w:r>
      <w:r>
        <w:rPr>
          <w:b/>
          <w:sz w:val="24"/>
        </w:rPr>
        <w:t>criativos</w:t>
      </w:r>
      <w:r>
        <w:rPr>
          <w:b/>
          <w:spacing w:val="-6"/>
          <w:sz w:val="24"/>
        </w:rPr>
        <w:t> </w:t>
      </w:r>
      <w:r>
        <w:rPr>
          <w:b/>
          <w:sz w:val="24"/>
        </w:rPr>
        <w:t>e</w:t>
      </w:r>
      <w:r>
        <w:rPr>
          <w:b/>
          <w:spacing w:val="-5"/>
          <w:sz w:val="24"/>
        </w:rPr>
        <w:t> </w:t>
      </w:r>
      <w:r>
        <w:rPr>
          <w:b/>
          <w:sz w:val="24"/>
        </w:rPr>
        <w:t>a</w:t>
      </w:r>
      <w:r>
        <w:rPr>
          <w:b/>
          <w:spacing w:val="-7"/>
          <w:sz w:val="24"/>
        </w:rPr>
        <w:t> </w:t>
      </w:r>
      <w:r>
        <w:rPr>
          <w:b/>
          <w:sz w:val="24"/>
        </w:rPr>
        <w:t>difusão</w:t>
      </w:r>
      <w:r>
        <w:rPr>
          <w:b/>
          <w:spacing w:val="-6"/>
          <w:sz w:val="24"/>
        </w:rPr>
        <w:t> </w:t>
      </w:r>
      <w:r>
        <w:rPr>
          <w:b/>
          <w:sz w:val="24"/>
        </w:rPr>
        <w:t>das</w:t>
      </w:r>
      <w:r>
        <w:rPr>
          <w:b/>
          <w:spacing w:val="-6"/>
          <w:sz w:val="24"/>
        </w:rPr>
        <w:t> </w:t>
      </w:r>
      <w:r>
        <w:rPr>
          <w:b/>
          <w:sz w:val="24"/>
        </w:rPr>
        <w:t>melhores</w:t>
      </w:r>
      <w:r>
        <w:rPr>
          <w:b/>
          <w:spacing w:val="-4"/>
          <w:sz w:val="24"/>
        </w:rPr>
        <w:t> </w:t>
      </w:r>
      <w:r>
        <w:rPr>
          <w:b/>
          <w:sz w:val="24"/>
        </w:rPr>
        <w:t>práticas em Arquitetura e Urbanismo"</w:t>
      </w:r>
      <w:r>
        <w:rPr>
          <w:sz w:val="24"/>
        </w:rPr>
        <w:t>.</w:t>
      </w:r>
    </w:p>
    <w:p>
      <w:pPr>
        <w:pStyle w:val="ListParagraph"/>
        <w:numPr>
          <w:ilvl w:val="0"/>
          <w:numId w:val="2"/>
        </w:numPr>
        <w:tabs>
          <w:tab w:pos="827" w:val="left" w:leader="none"/>
        </w:tabs>
        <w:spacing w:line="357" w:lineRule="auto" w:before="12" w:after="0"/>
        <w:ind w:left="826" w:right="146" w:hanging="360"/>
        <w:jc w:val="both"/>
        <w:rPr>
          <w:sz w:val="24"/>
        </w:rPr>
      </w:pPr>
      <w:r>
        <w:rPr>
          <w:b/>
          <w:sz w:val="24"/>
        </w:rPr>
        <w:t>ATHIS mínimo de 2% </w:t>
      </w:r>
      <w:r>
        <w:rPr>
          <w:sz w:val="24"/>
        </w:rPr>
        <w:t>(dois por cento) do total das receitas de arrecadação, excluindo os valores destinados ao Fundo de Apoio, deve ser alocado em projetos estratégicos de Assistência Técnica em Habitações de Interesse Social ATHIS, para atender ao objetivo Estratégico </w:t>
      </w:r>
      <w:r>
        <w:rPr>
          <w:b/>
          <w:sz w:val="24"/>
        </w:rPr>
        <w:t>“Fomentar o acesso da sociedade à arquitetura e urbanismo”</w:t>
      </w:r>
      <w:r>
        <w:rPr>
          <w:sz w:val="24"/>
        </w:rPr>
        <w:t>.</w:t>
      </w:r>
    </w:p>
    <w:p>
      <w:pPr>
        <w:pStyle w:val="BodyText"/>
        <w:spacing w:line="360" w:lineRule="auto" w:before="172"/>
        <w:ind w:left="118" w:right="146" w:firstLine="851"/>
        <w:jc w:val="both"/>
      </w:pPr>
      <w:r>
        <w:rPr/>
        <w:t>Esta reprogramação também contempla orientações estratégicas para: </w:t>
      </w:r>
      <w:r>
        <w:rPr>
          <w:b/>
        </w:rPr>
        <w:t>(i) </w:t>
      </w:r>
      <w:r>
        <w:rPr/>
        <w:t>destinação de </w:t>
      </w:r>
      <w:r>
        <w:rPr>
          <w:b/>
        </w:rPr>
        <w:t>gastos com pessoal </w:t>
      </w:r>
      <w:r>
        <w:rPr/>
        <w:t>(salários, encargos e benefícios) </w:t>
      </w:r>
      <w:r>
        <w:rPr>
          <w:b/>
        </w:rPr>
        <w:t>no limite máximo de 55% </w:t>
      </w:r>
      <w:r>
        <w:rPr/>
        <w:t>das receitas correntes;</w:t>
      </w:r>
      <w:r>
        <w:rPr>
          <w:spacing w:val="-14"/>
        </w:rPr>
        <w:t> </w:t>
      </w:r>
      <w:r>
        <w:rPr/>
        <w:t>e</w:t>
      </w:r>
      <w:r>
        <w:rPr>
          <w:spacing w:val="-13"/>
        </w:rPr>
        <w:t> </w:t>
      </w:r>
      <w:r>
        <w:rPr>
          <w:b/>
        </w:rPr>
        <w:t>(ii)</w:t>
      </w:r>
      <w:r>
        <w:rPr>
          <w:b/>
          <w:spacing w:val="-13"/>
        </w:rPr>
        <w:t> </w:t>
      </w:r>
      <w:r>
        <w:rPr>
          <w:b/>
        </w:rPr>
        <w:t>“Reserva</w:t>
      </w:r>
      <w:r>
        <w:rPr>
          <w:b/>
          <w:spacing w:val="-14"/>
        </w:rPr>
        <w:t> </w:t>
      </w:r>
      <w:r>
        <w:rPr>
          <w:b/>
        </w:rPr>
        <w:t>de</w:t>
      </w:r>
      <w:r>
        <w:rPr>
          <w:b/>
          <w:spacing w:val="-12"/>
        </w:rPr>
        <w:t> </w:t>
      </w:r>
      <w:r>
        <w:rPr>
          <w:b/>
        </w:rPr>
        <w:t>Contingência”</w:t>
      </w:r>
      <w:r>
        <w:rPr/>
        <w:t>,</w:t>
      </w:r>
      <w:r>
        <w:rPr>
          <w:spacing w:val="-13"/>
        </w:rPr>
        <w:t> </w:t>
      </w:r>
      <w:r>
        <w:rPr/>
        <w:t>com</w:t>
      </w:r>
      <w:r>
        <w:rPr>
          <w:spacing w:val="-13"/>
        </w:rPr>
        <w:t> </w:t>
      </w:r>
      <w:r>
        <w:rPr/>
        <w:t>o</w:t>
      </w:r>
      <w:r>
        <w:rPr>
          <w:spacing w:val="-13"/>
        </w:rPr>
        <w:t> </w:t>
      </w:r>
      <w:r>
        <w:rPr/>
        <w:t>objetivo</w:t>
      </w:r>
      <w:r>
        <w:rPr>
          <w:spacing w:val="-13"/>
        </w:rPr>
        <w:t> </w:t>
      </w:r>
      <w:r>
        <w:rPr/>
        <w:t>de</w:t>
      </w:r>
      <w:r>
        <w:rPr>
          <w:spacing w:val="-13"/>
        </w:rPr>
        <w:t> </w:t>
      </w:r>
      <w:r>
        <w:rPr/>
        <w:t>suportar</w:t>
      </w:r>
      <w:r>
        <w:rPr>
          <w:spacing w:val="-13"/>
        </w:rPr>
        <w:t> </w:t>
      </w:r>
      <w:r>
        <w:rPr/>
        <w:t>eventuais</w:t>
      </w:r>
      <w:r>
        <w:rPr>
          <w:spacing w:val="-10"/>
        </w:rPr>
        <w:t> </w:t>
      </w:r>
      <w:r>
        <w:rPr/>
        <w:t>ações</w:t>
      </w:r>
      <w:r>
        <w:rPr>
          <w:spacing w:val="-13"/>
        </w:rPr>
        <w:t> </w:t>
      </w:r>
      <w:r>
        <w:rPr/>
        <w:t>de</w:t>
      </w:r>
      <w:r>
        <w:rPr>
          <w:spacing w:val="-13"/>
        </w:rPr>
        <w:t> </w:t>
      </w:r>
      <w:r>
        <w:rPr/>
        <w:t>natureza estratégica e operacional não contempladas na Reprogramação do Plano de Ação aprovada. Os recursos alocados correspondem em </w:t>
      </w:r>
      <w:r>
        <w:rPr>
          <w:b/>
        </w:rPr>
        <w:t>até 2% </w:t>
      </w:r>
      <w:r>
        <w:rPr/>
        <w:t>dos recursos oriundos das receitas de arrecadação líquida previstas para o exercício.</w:t>
      </w:r>
    </w:p>
    <w:p>
      <w:pPr>
        <w:spacing w:line="360" w:lineRule="auto" w:before="159"/>
        <w:ind w:left="118" w:right="146" w:firstLine="851"/>
        <w:jc w:val="both"/>
        <w:rPr>
          <w:sz w:val="24"/>
        </w:rPr>
      </w:pPr>
      <w:r>
        <w:rPr>
          <w:b/>
          <w:sz w:val="24"/>
        </w:rPr>
        <w:t>Ressalta-se que, considerando os efeitos da Pandemia da Covid-19, a Deliberação Plenária DPAEBR nº 004-01/2020 vedou a inobservância de aplicação do percentual mínimo, referenciado na Receita de Arrecadação Líquida (RAL), de 15% (quinze por cento) nas atividades de Fiscalização, e condicionou aos órgãos deliberativos dos CAU/UF poderão, mediante as justificativas próprias, a flexibilização da aplicação de recursos mínimos e máximos dos demais limites na Reprogramação do Plano de Ação e Orçamento de 2020</w:t>
      </w:r>
      <w:r>
        <w:rPr>
          <w:sz w:val="24"/>
        </w:rPr>
        <w:t>.</w:t>
      </w:r>
    </w:p>
    <w:p>
      <w:pPr>
        <w:spacing w:after="0" w:line="360" w:lineRule="auto"/>
        <w:jc w:val="both"/>
        <w:rPr>
          <w:sz w:val="24"/>
        </w:rPr>
        <w:sectPr>
          <w:pgSz w:w="11910" w:h="16840"/>
          <w:pgMar w:header="689" w:footer="261" w:top="1580" w:bottom="460" w:left="1300" w:right="700"/>
        </w:sectPr>
      </w:pPr>
    </w:p>
    <w:p>
      <w:pPr>
        <w:pStyle w:val="Heading3"/>
        <w:numPr>
          <w:ilvl w:val="0"/>
          <w:numId w:val="3"/>
        </w:numPr>
        <w:tabs>
          <w:tab w:pos="1190" w:val="left" w:leader="none"/>
        </w:tabs>
        <w:spacing w:line="240" w:lineRule="auto" w:before="14" w:after="0"/>
        <w:ind w:left="1189" w:right="0" w:hanging="220"/>
        <w:jc w:val="left"/>
      </w:pPr>
      <w:bookmarkStart w:name="_bookmark3" w:id="4"/>
      <w:bookmarkEnd w:id="4"/>
      <w:r>
        <w:rPr>
          <w:color w:val="006666"/>
        </w:rPr>
        <w:t>ORIGE</w:t>
      </w:r>
      <w:r>
        <w:rPr>
          <w:color w:val="006666"/>
        </w:rPr>
        <w:t>M</w:t>
      </w:r>
      <w:r>
        <w:rPr>
          <w:color w:val="006666"/>
          <w:spacing w:val="-6"/>
        </w:rPr>
        <w:t> </w:t>
      </w:r>
      <w:r>
        <w:rPr>
          <w:color w:val="006666"/>
        </w:rPr>
        <w:t>DOS</w:t>
      </w:r>
      <w:r>
        <w:rPr>
          <w:color w:val="006666"/>
          <w:spacing w:val="-5"/>
        </w:rPr>
        <w:t> </w:t>
      </w:r>
      <w:r>
        <w:rPr>
          <w:color w:val="006666"/>
          <w:spacing w:val="-2"/>
        </w:rPr>
        <w:t>RECURSOS</w:t>
      </w:r>
    </w:p>
    <w:p>
      <w:pPr>
        <w:pStyle w:val="BodyText"/>
        <w:rPr>
          <w:b/>
          <w:sz w:val="27"/>
        </w:rPr>
      </w:pPr>
    </w:p>
    <w:p>
      <w:pPr>
        <w:pStyle w:val="BodyText"/>
        <w:spacing w:line="360" w:lineRule="auto"/>
        <w:ind w:left="118" w:right="143" w:firstLine="851"/>
        <w:jc w:val="both"/>
      </w:pPr>
      <w:r>
        <w:rPr/>
        <w:t>A</w:t>
      </w:r>
      <w:r>
        <w:rPr>
          <w:spacing w:val="-1"/>
        </w:rPr>
        <w:t> </w:t>
      </w:r>
      <w:r>
        <w:rPr/>
        <w:t>proposta</w:t>
      </w:r>
      <w:r>
        <w:rPr>
          <w:spacing w:val="-4"/>
        </w:rPr>
        <w:t> </w:t>
      </w:r>
      <w:r>
        <w:rPr/>
        <w:t>de</w:t>
      </w:r>
      <w:r>
        <w:rPr>
          <w:spacing w:val="-1"/>
        </w:rPr>
        <w:t> </w:t>
      </w:r>
      <w:r>
        <w:rPr/>
        <w:t>Reprogramação</w:t>
      </w:r>
      <w:r>
        <w:rPr>
          <w:spacing w:val="-3"/>
        </w:rPr>
        <w:t> </w:t>
      </w:r>
      <w:r>
        <w:rPr/>
        <w:t>do</w:t>
      </w:r>
      <w:r>
        <w:rPr>
          <w:spacing w:val="-4"/>
        </w:rPr>
        <w:t> </w:t>
      </w:r>
      <w:r>
        <w:rPr/>
        <w:t>Plano</w:t>
      </w:r>
      <w:r>
        <w:rPr>
          <w:spacing w:val="-4"/>
        </w:rPr>
        <w:t> </w:t>
      </w:r>
      <w:r>
        <w:rPr/>
        <w:t>de</w:t>
      </w:r>
      <w:r>
        <w:rPr>
          <w:spacing w:val="-4"/>
        </w:rPr>
        <w:t> </w:t>
      </w:r>
      <w:r>
        <w:rPr/>
        <w:t>Ação</w:t>
      </w:r>
      <w:r>
        <w:rPr>
          <w:spacing w:val="-6"/>
        </w:rPr>
        <w:t> </w:t>
      </w:r>
      <w:r>
        <w:rPr/>
        <w:t>e</w:t>
      </w:r>
      <w:r>
        <w:rPr>
          <w:spacing w:val="-1"/>
        </w:rPr>
        <w:t> </w:t>
      </w:r>
      <w:r>
        <w:rPr/>
        <w:t>Orçamento</w:t>
      </w:r>
      <w:r>
        <w:rPr>
          <w:spacing w:val="-6"/>
        </w:rPr>
        <w:t> </w:t>
      </w:r>
      <w:r>
        <w:rPr/>
        <w:t>do</w:t>
      </w:r>
      <w:r>
        <w:rPr>
          <w:spacing w:val="-4"/>
        </w:rPr>
        <w:t> </w:t>
      </w:r>
      <w:r>
        <w:rPr/>
        <w:t>Conselho</w:t>
      </w:r>
      <w:r>
        <w:rPr>
          <w:spacing w:val="-3"/>
        </w:rPr>
        <w:t> </w:t>
      </w:r>
      <w:r>
        <w:rPr/>
        <w:t>de</w:t>
      </w:r>
      <w:r>
        <w:rPr>
          <w:spacing w:val="-4"/>
        </w:rPr>
        <w:t> </w:t>
      </w:r>
      <w:r>
        <w:rPr/>
        <w:t>Arquitetura e Urbanismo para o exercício de 2020, submetida à aprovação do Plenário do CAU/BR, na 34ª Reunião</w:t>
      </w:r>
      <w:r>
        <w:rPr>
          <w:spacing w:val="-10"/>
        </w:rPr>
        <w:t> </w:t>
      </w:r>
      <w:r>
        <w:rPr/>
        <w:t>Plenária</w:t>
      </w:r>
      <w:r>
        <w:rPr>
          <w:spacing w:val="-8"/>
        </w:rPr>
        <w:t> </w:t>
      </w:r>
      <w:r>
        <w:rPr/>
        <w:t>Ampliada,</w:t>
      </w:r>
      <w:r>
        <w:rPr>
          <w:spacing w:val="-8"/>
        </w:rPr>
        <w:t> </w:t>
      </w:r>
      <w:r>
        <w:rPr/>
        <w:t>de</w:t>
      </w:r>
      <w:r>
        <w:rPr>
          <w:spacing w:val="-10"/>
        </w:rPr>
        <w:t> </w:t>
      </w:r>
      <w:r>
        <w:rPr/>
        <w:t>2</w:t>
      </w:r>
      <w:r>
        <w:rPr>
          <w:spacing w:val="-8"/>
        </w:rPr>
        <w:t> </w:t>
      </w:r>
      <w:r>
        <w:rPr/>
        <w:t>de</w:t>
      </w:r>
      <w:r>
        <w:rPr>
          <w:spacing w:val="-8"/>
        </w:rPr>
        <w:t> </w:t>
      </w:r>
      <w:r>
        <w:rPr/>
        <w:t>agosto</w:t>
      </w:r>
      <w:r>
        <w:rPr>
          <w:spacing w:val="-11"/>
        </w:rPr>
        <w:t> </w:t>
      </w:r>
      <w:r>
        <w:rPr/>
        <w:t>de</w:t>
      </w:r>
      <w:r>
        <w:rPr>
          <w:spacing w:val="-8"/>
        </w:rPr>
        <w:t> </w:t>
      </w:r>
      <w:r>
        <w:rPr/>
        <w:t>2020,</w:t>
      </w:r>
      <w:r>
        <w:rPr>
          <w:spacing w:val="-9"/>
        </w:rPr>
        <w:t> </w:t>
      </w:r>
      <w:r>
        <w:rPr/>
        <w:t>compreende</w:t>
      </w:r>
      <w:r>
        <w:rPr>
          <w:spacing w:val="-8"/>
        </w:rPr>
        <w:t> </w:t>
      </w:r>
      <w:r>
        <w:rPr/>
        <w:t>as</w:t>
      </w:r>
      <w:r>
        <w:rPr>
          <w:spacing w:val="-9"/>
        </w:rPr>
        <w:t> </w:t>
      </w:r>
      <w:r>
        <w:rPr/>
        <w:t>propostas</w:t>
      </w:r>
      <w:r>
        <w:rPr>
          <w:spacing w:val="-7"/>
        </w:rPr>
        <w:t> </w:t>
      </w:r>
      <w:r>
        <w:rPr/>
        <w:t>de</w:t>
      </w:r>
      <w:r>
        <w:rPr>
          <w:spacing w:val="-10"/>
        </w:rPr>
        <w:t> </w:t>
      </w:r>
      <w:r>
        <w:rPr/>
        <w:t>25</w:t>
      </w:r>
      <w:r>
        <w:rPr>
          <w:spacing w:val="-8"/>
        </w:rPr>
        <w:t> </w:t>
      </w:r>
      <w:r>
        <w:rPr/>
        <w:t>CAU/UF</w:t>
      </w:r>
      <w:r>
        <w:rPr>
          <w:spacing w:val="-9"/>
        </w:rPr>
        <w:t> </w:t>
      </w:r>
      <w:r>
        <w:rPr/>
        <w:t>e</w:t>
      </w:r>
      <w:r>
        <w:rPr>
          <w:spacing w:val="-8"/>
        </w:rPr>
        <w:t> </w:t>
      </w:r>
      <w:r>
        <w:rPr/>
        <w:t>pelo CAU/BR, sendo reprogramados ordinariamente o CAU/BR e os seguintes CAU/UF (AC; AM; AP; AL; BA;</w:t>
      </w:r>
      <w:r>
        <w:rPr>
          <w:spacing w:val="26"/>
        </w:rPr>
        <w:t> </w:t>
      </w:r>
      <w:r>
        <w:rPr/>
        <w:t>CE;</w:t>
      </w:r>
      <w:r>
        <w:rPr>
          <w:spacing w:val="24"/>
        </w:rPr>
        <w:t> </w:t>
      </w:r>
      <w:r>
        <w:rPr/>
        <w:t>DF;</w:t>
      </w:r>
      <w:r>
        <w:rPr>
          <w:spacing w:val="24"/>
        </w:rPr>
        <w:t> </w:t>
      </w:r>
      <w:r>
        <w:rPr/>
        <w:t>ES;</w:t>
      </w:r>
      <w:r>
        <w:rPr>
          <w:spacing w:val="26"/>
        </w:rPr>
        <w:t> </w:t>
      </w:r>
      <w:r>
        <w:rPr/>
        <w:t>GO;</w:t>
      </w:r>
      <w:r>
        <w:rPr>
          <w:spacing w:val="25"/>
        </w:rPr>
        <w:t> </w:t>
      </w:r>
      <w:r>
        <w:rPr/>
        <w:t>MG;</w:t>
      </w:r>
      <w:r>
        <w:rPr>
          <w:spacing w:val="23"/>
        </w:rPr>
        <w:t> </w:t>
      </w:r>
      <w:r>
        <w:rPr/>
        <w:t>MS;MT;</w:t>
      </w:r>
      <w:r>
        <w:rPr>
          <w:spacing w:val="25"/>
        </w:rPr>
        <w:t> </w:t>
      </w:r>
      <w:r>
        <w:rPr/>
        <w:t>PB;</w:t>
      </w:r>
      <w:r>
        <w:rPr>
          <w:spacing w:val="25"/>
        </w:rPr>
        <w:t> </w:t>
      </w:r>
      <w:r>
        <w:rPr/>
        <w:t>PE;</w:t>
      </w:r>
      <w:r>
        <w:rPr>
          <w:spacing w:val="24"/>
        </w:rPr>
        <w:t> </w:t>
      </w:r>
      <w:r>
        <w:rPr/>
        <w:t>PI;</w:t>
      </w:r>
      <w:r>
        <w:rPr>
          <w:spacing w:val="24"/>
        </w:rPr>
        <w:t> </w:t>
      </w:r>
      <w:r>
        <w:rPr/>
        <w:t>PR;</w:t>
      </w:r>
      <w:r>
        <w:rPr>
          <w:spacing w:val="23"/>
        </w:rPr>
        <w:t> </w:t>
      </w:r>
      <w:r>
        <w:rPr/>
        <w:t>RJ;</w:t>
      </w:r>
      <w:r>
        <w:rPr>
          <w:spacing w:val="26"/>
        </w:rPr>
        <w:t> </w:t>
      </w:r>
      <w:r>
        <w:rPr/>
        <w:t>RN;</w:t>
      </w:r>
      <w:r>
        <w:rPr>
          <w:spacing w:val="24"/>
        </w:rPr>
        <w:t> </w:t>
      </w:r>
      <w:r>
        <w:rPr/>
        <w:t>RO;</w:t>
      </w:r>
      <w:r>
        <w:rPr>
          <w:spacing w:val="26"/>
        </w:rPr>
        <w:t> </w:t>
      </w:r>
      <w:r>
        <w:rPr/>
        <w:t>RR;</w:t>
      </w:r>
      <w:r>
        <w:rPr>
          <w:spacing w:val="28"/>
        </w:rPr>
        <w:t> </w:t>
      </w:r>
      <w:r>
        <w:rPr/>
        <w:t>RS;</w:t>
      </w:r>
      <w:r>
        <w:rPr>
          <w:spacing w:val="23"/>
        </w:rPr>
        <w:t> </w:t>
      </w:r>
      <w:r>
        <w:rPr/>
        <w:t>SC;</w:t>
      </w:r>
      <w:r>
        <w:rPr>
          <w:spacing w:val="23"/>
        </w:rPr>
        <w:t> </w:t>
      </w:r>
      <w:r>
        <w:rPr/>
        <w:t>SE;</w:t>
      </w:r>
      <w:r>
        <w:rPr>
          <w:spacing w:val="26"/>
        </w:rPr>
        <w:t> </w:t>
      </w:r>
      <w:r>
        <w:rPr/>
        <w:t>SP</w:t>
      </w:r>
      <w:r>
        <w:rPr>
          <w:spacing w:val="25"/>
        </w:rPr>
        <w:t> </w:t>
      </w:r>
      <w:r>
        <w:rPr/>
        <w:t>e</w:t>
      </w:r>
      <w:r>
        <w:rPr>
          <w:spacing w:val="24"/>
        </w:rPr>
        <w:t> </w:t>
      </w:r>
      <w:r>
        <w:rPr/>
        <w:t>TO),</w:t>
      </w:r>
      <w:r>
        <w:rPr>
          <w:spacing w:val="26"/>
        </w:rPr>
        <w:t> </w:t>
      </w:r>
      <w:r>
        <w:rPr/>
        <w:t>o</w:t>
      </w:r>
      <w:r>
        <w:rPr>
          <w:spacing w:val="25"/>
        </w:rPr>
        <w:t> </w:t>
      </w:r>
      <w:r>
        <w:rPr>
          <w:spacing w:val="-2"/>
        </w:rPr>
        <w:t>CAU/PA</w:t>
      </w:r>
    </w:p>
    <w:p>
      <w:pPr>
        <w:pStyle w:val="BodyText"/>
        <w:spacing w:line="360" w:lineRule="auto" w:before="2"/>
        <w:ind w:left="118" w:right="145"/>
        <w:jc w:val="both"/>
      </w:pPr>
      <w:r>
        <w:rPr/>
        <w:t>aprovado na 104ª Reunião Plenária Ordinária, de 24 de setembro de 2020, o CAU/MA, na 105ª Reunião Plenária Ordinária, de 22 de outubro de 2020 e as Reprogramações Extraordinárias dos CAU/AM, CAU/AL, CAU/CE, CAU/ES, CAU/RN, aprovadas na Reunião Plenária Ordinária n° 106, realizada em 20 de novembro de 2020. Ressalta-se que os CAU/UF (PI e DF) realizaram uma Reprogramação Extraordinária, em data anterior à Reprogramação Ordinária de agosto 2020.</w:t>
      </w:r>
    </w:p>
    <w:p>
      <w:pPr>
        <w:pStyle w:val="BodyText"/>
        <w:spacing w:line="360" w:lineRule="auto" w:before="159"/>
        <w:ind w:left="118" w:right="142" w:firstLine="851"/>
        <w:jc w:val="both"/>
      </w:pPr>
      <w:r>
        <w:rPr/>
        <w:t>Comparativamente</w:t>
      </w:r>
      <w:r>
        <w:rPr>
          <w:spacing w:val="-7"/>
        </w:rPr>
        <w:t> </w:t>
      </w:r>
      <w:r>
        <w:rPr/>
        <w:t>à</w:t>
      </w:r>
      <w:r>
        <w:rPr>
          <w:spacing w:val="-10"/>
        </w:rPr>
        <w:t> </w:t>
      </w:r>
      <w:r>
        <w:rPr/>
        <w:t>Programação</w:t>
      </w:r>
      <w:r>
        <w:rPr>
          <w:spacing w:val="-5"/>
        </w:rPr>
        <w:t> </w:t>
      </w:r>
      <w:r>
        <w:rPr/>
        <w:t>anterior</w:t>
      </w:r>
      <w:r>
        <w:rPr>
          <w:spacing w:val="-9"/>
        </w:rPr>
        <w:t> </w:t>
      </w:r>
      <w:r>
        <w:rPr/>
        <w:t>aprovada,</w:t>
      </w:r>
      <w:r>
        <w:rPr>
          <w:spacing w:val="-7"/>
        </w:rPr>
        <w:t> </w:t>
      </w:r>
      <w:r>
        <w:rPr/>
        <w:t>para</w:t>
      </w:r>
      <w:r>
        <w:rPr>
          <w:spacing w:val="-7"/>
        </w:rPr>
        <w:t> </w:t>
      </w:r>
      <w:r>
        <w:rPr/>
        <w:t>2020</w:t>
      </w:r>
      <w:r>
        <w:rPr>
          <w:spacing w:val="-7"/>
        </w:rPr>
        <w:t> </w:t>
      </w:r>
      <w:r>
        <w:rPr/>
        <w:t>(R$</w:t>
      </w:r>
      <w:r>
        <w:rPr>
          <w:spacing w:val="-7"/>
        </w:rPr>
        <w:t> </w:t>
      </w:r>
      <w:r>
        <w:rPr/>
        <w:t>254,21</w:t>
      </w:r>
      <w:r>
        <w:rPr>
          <w:spacing w:val="-7"/>
        </w:rPr>
        <w:t> </w:t>
      </w:r>
      <w:r>
        <w:rPr/>
        <w:t>milhões),</w:t>
      </w:r>
      <w:r>
        <w:rPr>
          <w:spacing w:val="-8"/>
        </w:rPr>
        <w:t> </w:t>
      </w:r>
      <w:r>
        <w:rPr/>
        <w:t>esta proposta de Reprogramação apresenta uma variação negativa, de 13,2%, refletindo uma redução de recursos no montante de R$ 33,59 milhões (Gráficos 1 a 3; Anexos 1 e 3).</w:t>
      </w:r>
    </w:p>
    <w:p>
      <w:pPr>
        <w:pStyle w:val="BodyText"/>
        <w:spacing w:line="360" w:lineRule="auto" w:before="161"/>
        <w:ind w:left="118" w:right="145" w:firstLine="851"/>
        <w:jc w:val="both"/>
      </w:pPr>
      <w:r>
        <w:rPr/>
        <w:t>O</w:t>
      </w:r>
      <w:r>
        <w:rPr>
          <w:spacing w:val="-14"/>
        </w:rPr>
        <w:t> </w:t>
      </w:r>
      <w:r>
        <w:rPr/>
        <w:t>CAU/BR</w:t>
      </w:r>
      <w:r>
        <w:rPr>
          <w:spacing w:val="-11"/>
        </w:rPr>
        <w:t> </w:t>
      </w:r>
      <w:r>
        <w:rPr/>
        <w:t>apresenta</w:t>
      </w:r>
      <w:r>
        <w:rPr>
          <w:spacing w:val="-14"/>
        </w:rPr>
        <w:t> </w:t>
      </w:r>
      <w:r>
        <w:rPr/>
        <w:t>uma</w:t>
      </w:r>
      <w:r>
        <w:rPr>
          <w:spacing w:val="-12"/>
        </w:rPr>
        <w:t> </w:t>
      </w:r>
      <w:r>
        <w:rPr/>
        <w:t>variação</w:t>
      </w:r>
      <w:r>
        <w:rPr>
          <w:spacing w:val="-13"/>
        </w:rPr>
        <w:t> </w:t>
      </w:r>
      <w:r>
        <w:rPr/>
        <w:t>negativa</w:t>
      </w:r>
      <w:r>
        <w:rPr>
          <w:spacing w:val="-14"/>
        </w:rPr>
        <w:t> </w:t>
      </w:r>
      <w:r>
        <w:rPr/>
        <w:t>de</w:t>
      </w:r>
      <w:r>
        <w:rPr>
          <w:spacing w:val="-13"/>
        </w:rPr>
        <w:t> </w:t>
      </w:r>
      <w:r>
        <w:rPr/>
        <w:t>13,0%</w:t>
      </w:r>
      <w:r>
        <w:rPr>
          <w:spacing w:val="-13"/>
        </w:rPr>
        <w:t> </w:t>
      </w:r>
      <w:r>
        <w:rPr/>
        <w:t>frente</w:t>
      </w:r>
      <w:r>
        <w:rPr>
          <w:spacing w:val="-13"/>
        </w:rPr>
        <w:t> </w:t>
      </w:r>
      <w:r>
        <w:rPr/>
        <w:t>à</w:t>
      </w:r>
      <w:r>
        <w:rPr>
          <w:spacing w:val="-14"/>
        </w:rPr>
        <w:t> </w:t>
      </w:r>
      <w:r>
        <w:rPr/>
        <w:t>programação</w:t>
      </w:r>
      <w:r>
        <w:rPr>
          <w:spacing w:val="-12"/>
        </w:rPr>
        <w:t> </w:t>
      </w:r>
      <w:r>
        <w:rPr/>
        <w:t>atual</w:t>
      </w:r>
      <w:r>
        <w:rPr>
          <w:spacing w:val="-14"/>
        </w:rPr>
        <w:t> </w:t>
      </w:r>
      <w:r>
        <w:rPr/>
        <w:t>(R$</w:t>
      </w:r>
      <w:r>
        <w:rPr>
          <w:spacing w:val="-13"/>
        </w:rPr>
        <w:t> </w:t>
      </w:r>
      <w:r>
        <w:rPr/>
        <w:t>69,28 milhões), refletindo uma redução de R$ 8,98 milhões no montante dos recursos inicialmente previstos. Nos CAU/UF, verifica-se uma variação negativa de 13,3%, ou redução de recursos no montante de R$ 24,61 milhões à programação anteriormente prevista (Anexos 1 e 3).</w:t>
      </w:r>
    </w:p>
    <w:p>
      <w:pPr>
        <w:pStyle w:val="BodyText"/>
        <w:spacing w:line="360" w:lineRule="auto" w:before="160"/>
        <w:ind w:left="118" w:right="144" w:firstLine="851"/>
        <w:jc w:val="both"/>
      </w:pPr>
      <w:r>
        <w:rPr/>
        <w:t>As variações decorrem, basicamente, das </w:t>
      </w:r>
      <w:r>
        <w:rPr>
          <w:b/>
        </w:rPr>
        <w:t>reduções </w:t>
      </w:r>
      <w:r>
        <w:rPr/>
        <w:t>nas previsões das Aplicações Financeiras (44,9%); Outras Receitas (32,9%); Anuidades de Pessoa Jurídica do Exercício (25,7%); RRT (25,3%); Anuidades de Pessoa Física do Exercício (15,5%); Taxas e Multas (9,5%); e Fundo de apoio (5,9%); bem como</w:t>
      </w:r>
      <w:r>
        <w:rPr>
          <w:spacing w:val="-1"/>
        </w:rPr>
        <w:t> </w:t>
      </w:r>
      <w:r>
        <w:rPr/>
        <w:t>dos </w:t>
      </w:r>
      <w:r>
        <w:rPr>
          <w:b/>
        </w:rPr>
        <w:t>acréscimos </w:t>
      </w:r>
      <w:r>
        <w:rPr/>
        <w:t>em Anuidades</w:t>
      </w:r>
      <w:r>
        <w:rPr>
          <w:spacing w:val="-1"/>
        </w:rPr>
        <w:t> </w:t>
      </w:r>
      <w:r>
        <w:rPr/>
        <w:t>de Exercícios Anteriores de</w:t>
      </w:r>
      <w:r>
        <w:rPr>
          <w:spacing w:val="-1"/>
        </w:rPr>
        <w:t> </w:t>
      </w:r>
      <w:r>
        <w:rPr/>
        <w:t>Pessoa Jurídica (63,2%) e Anuidades de Exercícios Anteriores de Pessoa Física (44,6%).</w:t>
      </w:r>
    </w:p>
    <w:p>
      <w:pPr>
        <w:spacing w:after="0" w:line="360" w:lineRule="auto"/>
        <w:jc w:val="both"/>
        <w:sectPr>
          <w:pgSz w:w="11910" w:h="16840"/>
          <w:pgMar w:header="689" w:footer="261" w:top="1580" w:bottom="460" w:left="1300" w:right="700"/>
        </w:sectPr>
      </w:pPr>
    </w:p>
    <w:p>
      <w:pPr>
        <w:spacing w:before="14"/>
        <w:ind w:left="0" w:right="147" w:firstLine="0"/>
        <w:jc w:val="right"/>
        <w:rPr>
          <w:b/>
          <w:sz w:val="24"/>
        </w:rPr>
      </w:pPr>
      <w:bookmarkStart w:name="_bookmark4" w:id="5"/>
      <w:bookmarkEnd w:id="5"/>
      <w:r>
        <w:rPr/>
      </w:r>
      <w:r>
        <w:rPr>
          <w:b/>
          <w:sz w:val="24"/>
        </w:rPr>
        <w:t>Gráfico</w:t>
      </w:r>
      <w:r>
        <w:rPr>
          <w:b/>
          <w:spacing w:val="-5"/>
          <w:sz w:val="24"/>
        </w:rPr>
        <w:t> </w:t>
      </w:r>
      <w:r>
        <w:rPr>
          <w:b/>
          <w:sz w:val="24"/>
        </w:rPr>
        <w:t>1.</w:t>
      </w:r>
      <w:r>
        <w:rPr>
          <w:b/>
          <w:spacing w:val="-1"/>
          <w:sz w:val="24"/>
        </w:rPr>
        <w:t> </w:t>
      </w:r>
      <w:r>
        <w:rPr>
          <w:b/>
          <w:sz w:val="24"/>
        </w:rPr>
        <w:t>Demonstrativo</w:t>
      </w:r>
      <w:r>
        <w:rPr>
          <w:b/>
          <w:spacing w:val="-2"/>
          <w:sz w:val="24"/>
        </w:rPr>
        <w:t> </w:t>
      </w:r>
      <w:r>
        <w:rPr>
          <w:b/>
          <w:sz w:val="24"/>
        </w:rPr>
        <w:t>Comparativo</w:t>
      </w:r>
      <w:r>
        <w:rPr>
          <w:b/>
          <w:spacing w:val="-5"/>
          <w:sz w:val="24"/>
        </w:rPr>
        <w:t> </w:t>
      </w:r>
      <w:r>
        <w:rPr>
          <w:b/>
          <w:sz w:val="24"/>
        </w:rPr>
        <w:t>de</w:t>
      </w:r>
      <w:r>
        <w:rPr>
          <w:b/>
          <w:spacing w:val="-3"/>
          <w:sz w:val="24"/>
        </w:rPr>
        <w:t> </w:t>
      </w:r>
      <w:r>
        <w:rPr>
          <w:b/>
          <w:sz w:val="24"/>
        </w:rPr>
        <w:t>Fontes</w:t>
      </w:r>
      <w:r>
        <w:rPr>
          <w:b/>
          <w:spacing w:val="-3"/>
          <w:sz w:val="24"/>
        </w:rPr>
        <w:t> </w:t>
      </w:r>
      <w:r>
        <w:rPr>
          <w:b/>
          <w:sz w:val="24"/>
        </w:rPr>
        <w:t>de</w:t>
      </w:r>
      <w:r>
        <w:rPr>
          <w:b/>
          <w:spacing w:val="-4"/>
          <w:sz w:val="24"/>
        </w:rPr>
        <w:t> </w:t>
      </w:r>
      <w:r>
        <w:rPr>
          <w:b/>
          <w:sz w:val="24"/>
        </w:rPr>
        <w:t>Recursos</w:t>
      </w:r>
      <w:r>
        <w:rPr>
          <w:b/>
          <w:spacing w:val="3"/>
          <w:sz w:val="24"/>
        </w:rPr>
        <w:t> </w:t>
      </w:r>
      <w:r>
        <w:rPr>
          <w:b/>
          <w:sz w:val="24"/>
        </w:rPr>
        <w:t>do</w:t>
      </w:r>
      <w:r>
        <w:rPr>
          <w:b/>
          <w:spacing w:val="-2"/>
          <w:sz w:val="24"/>
        </w:rPr>
        <w:t> </w:t>
      </w:r>
      <w:r>
        <w:rPr>
          <w:b/>
          <w:sz w:val="24"/>
        </w:rPr>
        <w:t>CAU</w:t>
      </w:r>
      <w:r>
        <w:rPr>
          <w:b/>
          <w:spacing w:val="-5"/>
          <w:sz w:val="24"/>
        </w:rPr>
        <w:t> </w:t>
      </w:r>
      <w:r>
        <w:rPr>
          <w:b/>
          <w:sz w:val="24"/>
        </w:rPr>
        <w:t>(Programação</w:t>
      </w:r>
      <w:r>
        <w:rPr>
          <w:b/>
          <w:spacing w:val="-3"/>
          <w:sz w:val="24"/>
        </w:rPr>
        <w:t> </w:t>
      </w:r>
      <w:r>
        <w:rPr>
          <w:b/>
          <w:sz w:val="24"/>
        </w:rPr>
        <w:t>2020</w:t>
      </w:r>
      <w:r>
        <w:rPr>
          <w:b/>
          <w:spacing w:val="-3"/>
          <w:sz w:val="24"/>
        </w:rPr>
        <w:t> </w:t>
      </w:r>
      <w:r>
        <w:rPr>
          <w:b/>
          <w:spacing w:val="-10"/>
          <w:sz w:val="24"/>
        </w:rPr>
        <w:t>X</w:t>
      </w:r>
    </w:p>
    <w:p>
      <w:pPr>
        <w:spacing w:before="0"/>
        <w:ind w:left="0" w:right="144" w:firstLine="0"/>
        <w:jc w:val="right"/>
        <w:rPr>
          <w:b/>
          <w:sz w:val="24"/>
        </w:rPr>
      </w:pPr>
      <w:r>
        <w:rPr>
          <w:b/>
          <w:sz w:val="24"/>
        </w:rPr>
        <w:t>Reprogramação</w:t>
      </w:r>
      <w:r>
        <w:rPr>
          <w:b/>
          <w:spacing w:val="-7"/>
          <w:sz w:val="24"/>
        </w:rPr>
        <w:t> </w:t>
      </w:r>
      <w:r>
        <w:rPr>
          <w:b/>
          <w:spacing w:val="-4"/>
          <w:sz w:val="24"/>
        </w:rPr>
        <w:t>2020)</w:t>
      </w:r>
    </w:p>
    <w:p>
      <w:pPr>
        <w:pStyle w:val="BodyText"/>
        <w:spacing w:before="12"/>
        <w:rPr>
          <w:b/>
          <w:sz w:val="21"/>
        </w:rPr>
      </w:pPr>
      <w:r>
        <w:rPr/>
        <w:drawing>
          <wp:anchor distT="0" distB="0" distL="0" distR="0" allowOverlap="1" layoutInCell="1" locked="0" behindDoc="0" simplePos="0" relativeHeight="6">
            <wp:simplePos x="0" y="0"/>
            <wp:positionH relativeFrom="page">
              <wp:posOffset>900430</wp:posOffset>
            </wp:positionH>
            <wp:positionV relativeFrom="paragraph">
              <wp:posOffset>185713</wp:posOffset>
            </wp:positionV>
            <wp:extent cx="6151479" cy="3676078"/>
            <wp:effectExtent l="0" t="0" r="0" b="0"/>
            <wp:wrapTopAndBottom/>
            <wp:docPr id="3" name="image34.jpeg"/>
            <wp:cNvGraphicFramePr>
              <a:graphicFrameLocks noChangeAspect="1"/>
            </wp:cNvGraphicFramePr>
            <a:graphic>
              <a:graphicData uri="http://schemas.openxmlformats.org/drawingml/2006/picture">
                <pic:pic>
                  <pic:nvPicPr>
                    <pic:cNvPr id="4" name="image34.jpeg"/>
                    <pic:cNvPicPr/>
                  </pic:nvPicPr>
                  <pic:blipFill>
                    <a:blip r:embed="rId41" cstate="print"/>
                    <a:stretch>
                      <a:fillRect/>
                    </a:stretch>
                  </pic:blipFill>
                  <pic:spPr>
                    <a:xfrm>
                      <a:off x="0" y="0"/>
                      <a:ext cx="6151479" cy="3676078"/>
                    </a:xfrm>
                    <a:prstGeom prst="rect">
                      <a:avLst/>
                    </a:prstGeom>
                  </pic:spPr>
                </pic:pic>
              </a:graphicData>
            </a:graphic>
          </wp:anchor>
        </w:drawing>
      </w:r>
    </w:p>
    <w:p>
      <w:pPr>
        <w:pStyle w:val="BodyText"/>
        <w:spacing w:before="10"/>
        <w:rPr>
          <w:b/>
          <w:sz w:val="21"/>
        </w:rPr>
      </w:pPr>
    </w:p>
    <w:p>
      <w:pPr>
        <w:pStyle w:val="Heading4"/>
        <w:numPr>
          <w:ilvl w:val="1"/>
          <w:numId w:val="3"/>
        </w:numPr>
        <w:tabs>
          <w:tab w:pos="1420" w:val="left" w:leader="none"/>
        </w:tabs>
        <w:spacing w:line="240" w:lineRule="auto" w:before="0" w:after="0"/>
        <w:ind w:left="1419" w:right="0" w:hanging="450"/>
        <w:jc w:val="left"/>
      </w:pPr>
      <w:bookmarkStart w:name="_bookmark5" w:id="6"/>
      <w:bookmarkEnd w:id="6"/>
      <w:r>
        <w:rPr>
          <w:color w:val="006666"/>
        </w:rPr>
        <w:t>Do</w:t>
      </w:r>
      <w:r>
        <w:rPr>
          <w:color w:val="006666"/>
        </w:rPr>
        <w:t>s</w:t>
      </w:r>
      <w:r>
        <w:rPr>
          <w:color w:val="006666"/>
          <w:spacing w:val="-9"/>
        </w:rPr>
        <w:t> </w:t>
      </w:r>
      <w:r>
        <w:rPr>
          <w:color w:val="006666"/>
        </w:rPr>
        <w:t>Recursos</w:t>
      </w:r>
      <w:r>
        <w:rPr>
          <w:color w:val="006666"/>
          <w:spacing w:val="-6"/>
        </w:rPr>
        <w:t> </w:t>
      </w:r>
      <w:r>
        <w:rPr>
          <w:color w:val="006666"/>
        </w:rPr>
        <w:t>do</w:t>
      </w:r>
      <w:r>
        <w:rPr>
          <w:color w:val="006666"/>
          <w:spacing w:val="-6"/>
        </w:rPr>
        <w:t> </w:t>
      </w:r>
      <w:r>
        <w:rPr>
          <w:color w:val="006666"/>
          <w:spacing w:val="-2"/>
        </w:rPr>
        <w:t>CAU/BR</w:t>
      </w:r>
    </w:p>
    <w:p>
      <w:pPr>
        <w:pStyle w:val="BodyText"/>
        <w:spacing w:before="1"/>
        <w:rPr>
          <w:b/>
          <w:sz w:val="26"/>
        </w:rPr>
      </w:pPr>
    </w:p>
    <w:p>
      <w:pPr>
        <w:pStyle w:val="BodyText"/>
        <w:spacing w:line="360" w:lineRule="auto" w:before="1"/>
        <w:ind w:left="118" w:right="143" w:firstLine="851"/>
        <w:jc w:val="both"/>
      </w:pPr>
      <w:r>
        <w:rPr/>
        <w:t>Os recursos destinados ao CAU/BR, para o desenvolvimento dos Planos de Ação contemplados nesta proposta de Reprogramação para o exercício de 2020, totalizam R$ 60,31 milhões.</w:t>
      </w:r>
      <w:r>
        <w:rPr>
          <w:spacing w:val="-4"/>
        </w:rPr>
        <w:t> </w:t>
      </w:r>
      <w:r>
        <w:rPr/>
        <w:t>Em</w:t>
      </w:r>
      <w:r>
        <w:rPr>
          <w:spacing w:val="-5"/>
        </w:rPr>
        <w:t> </w:t>
      </w:r>
      <w:r>
        <w:rPr/>
        <w:t>comparação</w:t>
      </w:r>
      <w:r>
        <w:rPr>
          <w:spacing w:val="-5"/>
        </w:rPr>
        <w:t> </w:t>
      </w:r>
      <w:r>
        <w:rPr/>
        <w:t>ao</w:t>
      </w:r>
      <w:r>
        <w:rPr>
          <w:spacing w:val="-2"/>
        </w:rPr>
        <w:t> </w:t>
      </w:r>
      <w:r>
        <w:rPr/>
        <w:t>inicialmente</w:t>
      </w:r>
      <w:r>
        <w:rPr>
          <w:spacing w:val="-2"/>
        </w:rPr>
        <w:t> </w:t>
      </w:r>
      <w:r>
        <w:rPr/>
        <w:t>aprovado</w:t>
      </w:r>
      <w:r>
        <w:rPr>
          <w:spacing w:val="-2"/>
        </w:rPr>
        <w:t> </w:t>
      </w:r>
      <w:r>
        <w:rPr/>
        <w:t>para</w:t>
      </w:r>
      <w:r>
        <w:rPr>
          <w:spacing w:val="-4"/>
        </w:rPr>
        <w:t> </w:t>
      </w:r>
      <w:r>
        <w:rPr/>
        <w:t>este</w:t>
      </w:r>
      <w:r>
        <w:rPr>
          <w:spacing w:val="-2"/>
        </w:rPr>
        <w:t> </w:t>
      </w:r>
      <w:r>
        <w:rPr/>
        <w:t>exercício</w:t>
      </w:r>
      <w:r>
        <w:rPr>
          <w:spacing w:val="-2"/>
        </w:rPr>
        <w:t> </w:t>
      </w:r>
      <w:r>
        <w:rPr/>
        <w:t>(R$</w:t>
      </w:r>
      <w:r>
        <w:rPr>
          <w:spacing w:val="-3"/>
        </w:rPr>
        <w:t> </w:t>
      </w:r>
      <w:r>
        <w:rPr/>
        <w:t>69,28</w:t>
      </w:r>
      <w:r>
        <w:rPr>
          <w:spacing w:val="-4"/>
        </w:rPr>
        <w:t> </w:t>
      </w:r>
      <w:r>
        <w:rPr/>
        <w:t>milhões),</w:t>
      </w:r>
      <w:r>
        <w:rPr>
          <w:spacing w:val="-2"/>
        </w:rPr>
        <w:t> </w:t>
      </w:r>
      <w:r>
        <w:rPr/>
        <w:t>verifica- se</w:t>
      </w:r>
      <w:r>
        <w:rPr>
          <w:spacing w:val="-8"/>
        </w:rPr>
        <w:t> </w:t>
      </w:r>
      <w:r>
        <w:rPr/>
        <w:t>uma</w:t>
      </w:r>
      <w:r>
        <w:rPr>
          <w:spacing w:val="-8"/>
        </w:rPr>
        <w:t> </w:t>
      </w:r>
      <w:r>
        <w:rPr/>
        <w:t>variação</w:t>
      </w:r>
      <w:r>
        <w:rPr>
          <w:spacing w:val="-12"/>
        </w:rPr>
        <w:t> </w:t>
      </w:r>
      <w:r>
        <w:rPr/>
        <w:t>negativa</w:t>
      </w:r>
      <w:r>
        <w:rPr>
          <w:spacing w:val="-8"/>
        </w:rPr>
        <w:t> </w:t>
      </w:r>
      <w:r>
        <w:rPr/>
        <w:t>de</w:t>
      </w:r>
      <w:r>
        <w:rPr>
          <w:spacing w:val="-8"/>
        </w:rPr>
        <w:t> </w:t>
      </w:r>
      <w:r>
        <w:rPr/>
        <w:t>13,0%,</w:t>
      </w:r>
      <w:r>
        <w:rPr>
          <w:spacing w:val="-11"/>
        </w:rPr>
        <w:t> </w:t>
      </w:r>
      <w:r>
        <w:rPr/>
        <w:t>ou</w:t>
      </w:r>
      <w:r>
        <w:rPr>
          <w:spacing w:val="-10"/>
        </w:rPr>
        <w:t> </w:t>
      </w:r>
      <w:r>
        <w:rPr/>
        <w:t>um</w:t>
      </w:r>
      <w:r>
        <w:rPr>
          <w:spacing w:val="-8"/>
        </w:rPr>
        <w:t> </w:t>
      </w:r>
      <w:r>
        <w:rPr/>
        <w:t>decréscimo</w:t>
      </w:r>
      <w:r>
        <w:rPr>
          <w:spacing w:val="-8"/>
        </w:rPr>
        <w:t> </w:t>
      </w:r>
      <w:r>
        <w:rPr/>
        <w:t>de</w:t>
      </w:r>
      <w:r>
        <w:rPr>
          <w:spacing w:val="-8"/>
        </w:rPr>
        <w:t> </w:t>
      </w:r>
      <w:r>
        <w:rPr/>
        <w:t>R$</w:t>
      </w:r>
      <w:r>
        <w:rPr>
          <w:spacing w:val="-9"/>
        </w:rPr>
        <w:t> </w:t>
      </w:r>
      <w:r>
        <w:rPr/>
        <w:t>8,98</w:t>
      </w:r>
      <w:r>
        <w:rPr>
          <w:spacing w:val="-7"/>
        </w:rPr>
        <w:t> </w:t>
      </w:r>
      <w:r>
        <w:rPr/>
        <w:t>milhões</w:t>
      </w:r>
      <w:r>
        <w:rPr>
          <w:spacing w:val="-11"/>
        </w:rPr>
        <w:t> </w:t>
      </w:r>
      <w:r>
        <w:rPr/>
        <w:t>no</w:t>
      </w:r>
      <w:r>
        <w:rPr>
          <w:spacing w:val="-8"/>
        </w:rPr>
        <w:t> </w:t>
      </w:r>
      <w:r>
        <w:rPr/>
        <w:t>montante</w:t>
      </w:r>
      <w:r>
        <w:rPr>
          <w:spacing w:val="-10"/>
        </w:rPr>
        <w:t> </w:t>
      </w:r>
      <w:r>
        <w:rPr/>
        <w:t>de</w:t>
      </w:r>
      <w:r>
        <w:rPr>
          <w:spacing w:val="-8"/>
        </w:rPr>
        <w:t> </w:t>
      </w:r>
      <w:r>
        <w:rPr/>
        <w:t>recursos inicialmente previstos.</w:t>
      </w:r>
    </w:p>
    <w:p>
      <w:pPr>
        <w:spacing w:line="360" w:lineRule="auto" w:before="160"/>
        <w:ind w:left="118" w:right="143" w:firstLine="851"/>
        <w:jc w:val="both"/>
        <w:rPr>
          <w:sz w:val="24"/>
        </w:rPr>
      </w:pPr>
      <w:r>
        <w:rPr>
          <w:sz w:val="24"/>
        </w:rPr>
        <w:t>Das </w:t>
      </w:r>
      <w:r>
        <w:rPr>
          <w:b/>
          <w:sz w:val="24"/>
        </w:rPr>
        <w:t>Fontes de Recursos do CAU/BR </w:t>
      </w:r>
      <w:r>
        <w:rPr>
          <w:sz w:val="24"/>
        </w:rPr>
        <w:t>para suportar a realização das ações constantes no Plano de Ação reprogramado, representadas em </w:t>
      </w:r>
      <w:r>
        <w:rPr>
          <w:b/>
          <w:sz w:val="24"/>
        </w:rPr>
        <w:t>73 iniciativas estratégicas, 48,3% </w:t>
      </w:r>
      <w:r>
        <w:rPr>
          <w:sz w:val="24"/>
        </w:rPr>
        <w:t>dos recursos totais,</w:t>
      </w:r>
      <w:r>
        <w:rPr>
          <w:spacing w:val="-2"/>
          <w:sz w:val="24"/>
        </w:rPr>
        <w:t> </w:t>
      </w:r>
      <w:r>
        <w:rPr>
          <w:sz w:val="24"/>
        </w:rPr>
        <w:t>ou R$</w:t>
      </w:r>
      <w:r>
        <w:rPr>
          <w:spacing w:val="-2"/>
          <w:sz w:val="24"/>
        </w:rPr>
        <w:t> </w:t>
      </w:r>
      <w:r>
        <w:rPr>
          <w:sz w:val="24"/>
        </w:rPr>
        <w:t>29,10 milhões, advêm</w:t>
      </w:r>
      <w:r>
        <w:rPr>
          <w:spacing w:val="-1"/>
          <w:sz w:val="24"/>
        </w:rPr>
        <w:t> </w:t>
      </w:r>
      <w:r>
        <w:rPr>
          <w:sz w:val="24"/>
        </w:rPr>
        <w:t>das </w:t>
      </w:r>
      <w:r>
        <w:rPr>
          <w:b/>
          <w:sz w:val="24"/>
        </w:rPr>
        <w:t>receitas de arrecadação </w:t>
      </w:r>
      <w:r>
        <w:rPr>
          <w:sz w:val="24"/>
        </w:rPr>
        <w:t>(anuidades de</w:t>
      </w:r>
      <w:r>
        <w:rPr>
          <w:spacing w:val="-1"/>
          <w:sz w:val="24"/>
        </w:rPr>
        <w:t> </w:t>
      </w:r>
      <w:r>
        <w:rPr>
          <w:sz w:val="24"/>
        </w:rPr>
        <w:t>PF</w:t>
      </w:r>
      <w:r>
        <w:rPr>
          <w:spacing w:val="-1"/>
          <w:sz w:val="24"/>
        </w:rPr>
        <w:t> </w:t>
      </w:r>
      <w:r>
        <w:rPr>
          <w:sz w:val="24"/>
        </w:rPr>
        <w:t>e</w:t>
      </w:r>
      <w:r>
        <w:rPr>
          <w:spacing w:val="-1"/>
          <w:sz w:val="24"/>
        </w:rPr>
        <w:t> </w:t>
      </w:r>
      <w:r>
        <w:rPr>
          <w:sz w:val="24"/>
        </w:rPr>
        <w:t>PJ do</w:t>
      </w:r>
      <w:r>
        <w:rPr>
          <w:spacing w:val="-1"/>
          <w:sz w:val="24"/>
        </w:rPr>
        <w:t> </w:t>
      </w:r>
      <w:r>
        <w:rPr>
          <w:sz w:val="24"/>
        </w:rPr>
        <w:t>exercício e de exercícios anteriores, taxas e multas e RRT); </w:t>
      </w:r>
      <w:r>
        <w:rPr>
          <w:b/>
          <w:sz w:val="24"/>
        </w:rPr>
        <w:t>39,2% de saldos de exercícios anteriores</w:t>
      </w:r>
      <w:r>
        <w:rPr>
          <w:sz w:val="24"/>
        </w:rPr>
        <w:t>, ou R$ 23,67 milhões; </w:t>
      </w:r>
      <w:r>
        <w:rPr>
          <w:b/>
          <w:sz w:val="24"/>
        </w:rPr>
        <w:t>10,8% de outras receitas</w:t>
      </w:r>
      <w:r>
        <w:rPr>
          <w:sz w:val="24"/>
        </w:rPr>
        <w:t>, ou R$ 6,49 milhões (Ressarcimentos dos CAU/UF na programação</w:t>
      </w:r>
      <w:r>
        <w:rPr>
          <w:spacing w:val="-10"/>
          <w:sz w:val="24"/>
        </w:rPr>
        <w:t> </w:t>
      </w:r>
      <w:r>
        <w:rPr>
          <w:sz w:val="24"/>
        </w:rPr>
        <w:t>do</w:t>
      </w:r>
      <w:r>
        <w:rPr>
          <w:spacing w:val="-8"/>
          <w:sz w:val="24"/>
        </w:rPr>
        <w:t> </w:t>
      </w:r>
      <w:r>
        <w:rPr>
          <w:sz w:val="24"/>
        </w:rPr>
        <w:t>CSC</w:t>
      </w:r>
      <w:r>
        <w:rPr>
          <w:spacing w:val="-6"/>
          <w:sz w:val="24"/>
        </w:rPr>
        <w:t> </w:t>
      </w:r>
      <w:r>
        <w:rPr>
          <w:sz w:val="24"/>
        </w:rPr>
        <w:t>-</w:t>
      </w:r>
      <w:r>
        <w:rPr>
          <w:spacing w:val="-8"/>
          <w:sz w:val="24"/>
        </w:rPr>
        <w:t> </w:t>
      </w:r>
      <w:r>
        <w:rPr>
          <w:sz w:val="24"/>
        </w:rPr>
        <w:t>R$</w:t>
      </w:r>
      <w:r>
        <w:rPr>
          <w:spacing w:val="-9"/>
          <w:sz w:val="24"/>
        </w:rPr>
        <w:t> </w:t>
      </w:r>
      <w:r>
        <w:rPr>
          <w:sz w:val="24"/>
        </w:rPr>
        <w:t>4,34</w:t>
      </w:r>
      <w:r>
        <w:rPr>
          <w:spacing w:val="-8"/>
          <w:sz w:val="24"/>
        </w:rPr>
        <w:t> </w:t>
      </w:r>
      <w:r>
        <w:rPr>
          <w:sz w:val="24"/>
        </w:rPr>
        <w:t>milhões,</w:t>
      </w:r>
      <w:r>
        <w:rPr>
          <w:spacing w:val="-9"/>
          <w:sz w:val="24"/>
        </w:rPr>
        <w:t> </w:t>
      </w:r>
      <w:r>
        <w:rPr>
          <w:sz w:val="24"/>
        </w:rPr>
        <w:t>sendo:</w:t>
      </w:r>
      <w:r>
        <w:rPr>
          <w:spacing w:val="-8"/>
          <w:sz w:val="24"/>
        </w:rPr>
        <w:t> </w:t>
      </w:r>
      <w:r>
        <w:rPr>
          <w:sz w:val="24"/>
        </w:rPr>
        <w:t>R$</w:t>
      </w:r>
      <w:r>
        <w:rPr>
          <w:spacing w:val="-11"/>
          <w:sz w:val="24"/>
        </w:rPr>
        <w:t> </w:t>
      </w:r>
      <w:r>
        <w:rPr>
          <w:sz w:val="24"/>
        </w:rPr>
        <w:t>3,84</w:t>
      </w:r>
      <w:r>
        <w:rPr>
          <w:spacing w:val="-8"/>
          <w:sz w:val="24"/>
        </w:rPr>
        <w:t> </w:t>
      </w:r>
      <w:r>
        <w:rPr>
          <w:sz w:val="24"/>
        </w:rPr>
        <w:t>milhões</w:t>
      </w:r>
      <w:r>
        <w:rPr>
          <w:spacing w:val="-9"/>
          <w:sz w:val="24"/>
        </w:rPr>
        <w:t> </w:t>
      </w:r>
      <w:r>
        <w:rPr>
          <w:sz w:val="24"/>
        </w:rPr>
        <w:t>dos</w:t>
      </w:r>
      <w:r>
        <w:rPr>
          <w:spacing w:val="-8"/>
          <w:sz w:val="24"/>
        </w:rPr>
        <w:t> </w:t>
      </w:r>
      <w:r>
        <w:rPr>
          <w:sz w:val="24"/>
        </w:rPr>
        <w:t>serviços</w:t>
      </w:r>
      <w:r>
        <w:rPr>
          <w:spacing w:val="-7"/>
          <w:sz w:val="24"/>
        </w:rPr>
        <w:t> </w:t>
      </w:r>
      <w:r>
        <w:rPr>
          <w:sz w:val="24"/>
        </w:rPr>
        <w:t>essenciais;</w:t>
      </w:r>
      <w:r>
        <w:rPr>
          <w:spacing w:val="-4"/>
          <w:sz w:val="24"/>
        </w:rPr>
        <w:t> </w:t>
      </w:r>
      <w:r>
        <w:rPr>
          <w:sz w:val="24"/>
        </w:rPr>
        <w:t>R$</w:t>
      </w:r>
      <w:r>
        <w:rPr>
          <w:spacing w:val="-9"/>
          <w:sz w:val="24"/>
        </w:rPr>
        <w:t> </w:t>
      </w:r>
      <w:r>
        <w:rPr>
          <w:sz w:val="24"/>
        </w:rPr>
        <w:t>504,9</w:t>
      </w:r>
      <w:r>
        <w:rPr>
          <w:spacing w:val="-8"/>
          <w:sz w:val="24"/>
        </w:rPr>
        <w:t> </w:t>
      </w:r>
      <w:r>
        <w:rPr>
          <w:sz w:val="24"/>
        </w:rPr>
        <w:t>mil dos serviços de controle e cobrança; Utilização do Fundo de Reserva do CSC R$ 1,39 milhão; restituições</w:t>
      </w:r>
      <w:r>
        <w:rPr>
          <w:spacing w:val="-14"/>
          <w:sz w:val="24"/>
        </w:rPr>
        <w:t> </w:t>
      </w:r>
      <w:r>
        <w:rPr>
          <w:sz w:val="24"/>
        </w:rPr>
        <w:t>e</w:t>
      </w:r>
      <w:r>
        <w:rPr>
          <w:spacing w:val="-13"/>
          <w:sz w:val="24"/>
        </w:rPr>
        <w:t> </w:t>
      </w:r>
      <w:r>
        <w:rPr>
          <w:sz w:val="24"/>
        </w:rPr>
        <w:t>indenizações</w:t>
      </w:r>
      <w:r>
        <w:rPr>
          <w:spacing w:val="-10"/>
          <w:sz w:val="24"/>
        </w:rPr>
        <w:t> </w:t>
      </w:r>
      <w:r>
        <w:rPr>
          <w:sz w:val="24"/>
        </w:rPr>
        <w:t>-</w:t>
      </w:r>
      <w:r>
        <w:rPr>
          <w:spacing w:val="-13"/>
          <w:sz w:val="24"/>
        </w:rPr>
        <w:t> </w:t>
      </w:r>
      <w:r>
        <w:rPr>
          <w:sz w:val="24"/>
        </w:rPr>
        <w:t>R$</w:t>
      </w:r>
      <w:r>
        <w:rPr>
          <w:spacing w:val="-14"/>
          <w:sz w:val="24"/>
        </w:rPr>
        <w:t> </w:t>
      </w:r>
      <w:r>
        <w:rPr>
          <w:sz w:val="24"/>
        </w:rPr>
        <w:t>46</w:t>
      </w:r>
      <w:r>
        <w:rPr>
          <w:spacing w:val="-12"/>
          <w:sz w:val="24"/>
        </w:rPr>
        <w:t> </w:t>
      </w:r>
      <w:r>
        <w:rPr>
          <w:sz w:val="24"/>
        </w:rPr>
        <w:t>mil;</w:t>
      </w:r>
      <w:r>
        <w:rPr>
          <w:spacing w:val="-13"/>
          <w:sz w:val="24"/>
        </w:rPr>
        <w:t> </w:t>
      </w:r>
      <w:r>
        <w:rPr>
          <w:sz w:val="24"/>
        </w:rPr>
        <w:t>Carteiras</w:t>
      </w:r>
      <w:r>
        <w:rPr>
          <w:spacing w:val="-14"/>
          <w:sz w:val="24"/>
        </w:rPr>
        <w:t> </w:t>
      </w:r>
      <w:r>
        <w:rPr>
          <w:sz w:val="24"/>
        </w:rPr>
        <w:t>de</w:t>
      </w:r>
      <w:r>
        <w:rPr>
          <w:spacing w:val="-10"/>
          <w:sz w:val="24"/>
        </w:rPr>
        <w:t> </w:t>
      </w:r>
      <w:r>
        <w:rPr>
          <w:sz w:val="24"/>
        </w:rPr>
        <w:t>Identidade</w:t>
      </w:r>
      <w:r>
        <w:rPr>
          <w:spacing w:val="-13"/>
          <w:sz w:val="24"/>
        </w:rPr>
        <w:t> </w:t>
      </w:r>
      <w:r>
        <w:rPr>
          <w:sz w:val="24"/>
        </w:rPr>
        <w:t>Profissional</w:t>
      </w:r>
      <w:r>
        <w:rPr>
          <w:spacing w:val="-13"/>
          <w:sz w:val="24"/>
        </w:rPr>
        <w:t> </w:t>
      </w:r>
      <w:r>
        <w:rPr>
          <w:sz w:val="24"/>
        </w:rPr>
        <w:t>-</w:t>
      </w:r>
      <w:r>
        <w:rPr>
          <w:spacing w:val="-10"/>
          <w:sz w:val="24"/>
        </w:rPr>
        <w:t> </w:t>
      </w:r>
      <w:r>
        <w:rPr>
          <w:sz w:val="24"/>
        </w:rPr>
        <w:t>R$</w:t>
      </w:r>
      <w:r>
        <w:rPr>
          <w:spacing w:val="-14"/>
          <w:sz w:val="24"/>
        </w:rPr>
        <w:t> </w:t>
      </w:r>
      <w:r>
        <w:rPr>
          <w:sz w:val="24"/>
        </w:rPr>
        <w:t>637,0</w:t>
      </w:r>
      <w:r>
        <w:rPr>
          <w:spacing w:val="-12"/>
          <w:sz w:val="24"/>
        </w:rPr>
        <w:t> </w:t>
      </w:r>
      <w:r>
        <w:rPr>
          <w:sz w:val="24"/>
        </w:rPr>
        <w:t>mil</w:t>
      </w:r>
      <w:r>
        <w:rPr>
          <w:spacing w:val="-13"/>
          <w:sz w:val="24"/>
        </w:rPr>
        <w:t> </w:t>
      </w:r>
      <w:r>
        <w:rPr>
          <w:sz w:val="24"/>
        </w:rPr>
        <w:t>e</w:t>
      </w:r>
      <w:r>
        <w:rPr>
          <w:spacing w:val="-13"/>
          <w:sz w:val="24"/>
        </w:rPr>
        <w:t> </w:t>
      </w:r>
      <w:r>
        <w:rPr>
          <w:sz w:val="24"/>
        </w:rPr>
        <w:t>encontro de contas TAQ R$ 78,1 mil); e </w:t>
      </w:r>
      <w:r>
        <w:rPr>
          <w:b/>
          <w:sz w:val="24"/>
        </w:rPr>
        <w:t>1,7% de aplicações financeiras</w:t>
      </w:r>
      <w:r>
        <w:rPr>
          <w:sz w:val="24"/>
        </w:rPr>
        <w:t>, ou R$ 1,05 milhão. A representação gráfica apresenta-se no Gráfico 2.</w:t>
      </w:r>
    </w:p>
    <w:p>
      <w:pPr>
        <w:spacing w:after="0" w:line="360" w:lineRule="auto"/>
        <w:jc w:val="both"/>
        <w:rPr>
          <w:sz w:val="24"/>
        </w:rPr>
        <w:sectPr>
          <w:pgSz w:w="11910" w:h="16840"/>
          <w:pgMar w:header="689" w:footer="261" w:top="1580" w:bottom="460" w:left="1300" w:right="700"/>
        </w:sectPr>
      </w:pPr>
    </w:p>
    <w:p>
      <w:pPr>
        <w:spacing w:before="14"/>
        <w:ind w:left="5383" w:right="0" w:hanging="1366"/>
        <w:jc w:val="left"/>
        <w:rPr>
          <w:b/>
          <w:sz w:val="24"/>
        </w:rPr>
      </w:pPr>
      <w:bookmarkStart w:name="_bookmark6" w:id="7"/>
      <w:bookmarkEnd w:id="7"/>
      <w:r>
        <w:rPr/>
      </w:r>
      <w:r>
        <w:rPr>
          <w:b/>
          <w:sz w:val="24"/>
        </w:rPr>
        <w:t>Gráfico</w:t>
      </w:r>
      <w:r>
        <w:rPr>
          <w:b/>
          <w:spacing w:val="-2"/>
          <w:sz w:val="24"/>
        </w:rPr>
        <w:t> </w:t>
      </w:r>
      <w:r>
        <w:rPr>
          <w:b/>
          <w:sz w:val="24"/>
        </w:rPr>
        <w:t>2.</w:t>
      </w:r>
      <w:r>
        <w:rPr>
          <w:b/>
          <w:spacing w:val="-3"/>
          <w:sz w:val="24"/>
        </w:rPr>
        <w:t> </w:t>
      </w:r>
      <w:r>
        <w:rPr>
          <w:b/>
          <w:sz w:val="24"/>
        </w:rPr>
        <w:t>Composição</w:t>
      </w:r>
      <w:r>
        <w:rPr>
          <w:b/>
          <w:spacing w:val="-6"/>
          <w:sz w:val="24"/>
        </w:rPr>
        <w:t> </w:t>
      </w:r>
      <w:r>
        <w:rPr>
          <w:b/>
          <w:sz w:val="24"/>
        </w:rPr>
        <w:t>da</w:t>
      </w:r>
      <w:r>
        <w:rPr>
          <w:b/>
          <w:spacing w:val="-5"/>
          <w:sz w:val="24"/>
        </w:rPr>
        <w:t> </w:t>
      </w:r>
      <w:r>
        <w:rPr>
          <w:b/>
          <w:sz w:val="24"/>
        </w:rPr>
        <w:t>Origem</w:t>
      </w:r>
      <w:r>
        <w:rPr>
          <w:b/>
          <w:spacing w:val="-5"/>
          <w:sz w:val="24"/>
        </w:rPr>
        <w:t> </w:t>
      </w:r>
      <w:r>
        <w:rPr>
          <w:b/>
          <w:sz w:val="24"/>
        </w:rPr>
        <w:t>de</w:t>
      </w:r>
      <w:r>
        <w:rPr>
          <w:b/>
          <w:spacing w:val="-5"/>
          <w:sz w:val="24"/>
        </w:rPr>
        <w:t> </w:t>
      </w:r>
      <w:r>
        <w:rPr>
          <w:b/>
          <w:sz w:val="24"/>
        </w:rPr>
        <w:t>Recursos</w:t>
      </w:r>
      <w:r>
        <w:rPr>
          <w:b/>
          <w:spacing w:val="-3"/>
          <w:sz w:val="24"/>
        </w:rPr>
        <w:t> </w:t>
      </w:r>
      <w:r>
        <w:rPr>
          <w:b/>
          <w:sz w:val="24"/>
        </w:rPr>
        <w:t>do</w:t>
      </w:r>
      <w:r>
        <w:rPr>
          <w:b/>
          <w:spacing w:val="-3"/>
          <w:sz w:val="24"/>
        </w:rPr>
        <w:t> </w:t>
      </w:r>
      <w:r>
        <w:rPr>
          <w:b/>
          <w:sz w:val="24"/>
        </w:rPr>
        <w:t>CAU/BR (Programação</w:t>
      </w:r>
      <w:r>
        <w:rPr>
          <w:b/>
          <w:spacing w:val="-5"/>
          <w:sz w:val="24"/>
        </w:rPr>
        <w:t> </w:t>
      </w:r>
      <w:r>
        <w:rPr>
          <w:b/>
          <w:sz w:val="24"/>
        </w:rPr>
        <w:t>2020</w:t>
      </w:r>
      <w:r>
        <w:rPr>
          <w:b/>
          <w:spacing w:val="-2"/>
          <w:sz w:val="24"/>
        </w:rPr>
        <w:t> </w:t>
      </w:r>
      <w:r>
        <w:rPr>
          <w:b/>
          <w:sz w:val="24"/>
        </w:rPr>
        <w:t>X</w:t>
      </w:r>
      <w:r>
        <w:rPr>
          <w:b/>
          <w:spacing w:val="-5"/>
          <w:sz w:val="24"/>
        </w:rPr>
        <w:t> </w:t>
      </w:r>
      <w:r>
        <w:rPr>
          <w:b/>
          <w:sz w:val="24"/>
        </w:rPr>
        <w:t>Reprogramação</w:t>
      </w:r>
      <w:r>
        <w:rPr>
          <w:b/>
          <w:spacing w:val="-2"/>
          <w:sz w:val="24"/>
        </w:rPr>
        <w:t> 2020)</w:t>
      </w:r>
    </w:p>
    <w:p>
      <w:pPr>
        <w:pStyle w:val="BodyText"/>
        <w:ind w:left="119"/>
        <w:rPr>
          <w:sz w:val="20"/>
        </w:rPr>
      </w:pPr>
      <w:r>
        <w:rPr>
          <w:sz w:val="20"/>
        </w:rPr>
        <w:drawing>
          <wp:inline distT="0" distB="0" distL="0" distR="0">
            <wp:extent cx="6152053" cy="3676078"/>
            <wp:effectExtent l="0" t="0" r="0" b="0"/>
            <wp:docPr id="5" name="image35.jpeg"/>
            <wp:cNvGraphicFramePr>
              <a:graphicFrameLocks noChangeAspect="1"/>
            </wp:cNvGraphicFramePr>
            <a:graphic>
              <a:graphicData uri="http://schemas.openxmlformats.org/drawingml/2006/picture">
                <pic:pic>
                  <pic:nvPicPr>
                    <pic:cNvPr id="6" name="image35.jpeg"/>
                    <pic:cNvPicPr/>
                  </pic:nvPicPr>
                  <pic:blipFill>
                    <a:blip r:embed="rId42" cstate="print"/>
                    <a:stretch>
                      <a:fillRect/>
                    </a:stretch>
                  </pic:blipFill>
                  <pic:spPr>
                    <a:xfrm>
                      <a:off x="0" y="0"/>
                      <a:ext cx="6152053" cy="3676078"/>
                    </a:xfrm>
                    <a:prstGeom prst="rect">
                      <a:avLst/>
                    </a:prstGeom>
                  </pic:spPr>
                </pic:pic>
              </a:graphicData>
            </a:graphic>
          </wp:inline>
        </w:drawing>
      </w:r>
      <w:r>
        <w:rPr>
          <w:sz w:val="20"/>
        </w:rPr>
      </w:r>
    </w:p>
    <w:p>
      <w:pPr>
        <w:pStyle w:val="BodyText"/>
        <w:spacing w:before="9"/>
        <w:rPr>
          <w:b/>
          <w:sz w:val="21"/>
        </w:rPr>
      </w:pPr>
    </w:p>
    <w:p>
      <w:pPr>
        <w:pStyle w:val="Heading4"/>
        <w:numPr>
          <w:ilvl w:val="1"/>
          <w:numId w:val="3"/>
        </w:numPr>
        <w:tabs>
          <w:tab w:pos="1363" w:val="left" w:leader="none"/>
        </w:tabs>
        <w:spacing w:line="240" w:lineRule="auto" w:before="0" w:after="0"/>
        <w:ind w:left="1362" w:right="0" w:hanging="393"/>
        <w:jc w:val="left"/>
      </w:pPr>
      <w:bookmarkStart w:name="_bookmark7" w:id="8"/>
      <w:bookmarkEnd w:id="8"/>
      <w:r>
        <w:rPr>
          <w:color w:val="006666"/>
        </w:rPr>
        <w:t>Do</w:t>
      </w:r>
      <w:r>
        <w:rPr>
          <w:color w:val="006666"/>
        </w:rPr>
        <w:t>s</w:t>
      </w:r>
      <w:r>
        <w:rPr>
          <w:color w:val="006666"/>
          <w:spacing w:val="-7"/>
        </w:rPr>
        <w:t> </w:t>
      </w:r>
      <w:r>
        <w:rPr>
          <w:color w:val="006666"/>
        </w:rPr>
        <w:t>Recursos</w:t>
      </w:r>
      <w:r>
        <w:rPr>
          <w:color w:val="006666"/>
          <w:spacing w:val="-7"/>
        </w:rPr>
        <w:t> </w:t>
      </w:r>
      <w:r>
        <w:rPr>
          <w:color w:val="006666"/>
        </w:rPr>
        <w:t>do</w:t>
      </w:r>
      <w:r>
        <w:rPr>
          <w:color w:val="006666"/>
          <w:spacing w:val="-7"/>
        </w:rPr>
        <w:t> </w:t>
      </w:r>
      <w:r>
        <w:rPr>
          <w:color w:val="006666"/>
          <w:spacing w:val="-2"/>
        </w:rPr>
        <w:t>CAU/UF</w:t>
      </w:r>
    </w:p>
    <w:p>
      <w:pPr>
        <w:pStyle w:val="BodyText"/>
        <w:spacing w:before="1"/>
        <w:rPr>
          <w:b/>
          <w:sz w:val="26"/>
        </w:rPr>
      </w:pPr>
    </w:p>
    <w:p>
      <w:pPr>
        <w:pStyle w:val="BodyText"/>
        <w:spacing w:line="360" w:lineRule="auto"/>
        <w:ind w:left="118" w:right="145" w:firstLine="851"/>
        <w:jc w:val="both"/>
      </w:pPr>
      <w:r>
        <w:rPr/>
        <w:t>Os recursos destinados aos CAU/UF, para o desenvolvimento dos Planos de Ação contemplados nesta proposta de Reprogramação para o exercício de 2020, totalizam R$ 160,31 milhões. Comparativamente ao anteriormente aprovado para este exercício R$ 184,93 milhões, verifica-se</w:t>
      </w:r>
      <w:r>
        <w:rPr>
          <w:spacing w:val="-5"/>
        </w:rPr>
        <w:t> </w:t>
      </w:r>
      <w:r>
        <w:rPr/>
        <w:t>uma</w:t>
      </w:r>
      <w:r>
        <w:rPr>
          <w:spacing w:val="-2"/>
        </w:rPr>
        <w:t> </w:t>
      </w:r>
      <w:r>
        <w:rPr/>
        <w:t>variação</w:t>
      </w:r>
      <w:r>
        <w:rPr>
          <w:spacing w:val="-5"/>
        </w:rPr>
        <w:t> </w:t>
      </w:r>
      <w:r>
        <w:rPr/>
        <w:t>negativa</w:t>
      </w:r>
      <w:r>
        <w:rPr>
          <w:spacing w:val="-5"/>
        </w:rPr>
        <w:t> </w:t>
      </w:r>
      <w:r>
        <w:rPr/>
        <w:t>de</w:t>
      </w:r>
      <w:r>
        <w:rPr>
          <w:spacing w:val="-2"/>
        </w:rPr>
        <w:t> </w:t>
      </w:r>
      <w:r>
        <w:rPr/>
        <w:t>13,3%,</w:t>
      </w:r>
      <w:r>
        <w:rPr>
          <w:spacing w:val="-5"/>
        </w:rPr>
        <w:t> </w:t>
      </w:r>
      <w:r>
        <w:rPr/>
        <w:t>ou</w:t>
      </w:r>
      <w:r>
        <w:rPr>
          <w:spacing w:val="-4"/>
        </w:rPr>
        <w:t> </w:t>
      </w:r>
      <w:r>
        <w:rPr/>
        <w:t>uma</w:t>
      </w:r>
      <w:r>
        <w:rPr>
          <w:spacing w:val="-3"/>
        </w:rPr>
        <w:t> </w:t>
      </w:r>
      <w:r>
        <w:rPr/>
        <w:t>redução</w:t>
      </w:r>
      <w:r>
        <w:rPr>
          <w:spacing w:val="-2"/>
        </w:rPr>
        <w:t> </w:t>
      </w:r>
      <w:r>
        <w:rPr/>
        <w:t>de</w:t>
      </w:r>
      <w:r>
        <w:rPr>
          <w:spacing w:val="-2"/>
        </w:rPr>
        <w:t> </w:t>
      </w:r>
      <w:r>
        <w:rPr/>
        <w:t>R$</w:t>
      </w:r>
      <w:r>
        <w:rPr>
          <w:spacing w:val="-4"/>
        </w:rPr>
        <w:t> </w:t>
      </w:r>
      <w:r>
        <w:rPr/>
        <w:t>24,61</w:t>
      </w:r>
      <w:r>
        <w:rPr>
          <w:spacing w:val="-5"/>
        </w:rPr>
        <w:t> </w:t>
      </w:r>
      <w:r>
        <w:rPr/>
        <w:t>milhões</w:t>
      </w:r>
      <w:r>
        <w:rPr>
          <w:spacing w:val="-5"/>
        </w:rPr>
        <w:t> </w:t>
      </w:r>
      <w:r>
        <w:rPr/>
        <w:t>no</w:t>
      </w:r>
      <w:r>
        <w:rPr>
          <w:spacing w:val="-2"/>
        </w:rPr>
        <w:t> </w:t>
      </w:r>
      <w:r>
        <w:rPr/>
        <w:t>montante</w:t>
      </w:r>
      <w:r>
        <w:rPr>
          <w:spacing w:val="-5"/>
        </w:rPr>
        <w:t> </w:t>
      </w:r>
      <w:r>
        <w:rPr/>
        <w:t>dos recursos inicialmente destinados ao desenvolvimento</w:t>
      </w:r>
      <w:r>
        <w:rPr>
          <w:spacing w:val="-1"/>
        </w:rPr>
        <w:t> </w:t>
      </w:r>
      <w:r>
        <w:rPr/>
        <w:t>das programações. Vale ressaltar</w:t>
      </w:r>
      <w:r>
        <w:rPr>
          <w:spacing w:val="-1"/>
        </w:rPr>
        <w:t> </w:t>
      </w:r>
      <w:r>
        <w:rPr/>
        <w:t>que</w:t>
      </w:r>
      <w:r>
        <w:rPr>
          <w:spacing w:val="-1"/>
        </w:rPr>
        <w:t> </w:t>
      </w:r>
      <w:r>
        <w:rPr/>
        <w:t>para a Programação 2020, o CAU/DF e CAU/PI, os valores considerados são da 1ª Reprogramação Extraordinária</w:t>
      </w:r>
      <w:r>
        <w:rPr>
          <w:spacing w:val="-8"/>
        </w:rPr>
        <w:t> </w:t>
      </w:r>
      <w:r>
        <w:rPr/>
        <w:t>2020</w:t>
      </w:r>
      <w:r>
        <w:rPr>
          <w:spacing w:val="-6"/>
        </w:rPr>
        <w:t> </w:t>
      </w:r>
      <w:r>
        <w:rPr/>
        <w:t>aprovada</w:t>
      </w:r>
      <w:r>
        <w:rPr>
          <w:spacing w:val="-6"/>
        </w:rPr>
        <w:t> </w:t>
      </w:r>
      <w:r>
        <w:rPr/>
        <w:t>na</w:t>
      </w:r>
      <w:r>
        <w:rPr>
          <w:spacing w:val="-6"/>
        </w:rPr>
        <w:t> </w:t>
      </w:r>
      <w:r>
        <w:rPr/>
        <w:t>7ª</w:t>
      </w:r>
      <w:r>
        <w:rPr>
          <w:spacing w:val="-4"/>
        </w:rPr>
        <w:t> </w:t>
      </w:r>
      <w:r>
        <w:rPr/>
        <w:t>Reunião</w:t>
      </w:r>
      <w:r>
        <w:rPr>
          <w:spacing w:val="-8"/>
        </w:rPr>
        <w:t> </w:t>
      </w:r>
      <w:r>
        <w:rPr/>
        <w:t>Plenária</w:t>
      </w:r>
      <w:r>
        <w:rPr>
          <w:spacing w:val="-6"/>
        </w:rPr>
        <w:t> </w:t>
      </w:r>
      <w:r>
        <w:rPr/>
        <w:t>Extraordinária,</w:t>
      </w:r>
      <w:r>
        <w:rPr>
          <w:spacing w:val="-6"/>
        </w:rPr>
        <w:t> </w:t>
      </w:r>
      <w:r>
        <w:rPr/>
        <w:t>no</w:t>
      </w:r>
      <w:r>
        <w:rPr>
          <w:spacing w:val="-8"/>
        </w:rPr>
        <w:t> </w:t>
      </w:r>
      <w:r>
        <w:rPr/>
        <w:t>dia</w:t>
      </w:r>
      <w:r>
        <w:rPr>
          <w:spacing w:val="-6"/>
        </w:rPr>
        <w:t> </w:t>
      </w:r>
      <w:r>
        <w:rPr/>
        <w:t>30</w:t>
      </w:r>
      <w:r>
        <w:rPr>
          <w:spacing w:val="-5"/>
        </w:rPr>
        <w:t> </w:t>
      </w:r>
      <w:r>
        <w:rPr/>
        <w:t>de</w:t>
      </w:r>
      <w:r>
        <w:rPr>
          <w:spacing w:val="-5"/>
        </w:rPr>
        <w:t> </w:t>
      </w:r>
      <w:r>
        <w:rPr/>
        <w:t>abril</w:t>
      </w:r>
      <w:r>
        <w:rPr>
          <w:spacing w:val="-8"/>
        </w:rPr>
        <w:t> </w:t>
      </w:r>
      <w:r>
        <w:rPr/>
        <w:t>de</w:t>
      </w:r>
      <w:r>
        <w:rPr>
          <w:spacing w:val="-6"/>
        </w:rPr>
        <w:t> </w:t>
      </w:r>
      <w:r>
        <w:rPr/>
        <w:t>2020</w:t>
      </w:r>
      <w:r>
        <w:rPr>
          <w:spacing w:val="-5"/>
        </w:rPr>
        <w:t> </w:t>
      </w:r>
      <w:r>
        <w:rPr/>
        <w:t>e</w:t>
      </w:r>
      <w:r>
        <w:rPr>
          <w:spacing w:val="-8"/>
        </w:rPr>
        <w:t> </w:t>
      </w:r>
      <w:r>
        <w:rPr/>
        <w:t>os CAU/AM,</w:t>
      </w:r>
      <w:r>
        <w:rPr>
          <w:spacing w:val="-5"/>
        </w:rPr>
        <w:t> </w:t>
      </w:r>
      <w:r>
        <w:rPr/>
        <w:t>CAU/AL,</w:t>
      </w:r>
      <w:r>
        <w:rPr>
          <w:spacing w:val="-5"/>
        </w:rPr>
        <w:t> </w:t>
      </w:r>
      <w:r>
        <w:rPr/>
        <w:t>CAU/CE,</w:t>
      </w:r>
      <w:r>
        <w:rPr>
          <w:spacing w:val="-5"/>
        </w:rPr>
        <w:t> </w:t>
      </w:r>
      <w:r>
        <w:rPr/>
        <w:t>CAU/ES,</w:t>
      </w:r>
      <w:r>
        <w:rPr>
          <w:spacing w:val="-5"/>
        </w:rPr>
        <w:t> </w:t>
      </w:r>
      <w:r>
        <w:rPr/>
        <w:t>CAU/RN</w:t>
      </w:r>
      <w:r>
        <w:rPr>
          <w:spacing w:val="-5"/>
        </w:rPr>
        <w:t> </w:t>
      </w:r>
      <w:r>
        <w:rPr/>
        <w:t>constam</w:t>
      </w:r>
      <w:r>
        <w:rPr>
          <w:spacing w:val="-4"/>
        </w:rPr>
        <w:t> </w:t>
      </w:r>
      <w:r>
        <w:rPr/>
        <w:t>as</w:t>
      </w:r>
      <w:r>
        <w:rPr>
          <w:spacing w:val="-5"/>
        </w:rPr>
        <w:t> </w:t>
      </w:r>
      <w:r>
        <w:rPr/>
        <w:t>informações</w:t>
      </w:r>
      <w:r>
        <w:rPr>
          <w:spacing w:val="-4"/>
        </w:rPr>
        <w:t> </w:t>
      </w:r>
      <w:r>
        <w:rPr/>
        <w:t>da</w:t>
      </w:r>
      <w:r>
        <w:rPr>
          <w:spacing w:val="-7"/>
        </w:rPr>
        <w:t> </w:t>
      </w:r>
      <w:r>
        <w:rPr/>
        <w:t>Reprogramação</w:t>
      </w:r>
      <w:r>
        <w:rPr>
          <w:spacing w:val="-4"/>
        </w:rPr>
        <w:t> </w:t>
      </w:r>
      <w:r>
        <w:rPr/>
        <w:t>Ordinária aprovada em agosto/2020.</w:t>
      </w:r>
    </w:p>
    <w:p>
      <w:pPr>
        <w:spacing w:line="360" w:lineRule="auto" w:before="159"/>
        <w:ind w:left="118" w:right="145" w:firstLine="851"/>
        <w:jc w:val="both"/>
        <w:rPr>
          <w:sz w:val="24"/>
        </w:rPr>
      </w:pPr>
      <w:r>
        <w:rPr>
          <w:sz w:val="24"/>
        </w:rPr>
        <w:t>Das</w:t>
      </w:r>
      <w:r>
        <w:rPr>
          <w:spacing w:val="-1"/>
          <w:sz w:val="24"/>
        </w:rPr>
        <w:t> </w:t>
      </w:r>
      <w:r>
        <w:rPr>
          <w:b/>
          <w:sz w:val="24"/>
        </w:rPr>
        <w:t>Fontes</w:t>
      </w:r>
      <w:r>
        <w:rPr>
          <w:b/>
          <w:spacing w:val="-1"/>
          <w:sz w:val="24"/>
        </w:rPr>
        <w:t> </w:t>
      </w:r>
      <w:r>
        <w:rPr>
          <w:b/>
          <w:sz w:val="24"/>
        </w:rPr>
        <w:t>de</w:t>
      </w:r>
      <w:r>
        <w:rPr>
          <w:b/>
          <w:spacing w:val="-3"/>
          <w:sz w:val="24"/>
        </w:rPr>
        <w:t> </w:t>
      </w:r>
      <w:r>
        <w:rPr>
          <w:b/>
          <w:sz w:val="24"/>
        </w:rPr>
        <w:t>Recursos</w:t>
      </w:r>
      <w:r>
        <w:rPr>
          <w:b/>
          <w:spacing w:val="-2"/>
          <w:sz w:val="24"/>
        </w:rPr>
        <w:t> </w:t>
      </w:r>
      <w:r>
        <w:rPr>
          <w:sz w:val="24"/>
        </w:rPr>
        <w:t>para</w:t>
      </w:r>
      <w:r>
        <w:rPr>
          <w:spacing w:val="-1"/>
          <w:sz w:val="24"/>
        </w:rPr>
        <w:t> </w:t>
      </w:r>
      <w:r>
        <w:rPr>
          <w:sz w:val="24"/>
        </w:rPr>
        <w:t>suportar</w:t>
      </w:r>
      <w:r>
        <w:rPr>
          <w:spacing w:val="-1"/>
          <w:sz w:val="24"/>
        </w:rPr>
        <w:t> </w:t>
      </w:r>
      <w:r>
        <w:rPr>
          <w:sz w:val="24"/>
        </w:rPr>
        <w:t>a</w:t>
      </w:r>
      <w:r>
        <w:rPr>
          <w:spacing w:val="-2"/>
          <w:sz w:val="24"/>
        </w:rPr>
        <w:t> </w:t>
      </w:r>
      <w:r>
        <w:rPr>
          <w:sz w:val="24"/>
        </w:rPr>
        <w:t>realização</w:t>
      </w:r>
      <w:r>
        <w:rPr>
          <w:spacing w:val="-1"/>
          <w:sz w:val="24"/>
        </w:rPr>
        <w:t> </w:t>
      </w:r>
      <w:r>
        <w:rPr>
          <w:sz w:val="24"/>
        </w:rPr>
        <w:t>das</w:t>
      </w:r>
      <w:r>
        <w:rPr>
          <w:spacing w:val="-2"/>
          <w:sz w:val="24"/>
        </w:rPr>
        <w:t> </w:t>
      </w:r>
      <w:r>
        <w:rPr>
          <w:sz w:val="24"/>
        </w:rPr>
        <w:t>ações</w:t>
      </w:r>
      <w:r>
        <w:rPr>
          <w:spacing w:val="-1"/>
          <w:sz w:val="24"/>
        </w:rPr>
        <w:t> </w:t>
      </w:r>
      <w:r>
        <w:rPr>
          <w:sz w:val="24"/>
        </w:rPr>
        <w:t>constantes</w:t>
      </w:r>
      <w:r>
        <w:rPr>
          <w:spacing w:val="-3"/>
          <w:sz w:val="24"/>
        </w:rPr>
        <w:t> </w:t>
      </w:r>
      <w:r>
        <w:rPr>
          <w:sz w:val="24"/>
        </w:rPr>
        <w:t>no</w:t>
      </w:r>
      <w:r>
        <w:rPr>
          <w:spacing w:val="-1"/>
          <w:sz w:val="24"/>
        </w:rPr>
        <w:t> </w:t>
      </w:r>
      <w:r>
        <w:rPr>
          <w:sz w:val="24"/>
        </w:rPr>
        <w:t>Plano</w:t>
      </w:r>
      <w:r>
        <w:rPr>
          <w:spacing w:val="-1"/>
          <w:sz w:val="24"/>
        </w:rPr>
        <w:t> </w:t>
      </w:r>
      <w:r>
        <w:rPr>
          <w:sz w:val="24"/>
        </w:rPr>
        <w:t>de</w:t>
      </w:r>
      <w:r>
        <w:rPr>
          <w:spacing w:val="-3"/>
          <w:sz w:val="24"/>
        </w:rPr>
        <w:t> </w:t>
      </w:r>
      <w:r>
        <w:rPr>
          <w:sz w:val="24"/>
        </w:rPr>
        <w:t>Ação reprogramado,</w:t>
      </w:r>
      <w:r>
        <w:rPr>
          <w:spacing w:val="40"/>
          <w:sz w:val="24"/>
        </w:rPr>
        <w:t> </w:t>
      </w:r>
      <w:r>
        <w:rPr>
          <w:sz w:val="24"/>
        </w:rPr>
        <w:t>representadas</w:t>
      </w:r>
      <w:r>
        <w:rPr>
          <w:spacing w:val="40"/>
          <w:sz w:val="24"/>
        </w:rPr>
        <w:t> </w:t>
      </w:r>
      <w:r>
        <w:rPr>
          <w:sz w:val="24"/>
        </w:rPr>
        <w:t>em</w:t>
      </w:r>
      <w:r>
        <w:rPr>
          <w:spacing w:val="40"/>
          <w:sz w:val="24"/>
        </w:rPr>
        <w:t> </w:t>
      </w:r>
      <w:r>
        <w:rPr>
          <w:b/>
          <w:sz w:val="24"/>
        </w:rPr>
        <w:t>678</w:t>
      </w:r>
      <w:r>
        <w:rPr>
          <w:b/>
          <w:spacing w:val="40"/>
          <w:sz w:val="24"/>
        </w:rPr>
        <w:t> </w:t>
      </w:r>
      <w:r>
        <w:rPr>
          <w:b/>
          <w:sz w:val="24"/>
        </w:rPr>
        <w:t>iniciativas</w:t>
      </w:r>
      <w:r>
        <w:rPr>
          <w:b/>
          <w:spacing w:val="40"/>
          <w:sz w:val="24"/>
        </w:rPr>
        <w:t> </w:t>
      </w:r>
      <w:r>
        <w:rPr>
          <w:b/>
          <w:sz w:val="24"/>
        </w:rPr>
        <w:t>estratégicas</w:t>
      </w:r>
      <w:r>
        <w:rPr>
          <w:sz w:val="24"/>
        </w:rPr>
        <w:t>,</w:t>
      </w:r>
      <w:r>
        <w:rPr>
          <w:spacing w:val="40"/>
          <w:sz w:val="24"/>
        </w:rPr>
        <w:t> </w:t>
      </w:r>
      <w:r>
        <w:rPr>
          <w:b/>
          <w:sz w:val="24"/>
        </w:rPr>
        <w:t>73,4%</w:t>
      </w:r>
      <w:r>
        <w:rPr>
          <w:b/>
          <w:spacing w:val="40"/>
          <w:sz w:val="24"/>
        </w:rPr>
        <w:t> </w:t>
      </w:r>
      <w:r>
        <w:rPr>
          <w:sz w:val="24"/>
        </w:rPr>
        <w:t>dos</w:t>
      </w:r>
      <w:r>
        <w:rPr>
          <w:spacing w:val="40"/>
          <w:sz w:val="24"/>
        </w:rPr>
        <w:t> </w:t>
      </w:r>
      <w:r>
        <w:rPr>
          <w:sz w:val="24"/>
        </w:rPr>
        <w:t>recursos</w:t>
      </w:r>
      <w:r>
        <w:rPr>
          <w:spacing w:val="40"/>
          <w:sz w:val="24"/>
        </w:rPr>
        <w:t> </w:t>
      </w:r>
      <w:r>
        <w:rPr>
          <w:sz w:val="24"/>
        </w:rPr>
        <w:t>totais,</w:t>
      </w:r>
      <w:r>
        <w:rPr>
          <w:spacing w:val="40"/>
          <w:sz w:val="24"/>
        </w:rPr>
        <w:t> </w:t>
      </w:r>
      <w:r>
        <w:rPr>
          <w:sz w:val="24"/>
        </w:rPr>
        <w:t>ou</w:t>
      </w:r>
      <w:r>
        <w:rPr>
          <w:spacing w:val="40"/>
          <w:sz w:val="24"/>
        </w:rPr>
        <w:t> </w:t>
      </w:r>
      <w:r>
        <w:rPr>
          <w:sz w:val="24"/>
        </w:rPr>
        <w:t>R$ 117,70 milhões, advêm das </w:t>
      </w:r>
      <w:r>
        <w:rPr>
          <w:b/>
          <w:sz w:val="24"/>
        </w:rPr>
        <w:t>receitas de arrecadação </w:t>
      </w:r>
      <w:r>
        <w:rPr>
          <w:sz w:val="24"/>
        </w:rPr>
        <w:t>(anuidades de PF e PJ do exercício e de exercícios anteriores, taxas e multas</w:t>
      </w:r>
      <w:r>
        <w:rPr>
          <w:spacing w:val="-2"/>
          <w:sz w:val="24"/>
        </w:rPr>
        <w:t> </w:t>
      </w:r>
      <w:r>
        <w:rPr>
          <w:sz w:val="24"/>
        </w:rPr>
        <w:t>e RRT); </w:t>
      </w:r>
      <w:r>
        <w:rPr>
          <w:b/>
          <w:sz w:val="24"/>
        </w:rPr>
        <w:t>22,1% </w:t>
      </w:r>
      <w:r>
        <w:rPr>
          <w:sz w:val="24"/>
        </w:rPr>
        <w:t>de</w:t>
      </w:r>
      <w:r>
        <w:rPr>
          <w:spacing w:val="-1"/>
          <w:sz w:val="24"/>
        </w:rPr>
        <w:t> </w:t>
      </w:r>
      <w:r>
        <w:rPr>
          <w:b/>
          <w:sz w:val="24"/>
        </w:rPr>
        <w:t>saldos</w:t>
      </w:r>
      <w:r>
        <w:rPr>
          <w:b/>
          <w:spacing w:val="-1"/>
          <w:sz w:val="24"/>
        </w:rPr>
        <w:t> </w:t>
      </w:r>
      <w:r>
        <w:rPr>
          <w:b/>
          <w:sz w:val="24"/>
        </w:rPr>
        <w:t>de exercícios anteriores</w:t>
      </w:r>
      <w:r>
        <w:rPr>
          <w:sz w:val="24"/>
        </w:rPr>
        <w:t>,</w:t>
      </w:r>
      <w:r>
        <w:rPr>
          <w:spacing w:val="-2"/>
          <w:sz w:val="24"/>
        </w:rPr>
        <w:t> </w:t>
      </w:r>
      <w:r>
        <w:rPr>
          <w:sz w:val="24"/>
        </w:rPr>
        <w:t>ou R$</w:t>
      </w:r>
      <w:r>
        <w:rPr>
          <w:spacing w:val="-1"/>
          <w:sz w:val="24"/>
        </w:rPr>
        <w:t> </w:t>
      </w:r>
      <w:r>
        <w:rPr>
          <w:sz w:val="24"/>
        </w:rPr>
        <w:t>35,45 milhões;</w:t>
      </w:r>
      <w:r>
        <w:rPr>
          <w:spacing w:val="-1"/>
          <w:sz w:val="24"/>
        </w:rPr>
        <w:t> </w:t>
      </w:r>
      <w:r>
        <w:rPr>
          <w:b/>
          <w:sz w:val="24"/>
        </w:rPr>
        <w:t>1,9%</w:t>
      </w:r>
      <w:r>
        <w:rPr>
          <w:b/>
          <w:spacing w:val="-1"/>
          <w:sz w:val="24"/>
        </w:rPr>
        <w:t> </w:t>
      </w:r>
      <w:r>
        <w:rPr>
          <w:sz w:val="24"/>
        </w:rPr>
        <w:t>do </w:t>
      </w:r>
      <w:r>
        <w:rPr>
          <w:b/>
          <w:sz w:val="24"/>
        </w:rPr>
        <w:t>Fundo</w:t>
      </w:r>
      <w:r>
        <w:rPr>
          <w:b/>
          <w:spacing w:val="-1"/>
          <w:sz w:val="24"/>
        </w:rPr>
        <w:t> </w:t>
      </w:r>
      <w:r>
        <w:rPr>
          <w:b/>
          <w:sz w:val="24"/>
        </w:rPr>
        <w:t>de Apoio</w:t>
      </w:r>
      <w:r>
        <w:rPr>
          <w:b/>
          <w:spacing w:val="-1"/>
          <w:sz w:val="24"/>
        </w:rPr>
        <w:t> </w:t>
      </w:r>
      <w:r>
        <w:rPr>
          <w:b/>
          <w:sz w:val="24"/>
        </w:rPr>
        <w:t>Financeiro</w:t>
      </w:r>
      <w:r>
        <w:rPr>
          <w:b/>
          <w:spacing w:val="-1"/>
          <w:sz w:val="24"/>
        </w:rPr>
        <w:t> </w:t>
      </w:r>
      <w:r>
        <w:rPr>
          <w:b/>
          <w:sz w:val="24"/>
        </w:rPr>
        <w:t>aos</w:t>
      </w:r>
      <w:r>
        <w:rPr>
          <w:b/>
          <w:spacing w:val="-1"/>
          <w:sz w:val="24"/>
        </w:rPr>
        <w:t> </w:t>
      </w:r>
      <w:r>
        <w:rPr>
          <w:b/>
          <w:sz w:val="24"/>
        </w:rPr>
        <w:t>CAU/UF</w:t>
      </w:r>
      <w:r>
        <w:rPr>
          <w:sz w:val="24"/>
        </w:rPr>
        <w:t>, ou R$</w:t>
      </w:r>
      <w:r>
        <w:rPr>
          <w:spacing w:val="-2"/>
          <w:sz w:val="24"/>
        </w:rPr>
        <w:t> </w:t>
      </w:r>
      <w:r>
        <w:rPr>
          <w:sz w:val="24"/>
        </w:rPr>
        <w:t>3,13</w:t>
      </w:r>
      <w:r>
        <w:rPr>
          <w:spacing w:val="-1"/>
          <w:sz w:val="24"/>
        </w:rPr>
        <w:t> </w:t>
      </w:r>
      <w:r>
        <w:rPr>
          <w:sz w:val="24"/>
        </w:rPr>
        <w:t>milhões; </w:t>
      </w:r>
      <w:r>
        <w:rPr>
          <w:b/>
          <w:sz w:val="24"/>
        </w:rPr>
        <w:t>1,8%</w:t>
      </w:r>
      <w:r>
        <w:rPr>
          <w:b/>
          <w:spacing w:val="-1"/>
          <w:sz w:val="24"/>
        </w:rPr>
        <w:t> </w:t>
      </w:r>
      <w:r>
        <w:rPr>
          <w:sz w:val="24"/>
        </w:rPr>
        <w:t>de</w:t>
      </w:r>
      <w:r>
        <w:rPr>
          <w:spacing w:val="-1"/>
          <w:sz w:val="24"/>
        </w:rPr>
        <w:t> </w:t>
      </w:r>
      <w:r>
        <w:rPr>
          <w:b/>
          <w:sz w:val="24"/>
        </w:rPr>
        <w:t>aplicações financeiras</w:t>
      </w:r>
      <w:r>
        <w:rPr>
          <w:sz w:val="24"/>
        </w:rPr>
        <w:t>, ou R$ 2,94 milhões; e </w:t>
      </w:r>
      <w:r>
        <w:rPr>
          <w:b/>
          <w:sz w:val="24"/>
        </w:rPr>
        <w:t>0,7% </w:t>
      </w:r>
      <w:r>
        <w:rPr>
          <w:sz w:val="24"/>
        </w:rPr>
        <w:t>de </w:t>
      </w:r>
      <w:r>
        <w:rPr>
          <w:b/>
          <w:sz w:val="24"/>
        </w:rPr>
        <w:t>outras receitas</w:t>
      </w:r>
      <w:r>
        <w:rPr>
          <w:sz w:val="24"/>
        </w:rPr>
        <w:t>, ou R$ 1,10 milhão. A composição e a representação</w:t>
      </w:r>
      <w:r>
        <w:rPr>
          <w:spacing w:val="-9"/>
          <w:sz w:val="24"/>
        </w:rPr>
        <w:t> </w:t>
      </w:r>
      <w:r>
        <w:rPr>
          <w:sz w:val="24"/>
        </w:rPr>
        <w:t>gráfica</w:t>
      </w:r>
      <w:r>
        <w:rPr>
          <w:spacing w:val="-8"/>
          <w:sz w:val="24"/>
        </w:rPr>
        <w:t> </w:t>
      </w:r>
      <w:r>
        <w:rPr>
          <w:sz w:val="24"/>
        </w:rPr>
        <w:t>apresentam-se</w:t>
      </w:r>
      <w:r>
        <w:rPr>
          <w:spacing w:val="-11"/>
          <w:sz w:val="24"/>
        </w:rPr>
        <w:t> </w:t>
      </w:r>
      <w:r>
        <w:rPr>
          <w:sz w:val="24"/>
        </w:rPr>
        <w:t>no</w:t>
      </w:r>
      <w:r>
        <w:rPr>
          <w:spacing w:val="-9"/>
          <w:sz w:val="24"/>
        </w:rPr>
        <w:t> </w:t>
      </w:r>
      <w:r>
        <w:rPr>
          <w:sz w:val="24"/>
        </w:rPr>
        <w:t>Gráfico</w:t>
      </w:r>
      <w:r>
        <w:rPr>
          <w:spacing w:val="-9"/>
          <w:sz w:val="24"/>
        </w:rPr>
        <w:t> </w:t>
      </w:r>
      <w:r>
        <w:rPr>
          <w:sz w:val="24"/>
        </w:rPr>
        <w:t>3.</w:t>
      </w:r>
      <w:r>
        <w:rPr>
          <w:spacing w:val="-9"/>
          <w:sz w:val="24"/>
        </w:rPr>
        <w:t> </w:t>
      </w:r>
      <w:r>
        <w:rPr>
          <w:sz w:val="24"/>
        </w:rPr>
        <w:t>O</w:t>
      </w:r>
      <w:r>
        <w:rPr>
          <w:spacing w:val="-9"/>
          <w:sz w:val="24"/>
        </w:rPr>
        <w:t> </w:t>
      </w:r>
      <w:r>
        <w:rPr>
          <w:sz w:val="24"/>
        </w:rPr>
        <w:t>detalhamento</w:t>
      </w:r>
      <w:r>
        <w:rPr>
          <w:spacing w:val="-9"/>
          <w:sz w:val="24"/>
        </w:rPr>
        <w:t> </w:t>
      </w:r>
      <w:r>
        <w:rPr>
          <w:sz w:val="24"/>
        </w:rPr>
        <w:t>por</w:t>
      </w:r>
      <w:r>
        <w:rPr>
          <w:spacing w:val="-9"/>
          <w:sz w:val="24"/>
        </w:rPr>
        <w:t> </w:t>
      </w:r>
      <w:r>
        <w:rPr>
          <w:sz w:val="24"/>
        </w:rPr>
        <w:t>CAU/UF</w:t>
      </w:r>
      <w:r>
        <w:rPr>
          <w:spacing w:val="-9"/>
          <w:sz w:val="24"/>
        </w:rPr>
        <w:t> </w:t>
      </w:r>
      <w:r>
        <w:rPr>
          <w:sz w:val="24"/>
        </w:rPr>
        <w:t>consta</w:t>
      </w:r>
      <w:r>
        <w:rPr>
          <w:spacing w:val="-9"/>
          <w:sz w:val="24"/>
        </w:rPr>
        <w:t> </w:t>
      </w:r>
      <w:r>
        <w:rPr>
          <w:sz w:val="24"/>
        </w:rPr>
        <w:t>no</w:t>
      </w:r>
      <w:r>
        <w:rPr>
          <w:spacing w:val="-9"/>
          <w:sz w:val="24"/>
        </w:rPr>
        <w:t> </w:t>
      </w:r>
      <w:r>
        <w:rPr>
          <w:sz w:val="24"/>
        </w:rPr>
        <w:t>Anexo</w:t>
      </w:r>
      <w:r>
        <w:rPr>
          <w:spacing w:val="-10"/>
          <w:sz w:val="24"/>
        </w:rPr>
        <w:t> </w:t>
      </w:r>
      <w:r>
        <w:rPr>
          <w:sz w:val="24"/>
        </w:rPr>
        <w:t>2.</w:t>
      </w:r>
    </w:p>
    <w:p>
      <w:pPr>
        <w:spacing w:after="0" w:line="360" w:lineRule="auto"/>
        <w:jc w:val="both"/>
        <w:rPr>
          <w:sz w:val="24"/>
        </w:rPr>
        <w:sectPr>
          <w:pgSz w:w="11910" w:h="16840"/>
          <w:pgMar w:header="689" w:footer="261" w:top="1580" w:bottom="460" w:left="1300" w:right="700"/>
        </w:sectPr>
      </w:pPr>
    </w:p>
    <w:p>
      <w:pPr>
        <w:pStyle w:val="BodyText"/>
        <w:spacing w:before="11"/>
        <w:rPr>
          <w:sz w:val="20"/>
        </w:rPr>
      </w:pPr>
    </w:p>
    <w:p>
      <w:pPr>
        <w:pStyle w:val="Heading5"/>
        <w:spacing w:before="51"/>
        <w:ind w:left="5385" w:hanging="1765"/>
        <w:jc w:val="left"/>
      </w:pPr>
      <w:bookmarkStart w:name="_bookmark8" w:id="9"/>
      <w:bookmarkEnd w:id="9"/>
      <w:r>
        <w:rPr>
          <w:b w:val="0"/>
        </w:rPr>
      </w:r>
      <w:r>
        <w:rPr/>
        <w:t>Gráfico</w:t>
      </w:r>
      <w:r>
        <w:rPr>
          <w:spacing w:val="-4"/>
        </w:rPr>
        <w:t> </w:t>
      </w:r>
      <w:r>
        <w:rPr/>
        <w:t>3.</w:t>
      </w:r>
      <w:r>
        <w:rPr>
          <w:spacing w:val="-5"/>
        </w:rPr>
        <w:t> </w:t>
      </w:r>
      <w:r>
        <w:rPr/>
        <w:t>Demonstrativo</w:t>
      </w:r>
      <w:r>
        <w:rPr>
          <w:spacing w:val="-5"/>
        </w:rPr>
        <w:t> </w:t>
      </w:r>
      <w:r>
        <w:rPr/>
        <w:t>Comparativo</w:t>
      </w:r>
      <w:r>
        <w:rPr>
          <w:spacing w:val="-7"/>
        </w:rPr>
        <w:t> </w:t>
      </w:r>
      <w:r>
        <w:rPr/>
        <w:t>de</w:t>
      </w:r>
      <w:r>
        <w:rPr>
          <w:spacing w:val="-6"/>
        </w:rPr>
        <w:t> </w:t>
      </w:r>
      <w:r>
        <w:rPr/>
        <w:t>Fontes</w:t>
      </w:r>
      <w:r>
        <w:rPr>
          <w:spacing w:val="-1"/>
        </w:rPr>
        <w:t> </w:t>
      </w:r>
      <w:r>
        <w:rPr/>
        <w:t>dos</w:t>
      </w:r>
      <w:r>
        <w:rPr>
          <w:spacing w:val="-6"/>
        </w:rPr>
        <w:t> </w:t>
      </w:r>
      <w:r>
        <w:rPr/>
        <w:t>CAU/UF (Programação</w:t>
      </w:r>
      <w:r>
        <w:rPr>
          <w:spacing w:val="-6"/>
        </w:rPr>
        <w:t> </w:t>
      </w:r>
      <w:r>
        <w:rPr/>
        <w:t>2020</w:t>
      </w:r>
      <w:r>
        <w:rPr>
          <w:spacing w:val="-4"/>
        </w:rPr>
        <w:t> </w:t>
      </w:r>
      <w:r>
        <w:rPr/>
        <w:t>X</w:t>
      </w:r>
      <w:r>
        <w:rPr>
          <w:spacing w:val="-4"/>
        </w:rPr>
        <w:t> </w:t>
      </w:r>
      <w:r>
        <w:rPr/>
        <w:t>Reprogramação</w:t>
      </w:r>
      <w:r>
        <w:rPr>
          <w:spacing w:val="-3"/>
        </w:rPr>
        <w:t> </w:t>
      </w:r>
      <w:r>
        <w:rPr>
          <w:spacing w:val="-2"/>
        </w:rPr>
        <w:t>2020)</w:t>
      </w:r>
    </w:p>
    <w:p>
      <w:pPr>
        <w:pStyle w:val="BodyText"/>
        <w:ind w:left="129"/>
        <w:rPr>
          <w:sz w:val="20"/>
        </w:rPr>
      </w:pPr>
      <w:r>
        <w:rPr>
          <w:sz w:val="20"/>
        </w:rPr>
        <w:drawing>
          <wp:inline distT="0" distB="0" distL="0" distR="0">
            <wp:extent cx="6113051" cy="3810000"/>
            <wp:effectExtent l="0" t="0" r="0" b="0"/>
            <wp:docPr id="7" name="image36.jpeg"/>
            <wp:cNvGraphicFramePr>
              <a:graphicFrameLocks noChangeAspect="1"/>
            </wp:cNvGraphicFramePr>
            <a:graphic>
              <a:graphicData uri="http://schemas.openxmlformats.org/drawingml/2006/picture">
                <pic:pic>
                  <pic:nvPicPr>
                    <pic:cNvPr id="8" name="image36.jpeg"/>
                    <pic:cNvPicPr/>
                  </pic:nvPicPr>
                  <pic:blipFill>
                    <a:blip r:embed="rId43" cstate="print"/>
                    <a:stretch>
                      <a:fillRect/>
                    </a:stretch>
                  </pic:blipFill>
                  <pic:spPr>
                    <a:xfrm>
                      <a:off x="0" y="0"/>
                      <a:ext cx="6113051" cy="3810000"/>
                    </a:xfrm>
                    <a:prstGeom prst="rect">
                      <a:avLst/>
                    </a:prstGeom>
                  </pic:spPr>
                </pic:pic>
              </a:graphicData>
            </a:graphic>
          </wp:inline>
        </w:drawing>
      </w:r>
      <w:r>
        <w:rPr>
          <w:sz w:val="20"/>
        </w:rPr>
      </w:r>
    </w:p>
    <w:p>
      <w:pPr>
        <w:pStyle w:val="BodyText"/>
        <w:spacing w:before="3"/>
        <w:rPr>
          <w:b/>
        </w:rPr>
      </w:pPr>
    </w:p>
    <w:p>
      <w:pPr>
        <w:pStyle w:val="BodyText"/>
        <w:spacing w:line="360" w:lineRule="auto"/>
        <w:ind w:left="118" w:right="148" w:firstLine="851"/>
        <w:jc w:val="both"/>
      </w:pPr>
      <w:r>
        <w:rPr/>
        <w:t>No Plano de Ação reprogramado para 2020, os recursos oriundos do Fundo de Apoio destinados à complementação das fontes de receitas necessárias à plena operação dos CAU/UF, enquadrados como CAU Básico, são da ordem de R$ 3,13 milhões.</w:t>
      </w:r>
    </w:p>
    <w:p>
      <w:pPr>
        <w:pStyle w:val="BodyText"/>
        <w:spacing w:line="360" w:lineRule="auto" w:before="160"/>
        <w:ind w:left="118" w:right="143" w:firstLine="851"/>
        <w:jc w:val="both"/>
      </w:pPr>
      <w:r>
        <w:rPr/>
        <w:t>Pelas propostas de Reprogramação apresentadas pelos CAU Básico, os recursos do Fundo de</w:t>
      </w:r>
      <w:r>
        <w:rPr>
          <w:spacing w:val="-8"/>
        </w:rPr>
        <w:t> </w:t>
      </w:r>
      <w:r>
        <w:rPr/>
        <w:t>Apoio</w:t>
      </w:r>
      <w:r>
        <w:rPr>
          <w:spacing w:val="-8"/>
        </w:rPr>
        <w:t> </w:t>
      </w:r>
      <w:r>
        <w:rPr/>
        <w:t>Financeiro</w:t>
      </w:r>
      <w:r>
        <w:rPr>
          <w:spacing w:val="-8"/>
        </w:rPr>
        <w:t> </w:t>
      </w:r>
      <w:r>
        <w:rPr/>
        <w:t>aos</w:t>
      </w:r>
      <w:r>
        <w:rPr>
          <w:spacing w:val="-11"/>
        </w:rPr>
        <w:t> </w:t>
      </w:r>
      <w:r>
        <w:rPr/>
        <w:t>CAU/UF</w:t>
      </w:r>
      <w:r>
        <w:rPr>
          <w:spacing w:val="-9"/>
        </w:rPr>
        <w:t> </w:t>
      </w:r>
      <w:r>
        <w:rPr/>
        <w:t>alocados</w:t>
      </w:r>
      <w:r>
        <w:rPr>
          <w:spacing w:val="-8"/>
        </w:rPr>
        <w:t> </w:t>
      </w:r>
      <w:r>
        <w:rPr/>
        <w:t>às</w:t>
      </w:r>
      <w:r>
        <w:rPr>
          <w:spacing w:val="-9"/>
        </w:rPr>
        <w:t> </w:t>
      </w:r>
      <w:r>
        <w:rPr/>
        <w:t>suas</w:t>
      </w:r>
      <w:r>
        <w:rPr>
          <w:spacing w:val="-11"/>
        </w:rPr>
        <w:t> </w:t>
      </w:r>
      <w:r>
        <w:rPr/>
        <w:t>reprogramações,</w:t>
      </w:r>
      <w:r>
        <w:rPr>
          <w:spacing w:val="-7"/>
        </w:rPr>
        <w:t> </w:t>
      </w:r>
      <w:r>
        <w:rPr/>
        <w:t>representam</w:t>
      </w:r>
      <w:r>
        <w:rPr>
          <w:spacing w:val="-10"/>
        </w:rPr>
        <w:t> </w:t>
      </w:r>
      <w:r>
        <w:rPr/>
        <w:t>28,7%</w:t>
      </w:r>
      <w:r>
        <w:rPr>
          <w:spacing w:val="-10"/>
        </w:rPr>
        <w:t> </w:t>
      </w:r>
      <w:r>
        <w:rPr/>
        <w:t>do</w:t>
      </w:r>
      <w:r>
        <w:rPr>
          <w:spacing w:val="-11"/>
        </w:rPr>
        <w:t> </w:t>
      </w:r>
      <w:r>
        <w:rPr/>
        <w:t>total</w:t>
      </w:r>
      <w:r>
        <w:rPr>
          <w:spacing w:val="-9"/>
        </w:rPr>
        <w:t> </w:t>
      </w:r>
      <w:r>
        <w:rPr/>
        <w:t>dos recursos</w:t>
      </w:r>
      <w:r>
        <w:rPr>
          <w:spacing w:val="-7"/>
        </w:rPr>
        <w:t> </w:t>
      </w:r>
      <w:r>
        <w:rPr/>
        <w:t>envolvidos</w:t>
      </w:r>
      <w:r>
        <w:rPr>
          <w:spacing w:val="-6"/>
        </w:rPr>
        <w:t> </w:t>
      </w:r>
      <w:r>
        <w:rPr/>
        <w:t>na</w:t>
      </w:r>
      <w:r>
        <w:rPr>
          <w:spacing w:val="-6"/>
        </w:rPr>
        <w:t> </w:t>
      </w:r>
      <w:r>
        <w:rPr/>
        <w:t>execução</w:t>
      </w:r>
      <w:r>
        <w:rPr>
          <w:spacing w:val="-3"/>
        </w:rPr>
        <w:t> </w:t>
      </w:r>
      <w:r>
        <w:rPr/>
        <w:t>de</w:t>
      </w:r>
      <w:r>
        <w:rPr>
          <w:spacing w:val="-3"/>
        </w:rPr>
        <w:t> </w:t>
      </w:r>
      <w:r>
        <w:rPr/>
        <w:t>seus</w:t>
      </w:r>
      <w:r>
        <w:rPr>
          <w:spacing w:val="-7"/>
        </w:rPr>
        <w:t> </w:t>
      </w:r>
      <w:r>
        <w:rPr/>
        <w:t>Planos</w:t>
      </w:r>
      <w:r>
        <w:rPr>
          <w:spacing w:val="-6"/>
        </w:rPr>
        <w:t> </w:t>
      </w:r>
      <w:r>
        <w:rPr/>
        <w:t>de</w:t>
      </w:r>
      <w:r>
        <w:rPr>
          <w:spacing w:val="-3"/>
        </w:rPr>
        <w:t> </w:t>
      </w:r>
      <w:r>
        <w:rPr/>
        <w:t>Ação,</w:t>
      </w:r>
      <w:r>
        <w:rPr>
          <w:spacing w:val="-6"/>
        </w:rPr>
        <w:t> </w:t>
      </w:r>
      <w:r>
        <w:rPr/>
        <w:t>ou</w:t>
      </w:r>
      <w:r>
        <w:rPr>
          <w:spacing w:val="-5"/>
        </w:rPr>
        <w:t> </w:t>
      </w:r>
      <w:r>
        <w:rPr/>
        <w:t>seja</w:t>
      </w:r>
      <w:r>
        <w:rPr>
          <w:spacing w:val="-6"/>
        </w:rPr>
        <w:t> </w:t>
      </w:r>
      <w:r>
        <w:rPr/>
        <w:t>R$</w:t>
      </w:r>
      <w:r>
        <w:rPr>
          <w:spacing w:val="-4"/>
        </w:rPr>
        <w:t> </w:t>
      </w:r>
      <w:r>
        <w:rPr/>
        <w:t>10,88</w:t>
      </w:r>
      <w:r>
        <w:rPr>
          <w:spacing w:val="-8"/>
        </w:rPr>
        <w:t> </w:t>
      </w:r>
      <w:r>
        <w:rPr/>
        <w:t>milhões.</w:t>
      </w:r>
      <w:r>
        <w:rPr>
          <w:spacing w:val="-7"/>
        </w:rPr>
        <w:t> </w:t>
      </w:r>
      <w:r>
        <w:rPr/>
        <w:t>A</w:t>
      </w:r>
      <w:r>
        <w:rPr>
          <w:spacing w:val="-6"/>
        </w:rPr>
        <w:t> </w:t>
      </w:r>
      <w:r>
        <w:rPr/>
        <w:t>composição</w:t>
      </w:r>
      <w:r>
        <w:rPr>
          <w:spacing w:val="-6"/>
        </w:rPr>
        <w:t> </w:t>
      </w:r>
      <w:r>
        <w:rPr/>
        <w:t>e demonstrativo dos recursos do Fundo de Apoio direcionados aos CAU Básico apresenta-se no Quadro 1.</w:t>
      </w:r>
    </w:p>
    <w:p>
      <w:pPr>
        <w:spacing w:after="0" w:line="360" w:lineRule="auto"/>
        <w:jc w:val="both"/>
        <w:sectPr>
          <w:pgSz w:w="11910" w:h="16840"/>
          <w:pgMar w:header="689" w:footer="261" w:top="1580" w:bottom="460" w:left="1300" w:right="700"/>
        </w:sectPr>
      </w:pPr>
    </w:p>
    <w:p>
      <w:pPr>
        <w:pStyle w:val="Heading5"/>
        <w:spacing w:before="14"/>
        <w:ind w:left="538"/>
        <w:jc w:val="left"/>
      </w:pPr>
      <w:bookmarkStart w:name="_bookmark9" w:id="10"/>
      <w:bookmarkEnd w:id="10"/>
      <w:r>
        <w:rPr>
          <w:b w:val="0"/>
        </w:rPr>
      </w:r>
      <w:r>
        <w:rPr/>
        <w:t>Quadro</w:t>
      </w:r>
      <w:r>
        <w:rPr>
          <w:spacing w:val="-4"/>
        </w:rPr>
        <w:t> </w:t>
      </w:r>
      <w:r>
        <w:rPr/>
        <w:t>1.</w:t>
      </w:r>
      <w:r>
        <w:rPr>
          <w:spacing w:val="-4"/>
        </w:rPr>
        <w:t> </w:t>
      </w:r>
      <w:r>
        <w:rPr/>
        <w:t>Demonstrativo</w:t>
      </w:r>
      <w:r>
        <w:rPr>
          <w:spacing w:val="-3"/>
        </w:rPr>
        <w:t> </w:t>
      </w:r>
      <w:r>
        <w:rPr/>
        <w:t>de</w:t>
      </w:r>
      <w:r>
        <w:rPr>
          <w:spacing w:val="-4"/>
        </w:rPr>
        <w:t> </w:t>
      </w:r>
      <w:r>
        <w:rPr/>
        <w:t>Disponibilizações</w:t>
      </w:r>
      <w:r>
        <w:rPr>
          <w:spacing w:val="-4"/>
        </w:rPr>
        <w:t> </w:t>
      </w:r>
      <w:r>
        <w:rPr/>
        <w:t>e</w:t>
      </w:r>
      <w:r>
        <w:rPr>
          <w:spacing w:val="-6"/>
        </w:rPr>
        <w:t> </w:t>
      </w:r>
      <w:r>
        <w:rPr/>
        <w:t>Utilizações</w:t>
      </w:r>
      <w:r>
        <w:rPr>
          <w:spacing w:val="-3"/>
        </w:rPr>
        <w:t> </w:t>
      </w:r>
      <w:r>
        <w:rPr/>
        <w:t>dos</w:t>
      </w:r>
      <w:r>
        <w:rPr>
          <w:spacing w:val="-5"/>
        </w:rPr>
        <w:t> </w:t>
      </w:r>
      <w:r>
        <w:rPr/>
        <w:t>Recursos</w:t>
      </w:r>
      <w:r>
        <w:rPr>
          <w:spacing w:val="-5"/>
        </w:rPr>
        <w:t> </w:t>
      </w:r>
      <w:r>
        <w:rPr/>
        <w:t>do</w:t>
      </w:r>
      <w:r>
        <w:rPr>
          <w:spacing w:val="-3"/>
        </w:rPr>
        <w:t> </w:t>
      </w:r>
      <w:r>
        <w:rPr/>
        <w:t>Fundo</w:t>
      </w:r>
      <w:r>
        <w:rPr>
          <w:spacing w:val="-2"/>
        </w:rPr>
        <w:t> </w:t>
      </w:r>
      <w:r>
        <w:rPr/>
        <w:t>de</w:t>
      </w:r>
      <w:r>
        <w:rPr>
          <w:spacing w:val="-6"/>
        </w:rPr>
        <w:t> </w:t>
      </w:r>
      <w:r>
        <w:rPr>
          <w:spacing w:val="-2"/>
        </w:rPr>
        <w:t>Apoio</w:t>
      </w:r>
    </w:p>
    <w:p>
      <w:pPr>
        <w:spacing w:before="2"/>
        <w:ind w:left="0" w:right="149"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18"/>
        <w:rPr>
          <w:sz w:val="20"/>
        </w:rPr>
      </w:pPr>
      <w:r>
        <w:rPr>
          <w:sz w:val="20"/>
        </w:rPr>
        <w:drawing>
          <wp:inline distT="0" distB="0" distL="0" distR="0">
            <wp:extent cx="6174927" cy="3296983"/>
            <wp:effectExtent l="0" t="0" r="0" b="0"/>
            <wp:docPr id="9" name="image37.png"/>
            <wp:cNvGraphicFramePr>
              <a:graphicFrameLocks noChangeAspect="1"/>
            </wp:cNvGraphicFramePr>
            <a:graphic>
              <a:graphicData uri="http://schemas.openxmlformats.org/drawingml/2006/picture">
                <pic:pic>
                  <pic:nvPicPr>
                    <pic:cNvPr id="10" name="image37.png"/>
                    <pic:cNvPicPr/>
                  </pic:nvPicPr>
                  <pic:blipFill>
                    <a:blip r:embed="rId44" cstate="print"/>
                    <a:stretch>
                      <a:fillRect/>
                    </a:stretch>
                  </pic:blipFill>
                  <pic:spPr>
                    <a:xfrm>
                      <a:off x="0" y="0"/>
                      <a:ext cx="6174927" cy="329698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spacing w:line="360" w:lineRule="auto" w:before="126"/>
        <w:ind w:left="118" w:right="143" w:firstLine="719"/>
        <w:jc w:val="both"/>
      </w:pPr>
      <w:r>
        <w:rPr/>
        <w:t>Diante da pandemia, é importante destacar que Deliberação Plenária DPOBR Nº 0102- 10/2020, aprovou:</w:t>
      </w:r>
    </w:p>
    <w:p>
      <w:pPr>
        <w:pStyle w:val="ListParagraph"/>
        <w:numPr>
          <w:ilvl w:val="2"/>
          <w:numId w:val="3"/>
        </w:numPr>
        <w:tabs>
          <w:tab w:pos="1699" w:val="left" w:leader="none"/>
        </w:tabs>
        <w:spacing w:line="360" w:lineRule="auto" w:before="161" w:after="0"/>
        <w:ind w:left="118" w:right="150" w:firstLine="1353"/>
        <w:jc w:val="both"/>
        <w:rPr>
          <w:sz w:val="24"/>
        </w:rPr>
      </w:pPr>
      <w:r>
        <w:rPr>
          <w:sz w:val="24"/>
        </w:rPr>
        <w:t>a</w:t>
      </w:r>
      <w:r>
        <w:rPr>
          <w:spacing w:val="-14"/>
          <w:sz w:val="24"/>
        </w:rPr>
        <w:t> </w:t>
      </w:r>
      <w:r>
        <w:rPr>
          <w:sz w:val="24"/>
        </w:rPr>
        <w:t>redução</w:t>
      </w:r>
      <w:r>
        <w:rPr>
          <w:spacing w:val="-14"/>
          <w:sz w:val="24"/>
        </w:rPr>
        <w:t> </w:t>
      </w:r>
      <w:r>
        <w:rPr>
          <w:sz w:val="24"/>
        </w:rPr>
        <w:t>de</w:t>
      </w:r>
      <w:r>
        <w:rPr>
          <w:spacing w:val="-13"/>
          <w:sz w:val="24"/>
        </w:rPr>
        <w:t> </w:t>
      </w:r>
      <w:r>
        <w:rPr>
          <w:sz w:val="24"/>
        </w:rPr>
        <w:t>80%</w:t>
      </w:r>
      <w:r>
        <w:rPr>
          <w:spacing w:val="-14"/>
          <w:sz w:val="24"/>
        </w:rPr>
        <w:t> </w:t>
      </w:r>
      <w:r>
        <w:rPr>
          <w:sz w:val="24"/>
        </w:rPr>
        <w:t>(oitenta</w:t>
      </w:r>
      <w:r>
        <w:rPr>
          <w:spacing w:val="-13"/>
          <w:sz w:val="24"/>
        </w:rPr>
        <w:t> </w:t>
      </w:r>
      <w:r>
        <w:rPr>
          <w:sz w:val="24"/>
        </w:rPr>
        <w:t>por</w:t>
      </w:r>
      <w:r>
        <w:rPr>
          <w:spacing w:val="-14"/>
          <w:sz w:val="24"/>
        </w:rPr>
        <w:t> </w:t>
      </w:r>
      <w:r>
        <w:rPr>
          <w:sz w:val="24"/>
        </w:rPr>
        <w:t>cento)</w:t>
      </w:r>
      <w:r>
        <w:rPr>
          <w:spacing w:val="-13"/>
          <w:sz w:val="24"/>
        </w:rPr>
        <w:t> </w:t>
      </w:r>
      <w:r>
        <w:rPr>
          <w:sz w:val="24"/>
        </w:rPr>
        <w:t>nos</w:t>
      </w:r>
      <w:r>
        <w:rPr>
          <w:spacing w:val="-14"/>
          <w:sz w:val="24"/>
        </w:rPr>
        <w:t> </w:t>
      </w:r>
      <w:r>
        <w:rPr>
          <w:sz w:val="24"/>
        </w:rPr>
        <w:t>aportes</w:t>
      </w:r>
      <w:r>
        <w:rPr>
          <w:spacing w:val="-14"/>
          <w:sz w:val="24"/>
        </w:rPr>
        <w:t> </w:t>
      </w:r>
      <w:r>
        <w:rPr>
          <w:sz w:val="24"/>
        </w:rPr>
        <w:t>dos</w:t>
      </w:r>
      <w:r>
        <w:rPr>
          <w:spacing w:val="-13"/>
          <w:sz w:val="24"/>
        </w:rPr>
        <w:t> </w:t>
      </w:r>
      <w:r>
        <w:rPr>
          <w:sz w:val="24"/>
        </w:rPr>
        <w:t>CAU/UF</w:t>
      </w:r>
      <w:r>
        <w:rPr>
          <w:spacing w:val="-14"/>
          <w:sz w:val="24"/>
        </w:rPr>
        <w:t> </w:t>
      </w:r>
      <w:r>
        <w:rPr>
          <w:sz w:val="24"/>
        </w:rPr>
        <w:t>ao</w:t>
      </w:r>
      <w:r>
        <w:rPr>
          <w:spacing w:val="-13"/>
          <w:sz w:val="24"/>
        </w:rPr>
        <w:t> </w:t>
      </w:r>
      <w:r>
        <w:rPr>
          <w:sz w:val="24"/>
        </w:rPr>
        <w:t>Centro</w:t>
      </w:r>
      <w:r>
        <w:rPr>
          <w:spacing w:val="-14"/>
          <w:sz w:val="24"/>
        </w:rPr>
        <w:t> </w:t>
      </w:r>
      <w:r>
        <w:rPr>
          <w:sz w:val="24"/>
        </w:rPr>
        <w:t>de</w:t>
      </w:r>
      <w:r>
        <w:rPr>
          <w:spacing w:val="-13"/>
          <w:sz w:val="24"/>
        </w:rPr>
        <w:t> </w:t>
      </w:r>
      <w:r>
        <w:rPr>
          <w:sz w:val="24"/>
        </w:rPr>
        <w:t>Serviços Compartilhados, referente às parcelas</w:t>
      </w:r>
      <w:r>
        <w:rPr>
          <w:spacing w:val="-2"/>
          <w:sz w:val="24"/>
        </w:rPr>
        <w:t> </w:t>
      </w:r>
      <w:r>
        <w:rPr>
          <w:sz w:val="24"/>
        </w:rPr>
        <w:t>previstas</w:t>
      </w:r>
      <w:r>
        <w:rPr>
          <w:spacing w:val="-2"/>
          <w:sz w:val="24"/>
        </w:rPr>
        <w:t> </w:t>
      </w:r>
      <w:r>
        <w:rPr>
          <w:sz w:val="24"/>
        </w:rPr>
        <w:t>para os meses de junho a</w:t>
      </w:r>
      <w:r>
        <w:rPr>
          <w:spacing w:val="-2"/>
          <w:sz w:val="24"/>
        </w:rPr>
        <w:t> </w:t>
      </w:r>
      <w:r>
        <w:rPr>
          <w:sz w:val="24"/>
        </w:rPr>
        <w:t>dezembro</w:t>
      </w:r>
      <w:r>
        <w:rPr>
          <w:spacing w:val="-1"/>
          <w:sz w:val="24"/>
        </w:rPr>
        <w:t> </w:t>
      </w:r>
      <w:r>
        <w:rPr>
          <w:sz w:val="24"/>
        </w:rPr>
        <w:t>de 2020, com a diferença sendo assumida pelo CAU/BR, com a utilização de recursos de seu superávit financeiro contabilizado no balanço patrimonial de 31 de dezembro de 2019;</w:t>
      </w:r>
    </w:p>
    <w:p>
      <w:pPr>
        <w:pStyle w:val="ListParagraph"/>
        <w:numPr>
          <w:ilvl w:val="2"/>
          <w:numId w:val="3"/>
        </w:numPr>
        <w:tabs>
          <w:tab w:pos="1715" w:val="left" w:leader="none"/>
        </w:tabs>
        <w:spacing w:line="360" w:lineRule="auto" w:before="0" w:after="0"/>
        <w:ind w:left="118" w:right="149" w:firstLine="1353"/>
        <w:jc w:val="both"/>
        <w:rPr>
          <w:sz w:val="24"/>
        </w:rPr>
      </w:pPr>
      <w:r>
        <w:rPr>
          <w:sz w:val="24"/>
        </w:rPr>
        <w:t>a</w:t>
      </w:r>
      <w:r>
        <w:rPr>
          <w:spacing w:val="-1"/>
          <w:sz w:val="24"/>
        </w:rPr>
        <w:t> </w:t>
      </w:r>
      <w:r>
        <w:rPr>
          <w:sz w:val="24"/>
        </w:rPr>
        <w:t>redução, nos</w:t>
      </w:r>
      <w:r>
        <w:rPr>
          <w:spacing w:val="-1"/>
          <w:sz w:val="24"/>
        </w:rPr>
        <w:t> </w:t>
      </w:r>
      <w:r>
        <w:rPr>
          <w:sz w:val="24"/>
        </w:rPr>
        <w:t>seguintes percentuais, dos aportes</w:t>
      </w:r>
      <w:r>
        <w:rPr>
          <w:spacing w:val="-1"/>
          <w:sz w:val="24"/>
        </w:rPr>
        <w:t> </w:t>
      </w:r>
      <w:r>
        <w:rPr>
          <w:sz w:val="24"/>
        </w:rPr>
        <w:t>dos</w:t>
      </w:r>
      <w:r>
        <w:rPr>
          <w:spacing w:val="-1"/>
          <w:sz w:val="24"/>
        </w:rPr>
        <w:t> </w:t>
      </w:r>
      <w:r>
        <w:rPr>
          <w:sz w:val="24"/>
        </w:rPr>
        <w:t>CAU/UF ao Fundo de</w:t>
      </w:r>
      <w:r>
        <w:rPr>
          <w:spacing w:val="-1"/>
          <w:sz w:val="24"/>
        </w:rPr>
        <w:t> </w:t>
      </w:r>
      <w:r>
        <w:rPr>
          <w:sz w:val="24"/>
        </w:rPr>
        <w:t>Apoio Financeiro, referente às parcelas previstas para os meses de junho a dezembro de 2020, com a diferença sendo assumida pelo CAU/BR, com a utilização de recursos de seu superávit financeiro contabilizado no balanço patrimonial de 31 de dezembro de 2019:</w:t>
      </w:r>
    </w:p>
    <w:p>
      <w:pPr>
        <w:pStyle w:val="ListParagraph"/>
        <w:numPr>
          <w:ilvl w:val="3"/>
          <w:numId w:val="3"/>
        </w:numPr>
        <w:tabs>
          <w:tab w:pos="1713" w:val="left" w:leader="none"/>
        </w:tabs>
        <w:spacing w:line="240" w:lineRule="auto" w:before="1" w:after="0"/>
        <w:ind w:left="1712" w:right="0" w:hanging="241"/>
        <w:jc w:val="left"/>
        <w:rPr>
          <w:sz w:val="24"/>
        </w:rPr>
      </w:pPr>
      <w:r>
        <w:rPr>
          <w:sz w:val="24"/>
        </w:rPr>
        <w:t>CAU/AC,</w:t>
      </w:r>
      <w:r>
        <w:rPr>
          <w:spacing w:val="-6"/>
          <w:sz w:val="24"/>
        </w:rPr>
        <w:t> </w:t>
      </w:r>
      <w:r>
        <w:rPr>
          <w:sz w:val="24"/>
        </w:rPr>
        <w:t>CAU/AM,</w:t>
      </w:r>
      <w:r>
        <w:rPr>
          <w:spacing w:val="-4"/>
          <w:sz w:val="24"/>
        </w:rPr>
        <w:t> </w:t>
      </w:r>
      <w:r>
        <w:rPr>
          <w:sz w:val="24"/>
        </w:rPr>
        <w:t>CAU/AP,</w:t>
      </w:r>
      <w:r>
        <w:rPr>
          <w:spacing w:val="-3"/>
          <w:sz w:val="24"/>
        </w:rPr>
        <w:t> </w:t>
      </w:r>
      <w:r>
        <w:rPr>
          <w:sz w:val="24"/>
        </w:rPr>
        <w:t>CAU/MA,</w:t>
      </w:r>
      <w:r>
        <w:rPr>
          <w:spacing w:val="-4"/>
          <w:sz w:val="24"/>
        </w:rPr>
        <w:t> </w:t>
      </w:r>
      <w:r>
        <w:rPr>
          <w:sz w:val="24"/>
        </w:rPr>
        <w:t>CAU/PI,</w:t>
      </w:r>
      <w:r>
        <w:rPr>
          <w:spacing w:val="-5"/>
          <w:sz w:val="24"/>
        </w:rPr>
        <w:t> </w:t>
      </w:r>
      <w:r>
        <w:rPr>
          <w:sz w:val="24"/>
        </w:rPr>
        <w:t>CAU/RO,</w:t>
      </w:r>
      <w:r>
        <w:rPr>
          <w:spacing w:val="-3"/>
          <w:sz w:val="24"/>
        </w:rPr>
        <w:t> </w:t>
      </w:r>
      <w:r>
        <w:rPr>
          <w:sz w:val="24"/>
        </w:rPr>
        <w:t>CAU/RR,</w:t>
      </w:r>
      <w:r>
        <w:rPr>
          <w:spacing w:val="-4"/>
          <w:sz w:val="24"/>
        </w:rPr>
        <w:t> </w:t>
      </w:r>
      <w:r>
        <w:rPr>
          <w:sz w:val="24"/>
        </w:rPr>
        <w:t>CAU/SE,</w:t>
      </w:r>
      <w:r>
        <w:rPr>
          <w:spacing w:val="-3"/>
          <w:sz w:val="24"/>
        </w:rPr>
        <w:t> </w:t>
      </w:r>
      <w:r>
        <w:rPr>
          <w:spacing w:val="-2"/>
          <w:sz w:val="24"/>
        </w:rPr>
        <w:t>CAU/TO:</w:t>
      </w:r>
    </w:p>
    <w:p>
      <w:pPr>
        <w:pStyle w:val="BodyText"/>
        <w:spacing w:before="146"/>
        <w:ind w:left="118"/>
      </w:pPr>
      <w:r>
        <w:rPr/>
        <w:t>80%</w:t>
      </w:r>
      <w:r>
        <w:rPr>
          <w:spacing w:val="-4"/>
        </w:rPr>
        <w:t> </w:t>
      </w:r>
      <w:r>
        <w:rPr/>
        <w:t>(oitenta</w:t>
      </w:r>
      <w:r>
        <w:rPr>
          <w:spacing w:val="-4"/>
        </w:rPr>
        <w:t> </w:t>
      </w:r>
      <w:r>
        <w:rPr/>
        <w:t>por</w:t>
      </w:r>
      <w:r>
        <w:rPr>
          <w:spacing w:val="-2"/>
        </w:rPr>
        <w:t> </w:t>
      </w:r>
      <w:r>
        <w:rPr/>
        <w:t>cento);</w:t>
      </w:r>
      <w:r>
        <w:rPr>
          <w:spacing w:val="-4"/>
        </w:rPr>
        <w:t> </w:t>
      </w:r>
      <w:r>
        <w:rPr>
          <w:spacing w:val="-10"/>
        </w:rPr>
        <w:t>e</w:t>
      </w:r>
    </w:p>
    <w:p>
      <w:pPr>
        <w:pStyle w:val="ListParagraph"/>
        <w:numPr>
          <w:ilvl w:val="3"/>
          <w:numId w:val="3"/>
        </w:numPr>
        <w:tabs>
          <w:tab w:pos="1725" w:val="left" w:leader="none"/>
        </w:tabs>
        <w:spacing w:line="240" w:lineRule="auto" w:before="147" w:after="0"/>
        <w:ind w:left="1724" w:right="0" w:hanging="253"/>
        <w:jc w:val="left"/>
        <w:rPr>
          <w:sz w:val="24"/>
        </w:rPr>
      </w:pPr>
      <w:r>
        <w:rPr>
          <w:sz w:val="24"/>
        </w:rPr>
        <w:t>CAU/AL,</w:t>
      </w:r>
      <w:r>
        <w:rPr>
          <w:spacing w:val="-7"/>
          <w:sz w:val="24"/>
        </w:rPr>
        <w:t> </w:t>
      </w:r>
      <w:r>
        <w:rPr>
          <w:sz w:val="24"/>
        </w:rPr>
        <w:t>CAU/BA,</w:t>
      </w:r>
      <w:r>
        <w:rPr>
          <w:spacing w:val="-4"/>
          <w:sz w:val="24"/>
        </w:rPr>
        <w:t> </w:t>
      </w:r>
      <w:r>
        <w:rPr>
          <w:sz w:val="24"/>
        </w:rPr>
        <w:t>CAU/CE,</w:t>
      </w:r>
      <w:r>
        <w:rPr>
          <w:spacing w:val="-5"/>
          <w:sz w:val="24"/>
        </w:rPr>
        <w:t> </w:t>
      </w:r>
      <w:r>
        <w:rPr>
          <w:sz w:val="24"/>
        </w:rPr>
        <w:t>CAU/DF,</w:t>
      </w:r>
      <w:r>
        <w:rPr>
          <w:spacing w:val="-4"/>
          <w:sz w:val="24"/>
        </w:rPr>
        <w:t> </w:t>
      </w:r>
      <w:r>
        <w:rPr>
          <w:sz w:val="24"/>
        </w:rPr>
        <w:t>CAU/ES,</w:t>
      </w:r>
      <w:r>
        <w:rPr>
          <w:spacing w:val="-5"/>
          <w:sz w:val="24"/>
        </w:rPr>
        <w:t> </w:t>
      </w:r>
      <w:r>
        <w:rPr>
          <w:sz w:val="24"/>
        </w:rPr>
        <w:t>CAU/GO,</w:t>
      </w:r>
      <w:r>
        <w:rPr>
          <w:spacing w:val="-4"/>
          <w:sz w:val="24"/>
        </w:rPr>
        <w:t> </w:t>
      </w:r>
      <w:r>
        <w:rPr>
          <w:sz w:val="24"/>
        </w:rPr>
        <w:t>CAU/MS,</w:t>
      </w:r>
      <w:r>
        <w:rPr>
          <w:spacing w:val="-5"/>
          <w:sz w:val="24"/>
        </w:rPr>
        <w:t> </w:t>
      </w:r>
      <w:r>
        <w:rPr>
          <w:sz w:val="24"/>
        </w:rPr>
        <w:t>CAU/MT,</w:t>
      </w:r>
      <w:r>
        <w:rPr>
          <w:spacing w:val="-4"/>
          <w:sz w:val="24"/>
        </w:rPr>
        <w:t> </w:t>
      </w:r>
      <w:r>
        <w:rPr>
          <w:spacing w:val="-2"/>
          <w:sz w:val="24"/>
        </w:rPr>
        <w:t>CAU/PA,</w:t>
      </w:r>
    </w:p>
    <w:p>
      <w:pPr>
        <w:pStyle w:val="BodyText"/>
        <w:spacing w:before="146"/>
        <w:ind w:left="118"/>
      </w:pPr>
      <w:r>
        <w:rPr/>
        <w:t>CAU/PB,</w:t>
      </w:r>
      <w:r>
        <w:rPr>
          <w:spacing w:val="-3"/>
        </w:rPr>
        <w:t> </w:t>
      </w:r>
      <w:r>
        <w:rPr/>
        <w:t>CAU/PE,</w:t>
      </w:r>
      <w:r>
        <w:rPr>
          <w:spacing w:val="-3"/>
        </w:rPr>
        <w:t> </w:t>
      </w:r>
      <w:r>
        <w:rPr/>
        <w:t>CAU/RN:</w:t>
      </w:r>
      <w:r>
        <w:rPr>
          <w:spacing w:val="-2"/>
        </w:rPr>
        <w:t> </w:t>
      </w:r>
      <w:r>
        <w:rPr/>
        <w:t>50%</w:t>
      </w:r>
      <w:r>
        <w:rPr>
          <w:spacing w:val="-3"/>
        </w:rPr>
        <w:t> </w:t>
      </w:r>
      <w:r>
        <w:rPr/>
        <w:t>(cinquenta</w:t>
      </w:r>
      <w:r>
        <w:rPr>
          <w:spacing w:val="-4"/>
        </w:rPr>
        <w:t> </w:t>
      </w:r>
      <w:r>
        <w:rPr/>
        <w:t>por</w:t>
      </w:r>
      <w:r>
        <w:rPr>
          <w:spacing w:val="-2"/>
        </w:rPr>
        <w:t> cento).</w:t>
      </w:r>
    </w:p>
    <w:p>
      <w:pPr>
        <w:spacing w:after="0"/>
        <w:sectPr>
          <w:pgSz w:w="11910" w:h="16840"/>
          <w:pgMar w:header="689" w:footer="261" w:top="1580" w:bottom="460" w:left="1300" w:right="700"/>
        </w:sectPr>
      </w:pPr>
    </w:p>
    <w:p>
      <w:pPr>
        <w:pStyle w:val="Heading3"/>
        <w:numPr>
          <w:ilvl w:val="0"/>
          <w:numId w:val="3"/>
        </w:numPr>
        <w:tabs>
          <w:tab w:pos="1250" w:val="left" w:leader="none"/>
        </w:tabs>
        <w:spacing w:line="240" w:lineRule="auto" w:before="14" w:after="0"/>
        <w:ind w:left="1249" w:right="0" w:hanging="280"/>
        <w:jc w:val="left"/>
      </w:pPr>
      <w:bookmarkStart w:name="_bookmark10" w:id="11"/>
      <w:bookmarkEnd w:id="11"/>
      <w:r>
        <w:rPr>
          <w:color w:val="006666"/>
        </w:rPr>
        <w:t>APLICAÇÃO</w:t>
      </w:r>
      <w:r>
        <w:rPr>
          <w:color w:val="006666"/>
          <w:spacing w:val="-2"/>
        </w:rPr>
        <w:t> </w:t>
      </w:r>
      <w:r>
        <w:rPr>
          <w:color w:val="006666"/>
        </w:rPr>
        <w:t>DOS</w:t>
      </w:r>
      <w:r>
        <w:rPr>
          <w:color w:val="006666"/>
          <w:spacing w:val="-3"/>
        </w:rPr>
        <w:t> </w:t>
      </w:r>
      <w:r>
        <w:rPr>
          <w:color w:val="006666"/>
          <w:spacing w:val="-2"/>
        </w:rPr>
        <w:t>RECURSOS</w:t>
      </w:r>
    </w:p>
    <w:p>
      <w:pPr>
        <w:pStyle w:val="BodyText"/>
        <w:rPr>
          <w:b/>
          <w:sz w:val="27"/>
        </w:rPr>
      </w:pPr>
    </w:p>
    <w:p>
      <w:pPr>
        <w:pStyle w:val="BodyText"/>
        <w:spacing w:line="360" w:lineRule="auto"/>
        <w:ind w:left="118" w:right="141" w:firstLine="851"/>
        <w:jc w:val="both"/>
      </w:pPr>
      <w:r>
        <w:rPr/>
        <w:t>A Reprogramação do Plano de Ação e Orçamento do CAU para 2020 contemplando recursos</w:t>
      </w:r>
      <w:r>
        <w:rPr>
          <w:spacing w:val="-11"/>
        </w:rPr>
        <w:t> </w:t>
      </w:r>
      <w:r>
        <w:rPr/>
        <w:t>no</w:t>
      </w:r>
      <w:r>
        <w:rPr>
          <w:spacing w:val="-11"/>
        </w:rPr>
        <w:t> </w:t>
      </w:r>
      <w:r>
        <w:rPr/>
        <w:t>montante</w:t>
      </w:r>
      <w:r>
        <w:rPr>
          <w:spacing w:val="-11"/>
        </w:rPr>
        <w:t> </w:t>
      </w:r>
      <w:r>
        <w:rPr/>
        <w:t>de</w:t>
      </w:r>
      <w:r>
        <w:rPr>
          <w:spacing w:val="-11"/>
        </w:rPr>
        <w:t> </w:t>
      </w:r>
      <w:r>
        <w:rPr/>
        <w:t>R$</w:t>
      </w:r>
      <w:r>
        <w:rPr>
          <w:spacing w:val="-9"/>
        </w:rPr>
        <w:t> </w:t>
      </w:r>
      <w:r>
        <w:rPr/>
        <w:t>220,62</w:t>
      </w:r>
      <w:r>
        <w:rPr>
          <w:spacing w:val="-10"/>
        </w:rPr>
        <w:t> </w:t>
      </w:r>
      <w:r>
        <w:rPr/>
        <w:t>milhões,</w:t>
      </w:r>
      <w:r>
        <w:rPr>
          <w:spacing w:val="-11"/>
        </w:rPr>
        <w:t> </w:t>
      </w:r>
      <w:r>
        <w:rPr/>
        <w:t>envolve</w:t>
      </w:r>
      <w:r>
        <w:rPr>
          <w:spacing w:val="-9"/>
        </w:rPr>
        <w:t> </w:t>
      </w:r>
      <w:r>
        <w:rPr/>
        <w:t>a</w:t>
      </w:r>
      <w:r>
        <w:rPr>
          <w:spacing w:val="-11"/>
        </w:rPr>
        <w:t> </w:t>
      </w:r>
      <w:r>
        <w:rPr/>
        <w:t>execução</w:t>
      </w:r>
      <w:r>
        <w:rPr>
          <w:spacing w:val="-13"/>
        </w:rPr>
        <w:t> </w:t>
      </w:r>
      <w:r>
        <w:rPr/>
        <w:t>de</w:t>
      </w:r>
      <w:r>
        <w:rPr>
          <w:spacing w:val="-9"/>
        </w:rPr>
        <w:t> </w:t>
      </w:r>
      <w:r>
        <w:rPr/>
        <w:t>678</w:t>
      </w:r>
      <w:r>
        <w:rPr>
          <w:spacing w:val="-9"/>
        </w:rPr>
        <w:t> </w:t>
      </w:r>
      <w:r>
        <w:rPr/>
        <w:t>iniciativas</w:t>
      </w:r>
      <w:r>
        <w:rPr>
          <w:spacing w:val="-9"/>
        </w:rPr>
        <w:t> </w:t>
      </w:r>
      <w:r>
        <w:rPr/>
        <w:t>estratégicas.</w:t>
      </w:r>
      <w:r>
        <w:rPr>
          <w:spacing w:val="-10"/>
        </w:rPr>
        <w:t> </w:t>
      </w:r>
      <w:r>
        <w:rPr/>
        <w:t>Aos 221 projetos estão</w:t>
      </w:r>
      <w:r>
        <w:rPr>
          <w:spacing w:val="-1"/>
        </w:rPr>
        <w:t> </w:t>
      </w:r>
      <w:r>
        <w:rPr/>
        <w:t>direcionados 30,3% dos recursos totais, ou R$ 66,94 milhões. As 457 atividades respondem</w:t>
      </w:r>
      <w:r>
        <w:rPr>
          <w:spacing w:val="-11"/>
        </w:rPr>
        <w:t> </w:t>
      </w:r>
      <w:r>
        <w:rPr/>
        <w:t>por</w:t>
      </w:r>
      <w:r>
        <w:rPr>
          <w:spacing w:val="-8"/>
        </w:rPr>
        <w:t> </w:t>
      </w:r>
      <w:r>
        <w:rPr/>
        <w:t>recursos</w:t>
      </w:r>
      <w:r>
        <w:rPr>
          <w:spacing w:val="-11"/>
        </w:rPr>
        <w:t> </w:t>
      </w:r>
      <w:r>
        <w:rPr/>
        <w:t>no</w:t>
      </w:r>
      <w:r>
        <w:rPr>
          <w:spacing w:val="-8"/>
        </w:rPr>
        <w:t> </w:t>
      </w:r>
      <w:r>
        <w:rPr/>
        <w:t>montante</w:t>
      </w:r>
      <w:r>
        <w:rPr>
          <w:spacing w:val="-10"/>
        </w:rPr>
        <w:t> </w:t>
      </w:r>
      <w:r>
        <w:rPr/>
        <w:t>de</w:t>
      </w:r>
      <w:r>
        <w:rPr>
          <w:spacing w:val="-11"/>
        </w:rPr>
        <w:t> </w:t>
      </w:r>
      <w:r>
        <w:rPr/>
        <w:t>R$</w:t>
      </w:r>
      <w:r>
        <w:rPr>
          <w:spacing w:val="-8"/>
        </w:rPr>
        <w:t> </w:t>
      </w:r>
      <w:r>
        <w:rPr/>
        <w:t>153,68</w:t>
      </w:r>
      <w:r>
        <w:rPr>
          <w:spacing w:val="-8"/>
        </w:rPr>
        <w:t> </w:t>
      </w:r>
      <w:r>
        <w:rPr/>
        <w:t>milhões,</w:t>
      </w:r>
      <w:r>
        <w:rPr>
          <w:spacing w:val="-11"/>
        </w:rPr>
        <w:t> </w:t>
      </w:r>
      <w:r>
        <w:rPr/>
        <w:t>ou</w:t>
      </w:r>
      <w:r>
        <w:rPr>
          <w:spacing w:val="-9"/>
        </w:rPr>
        <w:t> </w:t>
      </w:r>
      <w:r>
        <w:rPr/>
        <w:t>69,7%.</w:t>
      </w:r>
      <w:r>
        <w:rPr>
          <w:spacing w:val="-12"/>
        </w:rPr>
        <w:t> </w:t>
      </w:r>
      <w:r>
        <w:rPr/>
        <w:t>Estas</w:t>
      </w:r>
      <w:r>
        <w:rPr>
          <w:spacing w:val="-9"/>
        </w:rPr>
        <w:t> </w:t>
      </w:r>
      <w:r>
        <w:rPr/>
        <w:t>iniciativas</w:t>
      </w:r>
      <w:r>
        <w:rPr>
          <w:spacing w:val="-12"/>
        </w:rPr>
        <w:t> </w:t>
      </w:r>
      <w:r>
        <w:rPr/>
        <w:t>estratégicas incluem as 28 atividades de Aporte ao Fundo de Apoio que recebem R$ 3,02 milhões, ou 1,4% do total; as 27 atividades de contribuição ao Centro de Serviços Compartilhados CSC com R$ 3,85 milhões, ou 1,7%; e às 25 atividades de Reserva de Contingência os recursos direcionados são de R$ 1,99 milhão, ou 0,9%, conforme os quadros 2 e 3.</w:t>
      </w:r>
    </w:p>
    <w:p>
      <w:pPr>
        <w:pStyle w:val="BodyText"/>
        <w:spacing w:line="360" w:lineRule="auto" w:before="162"/>
        <w:ind w:left="118" w:right="142" w:firstLine="851"/>
        <w:jc w:val="both"/>
      </w:pPr>
      <w:r>
        <w:rPr/>
        <w:t>Do total da proposta de reprogramação ao Plano de Ação do CAU exercício 2020, em 73 iniciativas estratégicas, o CAU/BR aplicará 27,3%, ou R$ 60,31 milhões, enquanto que os CAU/UF, em</w:t>
      </w:r>
      <w:r>
        <w:rPr>
          <w:spacing w:val="-1"/>
        </w:rPr>
        <w:t> </w:t>
      </w:r>
      <w:r>
        <w:rPr/>
        <w:t>605</w:t>
      </w:r>
      <w:r>
        <w:rPr>
          <w:spacing w:val="-3"/>
        </w:rPr>
        <w:t> </w:t>
      </w:r>
      <w:r>
        <w:rPr/>
        <w:t>iniciativas,</w:t>
      </w:r>
      <w:r>
        <w:rPr>
          <w:spacing w:val="-5"/>
        </w:rPr>
        <w:t> </w:t>
      </w:r>
      <w:r>
        <w:rPr/>
        <w:t>serão</w:t>
      </w:r>
      <w:r>
        <w:rPr>
          <w:spacing w:val="-6"/>
        </w:rPr>
        <w:t> </w:t>
      </w:r>
      <w:r>
        <w:rPr/>
        <w:t>responsáveis</w:t>
      </w:r>
      <w:r>
        <w:rPr>
          <w:spacing w:val="-4"/>
        </w:rPr>
        <w:t> </w:t>
      </w:r>
      <w:r>
        <w:rPr/>
        <w:t>pela</w:t>
      </w:r>
      <w:r>
        <w:rPr>
          <w:spacing w:val="-3"/>
        </w:rPr>
        <w:t> </w:t>
      </w:r>
      <w:r>
        <w:rPr/>
        <w:t>aplicação</w:t>
      </w:r>
      <w:r>
        <w:rPr>
          <w:spacing w:val="-3"/>
        </w:rPr>
        <w:t> </w:t>
      </w:r>
      <w:r>
        <w:rPr/>
        <w:t>de</w:t>
      </w:r>
      <w:r>
        <w:rPr>
          <w:spacing w:val="-4"/>
        </w:rPr>
        <w:t> </w:t>
      </w:r>
      <w:r>
        <w:rPr/>
        <w:t>cerca</w:t>
      </w:r>
      <w:r>
        <w:rPr>
          <w:spacing w:val="-4"/>
        </w:rPr>
        <w:t> </w:t>
      </w:r>
      <w:r>
        <w:rPr/>
        <w:t>de 72,7%</w:t>
      </w:r>
      <w:r>
        <w:rPr>
          <w:spacing w:val="-5"/>
        </w:rPr>
        <w:t> </w:t>
      </w:r>
      <w:r>
        <w:rPr/>
        <w:t>dos</w:t>
      </w:r>
      <w:r>
        <w:rPr>
          <w:spacing w:val="-2"/>
        </w:rPr>
        <w:t> </w:t>
      </w:r>
      <w:r>
        <w:rPr/>
        <w:t>recursos,</w:t>
      </w:r>
      <w:r>
        <w:rPr>
          <w:spacing w:val="-4"/>
        </w:rPr>
        <w:t> </w:t>
      </w:r>
      <w:r>
        <w:rPr/>
        <w:t>ou</w:t>
      </w:r>
      <w:r>
        <w:rPr>
          <w:spacing w:val="-3"/>
        </w:rPr>
        <w:t> </w:t>
      </w:r>
      <w:r>
        <w:rPr/>
        <w:t>R$</w:t>
      </w:r>
      <w:r>
        <w:rPr>
          <w:spacing w:val="-1"/>
        </w:rPr>
        <w:t> </w:t>
      </w:r>
      <w:r>
        <w:rPr/>
        <w:t>160,31 milhões.</w:t>
      </w:r>
      <w:r>
        <w:rPr>
          <w:spacing w:val="-14"/>
        </w:rPr>
        <w:t> </w:t>
      </w:r>
      <w:r>
        <w:rPr/>
        <w:t>O</w:t>
      </w:r>
      <w:r>
        <w:rPr>
          <w:spacing w:val="-14"/>
        </w:rPr>
        <w:t> </w:t>
      </w:r>
      <w:r>
        <w:rPr/>
        <w:t>detalhamento</w:t>
      </w:r>
      <w:r>
        <w:rPr>
          <w:spacing w:val="-13"/>
        </w:rPr>
        <w:t> </w:t>
      </w:r>
      <w:r>
        <w:rPr/>
        <w:t>por</w:t>
      </w:r>
      <w:r>
        <w:rPr>
          <w:spacing w:val="-14"/>
        </w:rPr>
        <w:t> </w:t>
      </w:r>
      <w:r>
        <w:rPr/>
        <w:t>CAU/UF</w:t>
      </w:r>
      <w:r>
        <w:rPr>
          <w:spacing w:val="-13"/>
        </w:rPr>
        <w:t> </w:t>
      </w:r>
      <w:r>
        <w:rPr/>
        <w:t>e</w:t>
      </w:r>
      <w:r>
        <w:rPr>
          <w:spacing w:val="-14"/>
        </w:rPr>
        <w:t> </w:t>
      </w:r>
      <w:r>
        <w:rPr/>
        <w:t>CAU/BR,</w:t>
      </w:r>
      <w:r>
        <w:rPr>
          <w:spacing w:val="-13"/>
        </w:rPr>
        <w:t> </w:t>
      </w:r>
      <w:r>
        <w:rPr/>
        <w:t>a</w:t>
      </w:r>
      <w:r>
        <w:rPr>
          <w:spacing w:val="-14"/>
        </w:rPr>
        <w:t> </w:t>
      </w:r>
      <w:r>
        <w:rPr/>
        <w:t>análise</w:t>
      </w:r>
      <w:r>
        <w:rPr>
          <w:spacing w:val="-14"/>
        </w:rPr>
        <w:t> </w:t>
      </w:r>
      <w:r>
        <w:rPr/>
        <w:t>comparativa</w:t>
      </w:r>
      <w:r>
        <w:rPr>
          <w:spacing w:val="-13"/>
        </w:rPr>
        <w:t> </w:t>
      </w:r>
      <w:r>
        <w:rPr/>
        <w:t>das</w:t>
      </w:r>
      <w:r>
        <w:rPr>
          <w:spacing w:val="-14"/>
        </w:rPr>
        <w:t> </w:t>
      </w:r>
      <w:r>
        <w:rPr/>
        <w:t>aplicações</w:t>
      </w:r>
      <w:r>
        <w:rPr>
          <w:spacing w:val="-13"/>
        </w:rPr>
        <w:t> </w:t>
      </w:r>
      <w:r>
        <w:rPr/>
        <w:t>por</w:t>
      </w:r>
      <w:r>
        <w:rPr>
          <w:spacing w:val="-14"/>
        </w:rPr>
        <w:t> </w:t>
      </w:r>
      <w:r>
        <w:rPr/>
        <w:t>iniciativas estratégicas e a Programação Operacional constam nos Anexos 1; 3 e 3.1.</w:t>
      </w:r>
    </w:p>
    <w:p>
      <w:pPr>
        <w:pStyle w:val="BodyText"/>
        <w:spacing w:line="360" w:lineRule="auto" w:before="160"/>
        <w:ind w:left="118" w:right="146" w:firstLine="851"/>
        <w:jc w:val="both"/>
      </w:pPr>
      <w:r>
        <w:rPr/>
        <w:t>Da programação a ser desenvolvida pelo CAU/BR, cabe mencionar as ações destinadas ao Centro de Serviços Compartilhados CSC, de gestão e custeio compartilhado com os CAU/UF, que envolvem recursos no montante de R$ 14,54 milhões, representando uma redução de 11,4% da Programação inicial (R$ 16,76 milhões), sendo:</w:t>
      </w:r>
    </w:p>
    <w:p>
      <w:pPr>
        <w:pStyle w:val="ListParagraph"/>
        <w:numPr>
          <w:ilvl w:val="0"/>
          <w:numId w:val="4"/>
        </w:numPr>
        <w:tabs>
          <w:tab w:pos="1820" w:val="left" w:leader="none"/>
          <w:tab w:pos="1821" w:val="left" w:leader="none"/>
        </w:tabs>
        <w:spacing w:line="352" w:lineRule="auto" w:before="161" w:after="0"/>
        <w:ind w:left="1198" w:right="147" w:hanging="87"/>
        <w:jc w:val="left"/>
        <w:rPr>
          <w:i/>
          <w:sz w:val="24"/>
        </w:rPr>
      </w:pPr>
      <w:r>
        <w:rPr>
          <w:b/>
          <w:i/>
          <w:sz w:val="24"/>
        </w:rPr>
        <w:t>CSC Serviços Essenciais: </w:t>
      </w:r>
      <w:r>
        <w:rPr>
          <w:i/>
          <w:sz w:val="24"/>
        </w:rPr>
        <w:t>R$ 13,95 milhões (conforme especificado nas Diretrizes</w:t>
      </w:r>
      <w:r>
        <w:rPr>
          <w:i/>
          <w:sz w:val="24"/>
        </w:rPr>
        <w:t> para Elaboração da Reprogramação do Plano de Ação do CAU exercício 2020);</w:t>
      </w:r>
    </w:p>
    <w:p>
      <w:pPr>
        <w:pStyle w:val="ListParagraph"/>
        <w:numPr>
          <w:ilvl w:val="0"/>
          <w:numId w:val="4"/>
        </w:numPr>
        <w:tabs>
          <w:tab w:pos="1820" w:val="left" w:leader="none"/>
          <w:tab w:pos="1821" w:val="left" w:leader="none"/>
        </w:tabs>
        <w:spacing w:line="355" w:lineRule="auto" w:before="17" w:after="0"/>
        <w:ind w:left="1198" w:right="146" w:hanging="87"/>
        <w:jc w:val="left"/>
        <w:rPr>
          <w:i/>
          <w:sz w:val="24"/>
        </w:rPr>
      </w:pPr>
      <w:r>
        <w:rPr>
          <w:b/>
          <w:i/>
          <w:sz w:val="24"/>
        </w:rPr>
        <w:t>CSC</w:t>
      </w:r>
      <w:r>
        <w:rPr>
          <w:b/>
          <w:i/>
          <w:spacing w:val="-7"/>
          <w:sz w:val="24"/>
        </w:rPr>
        <w:t> </w:t>
      </w:r>
      <w:r>
        <w:rPr>
          <w:b/>
          <w:i/>
          <w:sz w:val="24"/>
        </w:rPr>
        <w:t>Serviços</w:t>
      </w:r>
      <w:r>
        <w:rPr>
          <w:b/>
          <w:i/>
          <w:spacing w:val="-6"/>
          <w:sz w:val="24"/>
        </w:rPr>
        <w:t> </w:t>
      </w:r>
      <w:r>
        <w:rPr>
          <w:b/>
          <w:i/>
          <w:sz w:val="24"/>
        </w:rPr>
        <w:t>por</w:t>
      </w:r>
      <w:r>
        <w:rPr>
          <w:b/>
          <w:i/>
          <w:spacing w:val="-5"/>
          <w:sz w:val="24"/>
        </w:rPr>
        <w:t> </w:t>
      </w:r>
      <w:r>
        <w:rPr>
          <w:b/>
          <w:i/>
          <w:sz w:val="24"/>
        </w:rPr>
        <w:t>Adesão</w:t>
      </w:r>
      <w:r>
        <w:rPr>
          <w:i/>
          <w:sz w:val="24"/>
        </w:rPr>
        <w:t>:</w:t>
      </w:r>
      <w:r>
        <w:rPr>
          <w:i/>
          <w:spacing w:val="-4"/>
          <w:sz w:val="24"/>
        </w:rPr>
        <w:t> </w:t>
      </w:r>
      <w:r>
        <w:rPr>
          <w:i/>
          <w:sz w:val="24"/>
        </w:rPr>
        <w:t>R$</w:t>
      </w:r>
      <w:r>
        <w:rPr>
          <w:i/>
          <w:spacing w:val="-7"/>
          <w:sz w:val="24"/>
        </w:rPr>
        <w:t> </w:t>
      </w:r>
      <w:r>
        <w:rPr>
          <w:i/>
          <w:sz w:val="24"/>
        </w:rPr>
        <w:t>504,89</w:t>
      </w:r>
      <w:r>
        <w:rPr>
          <w:i/>
          <w:spacing w:val="-6"/>
          <w:sz w:val="24"/>
        </w:rPr>
        <w:t> </w:t>
      </w:r>
      <w:r>
        <w:rPr>
          <w:i/>
          <w:sz w:val="24"/>
        </w:rPr>
        <w:t>mil,</w:t>
      </w:r>
      <w:r>
        <w:rPr>
          <w:i/>
          <w:spacing w:val="-7"/>
          <w:sz w:val="24"/>
        </w:rPr>
        <w:t> </w:t>
      </w:r>
      <w:r>
        <w:rPr>
          <w:i/>
          <w:sz w:val="24"/>
        </w:rPr>
        <w:t>correspondente</w:t>
      </w:r>
      <w:r>
        <w:rPr>
          <w:i/>
          <w:spacing w:val="-4"/>
          <w:sz w:val="24"/>
        </w:rPr>
        <w:t> </w:t>
      </w:r>
      <w:r>
        <w:rPr>
          <w:i/>
          <w:sz w:val="24"/>
        </w:rPr>
        <w:t>ao</w:t>
      </w:r>
      <w:r>
        <w:rPr>
          <w:i/>
          <w:spacing w:val="-6"/>
          <w:sz w:val="24"/>
        </w:rPr>
        <w:t> </w:t>
      </w:r>
      <w:r>
        <w:rPr>
          <w:i/>
          <w:sz w:val="24"/>
        </w:rPr>
        <w:t>Serviços</w:t>
      </w:r>
      <w:r>
        <w:rPr>
          <w:i/>
          <w:spacing w:val="-5"/>
          <w:sz w:val="24"/>
        </w:rPr>
        <w:t> </w:t>
      </w:r>
      <w:r>
        <w:rPr>
          <w:i/>
          <w:sz w:val="24"/>
        </w:rPr>
        <w:t>de</w:t>
      </w:r>
      <w:r>
        <w:rPr>
          <w:i/>
          <w:spacing w:val="-7"/>
          <w:sz w:val="24"/>
        </w:rPr>
        <w:t> </w:t>
      </w:r>
      <w:r>
        <w:rPr>
          <w:i/>
          <w:sz w:val="24"/>
        </w:rPr>
        <w:t>Controle</w:t>
      </w:r>
      <w:r>
        <w:rPr>
          <w:i/>
          <w:spacing w:val="-4"/>
          <w:sz w:val="24"/>
        </w:rPr>
        <w:t> </w:t>
      </w:r>
      <w:r>
        <w:rPr>
          <w:i/>
          <w:sz w:val="24"/>
        </w:rPr>
        <w:t>e</w:t>
      </w:r>
      <w:r>
        <w:rPr>
          <w:i/>
          <w:sz w:val="24"/>
        </w:rPr>
        <w:t> Cobrança Siscaf.</w:t>
      </w:r>
    </w:p>
    <w:p>
      <w:pPr>
        <w:pStyle w:val="ListParagraph"/>
        <w:numPr>
          <w:ilvl w:val="0"/>
          <w:numId w:val="4"/>
        </w:numPr>
        <w:tabs>
          <w:tab w:pos="1820" w:val="left" w:leader="none"/>
          <w:tab w:pos="1821" w:val="left" w:leader="none"/>
        </w:tabs>
        <w:spacing w:line="352" w:lineRule="auto" w:before="12" w:after="0"/>
        <w:ind w:left="1198" w:right="147" w:hanging="87"/>
        <w:jc w:val="left"/>
        <w:rPr>
          <w:i/>
          <w:sz w:val="24"/>
        </w:rPr>
      </w:pPr>
      <w:r>
        <w:rPr>
          <w:b/>
          <w:i/>
          <w:sz w:val="24"/>
        </w:rPr>
        <w:t>Encontro</w:t>
      </w:r>
      <w:r>
        <w:rPr>
          <w:b/>
          <w:i/>
          <w:spacing w:val="-11"/>
          <w:sz w:val="24"/>
        </w:rPr>
        <w:t> </w:t>
      </w:r>
      <w:r>
        <w:rPr>
          <w:b/>
          <w:i/>
          <w:sz w:val="24"/>
        </w:rPr>
        <w:t>de</w:t>
      </w:r>
      <w:r>
        <w:rPr>
          <w:b/>
          <w:i/>
          <w:spacing w:val="-9"/>
          <w:sz w:val="24"/>
        </w:rPr>
        <w:t> </w:t>
      </w:r>
      <w:r>
        <w:rPr>
          <w:b/>
          <w:i/>
          <w:sz w:val="24"/>
        </w:rPr>
        <w:t>contas</w:t>
      </w:r>
      <w:r>
        <w:rPr>
          <w:b/>
          <w:i/>
          <w:spacing w:val="-10"/>
          <w:sz w:val="24"/>
        </w:rPr>
        <w:t> </w:t>
      </w:r>
      <w:r>
        <w:rPr>
          <w:b/>
          <w:i/>
          <w:sz w:val="24"/>
        </w:rPr>
        <w:t>TAQ/0800</w:t>
      </w:r>
      <w:r>
        <w:rPr>
          <w:b/>
          <w:i/>
          <w:spacing w:val="-7"/>
          <w:sz w:val="24"/>
        </w:rPr>
        <w:t> </w:t>
      </w:r>
      <w:r>
        <w:rPr>
          <w:i/>
          <w:sz w:val="24"/>
        </w:rPr>
        <w:t>–</w:t>
      </w:r>
      <w:r>
        <w:rPr>
          <w:i/>
          <w:spacing w:val="-9"/>
          <w:sz w:val="24"/>
        </w:rPr>
        <w:t> </w:t>
      </w:r>
      <w:r>
        <w:rPr>
          <w:i/>
          <w:sz w:val="24"/>
        </w:rPr>
        <w:t>R$</w:t>
      </w:r>
      <w:r>
        <w:rPr>
          <w:i/>
          <w:spacing w:val="-12"/>
          <w:sz w:val="24"/>
        </w:rPr>
        <w:t> </w:t>
      </w:r>
      <w:r>
        <w:rPr>
          <w:i/>
          <w:sz w:val="24"/>
        </w:rPr>
        <w:t>78,10</w:t>
      </w:r>
      <w:r>
        <w:rPr>
          <w:i/>
          <w:spacing w:val="-9"/>
          <w:sz w:val="24"/>
        </w:rPr>
        <w:t> </w:t>
      </w:r>
      <w:r>
        <w:rPr>
          <w:i/>
          <w:sz w:val="24"/>
        </w:rPr>
        <w:t>mil,</w:t>
      </w:r>
      <w:r>
        <w:rPr>
          <w:i/>
          <w:spacing w:val="-11"/>
          <w:sz w:val="24"/>
        </w:rPr>
        <w:t> </w:t>
      </w:r>
      <w:r>
        <w:rPr>
          <w:i/>
          <w:sz w:val="24"/>
        </w:rPr>
        <w:t>correspondente</w:t>
      </w:r>
      <w:r>
        <w:rPr>
          <w:i/>
          <w:spacing w:val="-9"/>
          <w:sz w:val="24"/>
        </w:rPr>
        <w:t> </w:t>
      </w:r>
      <w:r>
        <w:rPr>
          <w:i/>
          <w:sz w:val="24"/>
        </w:rPr>
        <w:t>aos</w:t>
      </w:r>
      <w:r>
        <w:rPr>
          <w:i/>
          <w:spacing w:val="-10"/>
          <w:sz w:val="24"/>
        </w:rPr>
        <w:t> </w:t>
      </w:r>
      <w:r>
        <w:rPr>
          <w:i/>
          <w:sz w:val="24"/>
        </w:rPr>
        <w:t>valores</w:t>
      </w:r>
      <w:r>
        <w:rPr>
          <w:i/>
          <w:spacing w:val="-10"/>
          <w:sz w:val="24"/>
        </w:rPr>
        <w:t> </w:t>
      </w:r>
      <w:r>
        <w:rPr>
          <w:i/>
          <w:sz w:val="24"/>
        </w:rPr>
        <w:t>a</w:t>
      </w:r>
      <w:r>
        <w:rPr>
          <w:i/>
          <w:spacing w:val="-11"/>
          <w:sz w:val="24"/>
        </w:rPr>
        <w:t> </w:t>
      </w:r>
      <w:r>
        <w:rPr>
          <w:i/>
          <w:sz w:val="24"/>
        </w:rPr>
        <w:t>serem</w:t>
      </w:r>
      <w:r>
        <w:rPr>
          <w:i/>
          <w:sz w:val="24"/>
        </w:rPr>
        <w:t> recebidos dos CAU/UF.</w:t>
      </w:r>
    </w:p>
    <w:p>
      <w:pPr>
        <w:pStyle w:val="BodyText"/>
        <w:rPr>
          <w:i/>
        </w:rPr>
      </w:pPr>
    </w:p>
    <w:p>
      <w:pPr>
        <w:pStyle w:val="BodyText"/>
        <w:spacing w:line="360" w:lineRule="auto" w:before="163"/>
        <w:ind w:left="118" w:right="142" w:firstLine="851"/>
        <w:jc w:val="both"/>
      </w:pPr>
      <w:r>
        <w:rPr/>
        <w:t>No</w:t>
      </w:r>
      <w:r>
        <w:rPr>
          <w:spacing w:val="-14"/>
        </w:rPr>
        <w:t> </w:t>
      </w:r>
      <w:r>
        <w:rPr/>
        <w:t>tocante</w:t>
      </w:r>
      <w:r>
        <w:rPr>
          <w:spacing w:val="-14"/>
        </w:rPr>
        <w:t> </w:t>
      </w:r>
      <w:r>
        <w:rPr/>
        <w:t>aos</w:t>
      </w:r>
      <w:r>
        <w:rPr>
          <w:spacing w:val="-13"/>
        </w:rPr>
        <w:t> </w:t>
      </w:r>
      <w:r>
        <w:rPr/>
        <w:t>recursos</w:t>
      </w:r>
      <w:r>
        <w:rPr>
          <w:spacing w:val="-13"/>
        </w:rPr>
        <w:t> </w:t>
      </w:r>
      <w:r>
        <w:rPr/>
        <w:t>destinados</w:t>
      </w:r>
      <w:r>
        <w:rPr>
          <w:spacing w:val="-13"/>
        </w:rPr>
        <w:t> </w:t>
      </w:r>
      <w:r>
        <w:rPr/>
        <w:t>aos</w:t>
      </w:r>
      <w:r>
        <w:rPr>
          <w:spacing w:val="-14"/>
        </w:rPr>
        <w:t> </w:t>
      </w:r>
      <w:r>
        <w:rPr/>
        <w:t>CAU/UF</w:t>
      </w:r>
      <w:r>
        <w:rPr>
          <w:spacing w:val="-11"/>
        </w:rPr>
        <w:t> </w:t>
      </w:r>
      <w:r>
        <w:rPr/>
        <w:t>(R$</w:t>
      </w:r>
      <w:r>
        <w:rPr>
          <w:spacing w:val="-11"/>
        </w:rPr>
        <w:t> </w:t>
      </w:r>
      <w:r>
        <w:rPr/>
        <w:t>160,31</w:t>
      </w:r>
      <w:r>
        <w:rPr>
          <w:spacing w:val="-13"/>
        </w:rPr>
        <w:t> </w:t>
      </w:r>
      <w:r>
        <w:rPr/>
        <w:t>milhões),</w:t>
      </w:r>
      <w:r>
        <w:rPr>
          <w:spacing w:val="-14"/>
        </w:rPr>
        <w:t> </w:t>
      </w:r>
      <w:r>
        <w:rPr/>
        <w:t>74,5%</w:t>
      </w:r>
      <w:r>
        <w:rPr>
          <w:spacing w:val="-10"/>
        </w:rPr>
        <w:t> </w:t>
      </w:r>
      <w:r>
        <w:rPr/>
        <w:t>são</w:t>
      </w:r>
      <w:r>
        <w:rPr>
          <w:spacing w:val="-14"/>
        </w:rPr>
        <w:t> </w:t>
      </w:r>
      <w:r>
        <w:rPr/>
        <w:t>destinados às regiões Sudeste e Sul, sendo: região Sudeste com R$ 76,76 milhões, ou 47,9%, e região Sul com R$ 42,66 milhões ou 26,6%. Na sequência, a região Nordeste se apresenta com 11,1% (R$ 17,73 milhões),</w:t>
      </w:r>
      <w:r>
        <w:rPr>
          <w:spacing w:val="-2"/>
        </w:rPr>
        <w:t> </w:t>
      </w:r>
      <w:r>
        <w:rPr/>
        <w:t>seguida</w:t>
      </w:r>
      <w:r>
        <w:rPr>
          <w:spacing w:val="-4"/>
        </w:rPr>
        <w:t> </w:t>
      </w:r>
      <w:r>
        <w:rPr/>
        <w:t>pelas</w:t>
      </w:r>
      <w:r>
        <w:rPr>
          <w:spacing w:val="-2"/>
        </w:rPr>
        <w:t> </w:t>
      </w:r>
      <w:r>
        <w:rPr/>
        <w:t>regiões</w:t>
      </w:r>
      <w:r>
        <w:rPr>
          <w:spacing w:val="-1"/>
        </w:rPr>
        <w:t> </w:t>
      </w:r>
      <w:r>
        <w:rPr/>
        <w:t>Centro-Oeste</w:t>
      </w:r>
      <w:r>
        <w:rPr>
          <w:spacing w:val="-1"/>
        </w:rPr>
        <w:t> </w:t>
      </w:r>
      <w:r>
        <w:rPr/>
        <w:t>e</w:t>
      </w:r>
      <w:r>
        <w:rPr>
          <w:spacing w:val="-3"/>
        </w:rPr>
        <w:t> </w:t>
      </w:r>
      <w:r>
        <w:rPr/>
        <w:t>Norte</w:t>
      </w:r>
      <w:r>
        <w:rPr>
          <w:spacing w:val="-1"/>
        </w:rPr>
        <w:t> </w:t>
      </w:r>
      <w:r>
        <w:rPr/>
        <w:t>com</w:t>
      </w:r>
      <w:r>
        <w:rPr>
          <w:spacing w:val="-3"/>
        </w:rPr>
        <w:t> </w:t>
      </w:r>
      <w:r>
        <w:rPr/>
        <w:t>8,7%</w:t>
      </w:r>
      <w:r>
        <w:rPr>
          <w:spacing w:val="-1"/>
        </w:rPr>
        <w:t> </w:t>
      </w:r>
      <w:r>
        <w:rPr/>
        <w:t>(R$</w:t>
      </w:r>
      <w:r>
        <w:rPr>
          <w:spacing w:val="-1"/>
        </w:rPr>
        <w:t> </w:t>
      </w:r>
      <w:r>
        <w:rPr/>
        <w:t>13,98</w:t>
      </w:r>
      <w:r>
        <w:rPr>
          <w:spacing w:val="-2"/>
        </w:rPr>
        <w:t> </w:t>
      </w:r>
      <w:r>
        <w:rPr/>
        <w:t>milhões)</w:t>
      </w:r>
      <w:r>
        <w:rPr>
          <w:spacing w:val="-3"/>
        </w:rPr>
        <w:t> </w:t>
      </w:r>
      <w:r>
        <w:rPr/>
        <w:t>e</w:t>
      </w:r>
      <w:r>
        <w:rPr>
          <w:spacing w:val="-2"/>
        </w:rPr>
        <w:t> </w:t>
      </w:r>
      <w:r>
        <w:rPr/>
        <w:t>5,7%</w:t>
      </w:r>
      <w:r>
        <w:rPr>
          <w:spacing w:val="-1"/>
        </w:rPr>
        <w:t> </w:t>
      </w:r>
      <w:r>
        <w:rPr/>
        <w:t>(R$</w:t>
      </w:r>
      <w:r>
        <w:rPr>
          <w:spacing w:val="-3"/>
        </w:rPr>
        <w:t> </w:t>
      </w:r>
      <w:r>
        <w:rPr/>
        <w:t>9,19 milhões),</w:t>
      </w:r>
      <w:r>
        <w:rPr>
          <w:spacing w:val="-14"/>
        </w:rPr>
        <w:t> </w:t>
      </w:r>
      <w:r>
        <w:rPr/>
        <w:t>respectivamente.</w:t>
      </w:r>
      <w:r>
        <w:rPr>
          <w:spacing w:val="-12"/>
        </w:rPr>
        <w:t> </w:t>
      </w:r>
      <w:r>
        <w:rPr/>
        <w:t>A</w:t>
      </w:r>
      <w:r>
        <w:rPr>
          <w:spacing w:val="-13"/>
        </w:rPr>
        <w:t> </w:t>
      </w:r>
      <w:r>
        <w:rPr/>
        <w:t>representação</w:t>
      </w:r>
      <w:r>
        <w:rPr>
          <w:spacing w:val="-13"/>
        </w:rPr>
        <w:t> </w:t>
      </w:r>
      <w:r>
        <w:rPr/>
        <w:t>gráfica</w:t>
      </w:r>
      <w:r>
        <w:rPr>
          <w:spacing w:val="-11"/>
        </w:rPr>
        <w:t> </w:t>
      </w:r>
      <w:r>
        <w:rPr/>
        <w:t>está</w:t>
      </w:r>
      <w:r>
        <w:rPr>
          <w:spacing w:val="-13"/>
        </w:rPr>
        <w:t> </w:t>
      </w:r>
      <w:r>
        <w:rPr/>
        <w:t>na</w:t>
      </w:r>
      <w:r>
        <w:rPr>
          <w:spacing w:val="-13"/>
        </w:rPr>
        <w:t> </w:t>
      </w:r>
      <w:r>
        <w:rPr/>
        <w:t>forma</w:t>
      </w:r>
      <w:r>
        <w:rPr>
          <w:spacing w:val="-13"/>
        </w:rPr>
        <w:t> </w:t>
      </w:r>
      <w:r>
        <w:rPr/>
        <w:t>do</w:t>
      </w:r>
      <w:r>
        <w:rPr>
          <w:spacing w:val="-13"/>
        </w:rPr>
        <w:t> </w:t>
      </w:r>
      <w:r>
        <w:rPr/>
        <w:t>Gráfico</w:t>
      </w:r>
      <w:r>
        <w:rPr>
          <w:spacing w:val="-8"/>
        </w:rPr>
        <w:t> </w:t>
      </w:r>
      <w:r>
        <w:rPr/>
        <w:t>4.</w:t>
      </w:r>
      <w:r>
        <w:rPr>
          <w:spacing w:val="-12"/>
        </w:rPr>
        <w:t> </w:t>
      </w:r>
      <w:r>
        <w:rPr/>
        <w:t>O</w:t>
      </w:r>
      <w:r>
        <w:rPr>
          <w:spacing w:val="-14"/>
        </w:rPr>
        <w:t> </w:t>
      </w:r>
      <w:r>
        <w:rPr/>
        <w:t>detalhamento</w:t>
      </w:r>
      <w:r>
        <w:rPr>
          <w:spacing w:val="-13"/>
        </w:rPr>
        <w:t> </w:t>
      </w:r>
      <w:r>
        <w:rPr/>
        <w:t>por CAU/UF apresenta-se no Anexo 2.</w:t>
      </w:r>
    </w:p>
    <w:p>
      <w:pPr>
        <w:spacing w:after="0" w:line="360" w:lineRule="auto"/>
        <w:jc w:val="both"/>
        <w:sectPr>
          <w:pgSz w:w="11910" w:h="16840"/>
          <w:pgMar w:header="689" w:footer="261" w:top="1580" w:bottom="460" w:left="1300" w:right="700"/>
        </w:sectPr>
      </w:pPr>
    </w:p>
    <w:p>
      <w:pPr>
        <w:spacing w:before="14"/>
        <w:ind w:left="0" w:right="148" w:firstLine="0"/>
        <w:jc w:val="right"/>
        <w:rPr>
          <w:b/>
          <w:sz w:val="24"/>
        </w:rPr>
      </w:pPr>
      <w:bookmarkStart w:name="_bookmark11" w:id="12"/>
      <w:bookmarkEnd w:id="12"/>
      <w:r>
        <w:rPr/>
      </w:r>
      <w:r>
        <w:rPr>
          <w:b/>
          <w:sz w:val="24"/>
        </w:rPr>
        <w:t>Gráfico</w:t>
      </w:r>
      <w:r>
        <w:rPr>
          <w:b/>
          <w:spacing w:val="-4"/>
          <w:sz w:val="24"/>
        </w:rPr>
        <w:t> </w:t>
      </w:r>
      <w:r>
        <w:rPr>
          <w:b/>
          <w:sz w:val="24"/>
        </w:rPr>
        <w:t>4.</w:t>
      </w:r>
      <w:r>
        <w:rPr>
          <w:b/>
          <w:spacing w:val="-2"/>
          <w:sz w:val="24"/>
        </w:rPr>
        <w:t> </w:t>
      </w:r>
      <w:r>
        <w:rPr>
          <w:b/>
          <w:sz w:val="24"/>
        </w:rPr>
        <w:t>Demonstrativo</w:t>
      </w:r>
      <w:r>
        <w:rPr>
          <w:b/>
          <w:spacing w:val="-2"/>
          <w:sz w:val="24"/>
        </w:rPr>
        <w:t> </w:t>
      </w:r>
      <w:r>
        <w:rPr>
          <w:b/>
          <w:sz w:val="24"/>
        </w:rPr>
        <w:t>Comparativo</w:t>
      </w:r>
      <w:r>
        <w:rPr>
          <w:b/>
          <w:spacing w:val="-6"/>
          <w:sz w:val="24"/>
        </w:rPr>
        <w:t> </w:t>
      </w:r>
      <w:r>
        <w:rPr>
          <w:b/>
          <w:sz w:val="24"/>
        </w:rPr>
        <w:t>dos</w:t>
      </w:r>
      <w:r>
        <w:rPr>
          <w:b/>
          <w:spacing w:val="-4"/>
          <w:sz w:val="24"/>
        </w:rPr>
        <w:t> </w:t>
      </w:r>
      <w:r>
        <w:rPr>
          <w:b/>
          <w:sz w:val="24"/>
        </w:rPr>
        <w:t>Recursos dos</w:t>
      </w:r>
      <w:r>
        <w:rPr>
          <w:b/>
          <w:spacing w:val="-2"/>
          <w:sz w:val="24"/>
        </w:rPr>
        <w:t> CAU/UF</w:t>
      </w:r>
    </w:p>
    <w:p>
      <w:pPr>
        <w:spacing w:before="0"/>
        <w:ind w:left="0" w:right="149" w:firstLine="0"/>
        <w:jc w:val="right"/>
        <w:rPr>
          <w:b/>
          <w:sz w:val="24"/>
        </w:rPr>
      </w:pPr>
      <w:r>
        <w:rPr>
          <w:b/>
          <w:sz w:val="24"/>
        </w:rPr>
        <w:t>(Programação</w:t>
      </w:r>
      <w:r>
        <w:rPr>
          <w:b/>
          <w:spacing w:val="-4"/>
          <w:sz w:val="24"/>
        </w:rPr>
        <w:t> </w:t>
      </w:r>
      <w:r>
        <w:rPr>
          <w:b/>
          <w:sz w:val="24"/>
        </w:rPr>
        <w:t>2020</w:t>
      </w:r>
      <w:r>
        <w:rPr>
          <w:b/>
          <w:spacing w:val="-3"/>
          <w:sz w:val="24"/>
        </w:rPr>
        <w:t> </w:t>
      </w:r>
      <w:r>
        <w:rPr>
          <w:b/>
          <w:sz w:val="24"/>
        </w:rPr>
        <w:t>X</w:t>
      </w:r>
      <w:r>
        <w:rPr>
          <w:b/>
          <w:spacing w:val="-3"/>
          <w:sz w:val="24"/>
        </w:rPr>
        <w:t> </w:t>
      </w:r>
      <w:r>
        <w:rPr>
          <w:b/>
          <w:sz w:val="24"/>
        </w:rPr>
        <w:t>Reprogramação</w:t>
      </w:r>
      <w:r>
        <w:rPr>
          <w:b/>
          <w:spacing w:val="-3"/>
          <w:sz w:val="24"/>
        </w:rPr>
        <w:t> </w:t>
      </w:r>
      <w:r>
        <w:rPr>
          <w:b/>
          <w:spacing w:val="-4"/>
          <w:sz w:val="24"/>
        </w:rPr>
        <w:t>2020)</w:t>
      </w:r>
    </w:p>
    <w:p>
      <w:pPr>
        <w:pStyle w:val="BodyText"/>
        <w:ind w:left="118"/>
        <w:rPr>
          <w:sz w:val="20"/>
        </w:rPr>
      </w:pPr>
      <w:r>
        <w:rPr>
          <w:sz w:val="20"/>
        </w:rPr>
        <w:drawing>
          <wp:inline distT="0" distB="0" distL="0" distR="0">
            <wp:extent cx="6154171" cy="3909155"/>
            <wp:effectExtent l="0" t="0" r="0" b="0"/>
            <wp:docPr id="11" name="image38.jpeg"/>
            <wp:cNvGraphicFramePr>
              <a:graphicFrameLocks noChangeAspect="1"/>
            </wp:cNvGraphicFramePr>
            <a:graphic>
              <a:graphicData uri="http://schemas.openxmlformats.org/drawingml/2006/picture">
                <pic:pic>
                  <pic:nvPicPr>
                    <pic:cNvPr id="12" name="image38.jpeg"/>
                    <pic:cNvPicPr/>
                  </pic:nvPicPr>
                  <pic:blipFill>
                    <a:blip r:embed="rId45" cstate="print"/>
                    <a:stretch>
                      <a:fillRect/>
                    </a:stretch>
                  </pic:blipFill>
                  <pic:spPr>
                    <a:xfrm>
                      <a:off x="0" y="0"/>
                      <a:ext cx="6154171" cy="3909155"/>
                    </a:xfrm>
                    <a:prstGeom prst="rect">
                      <a:avLst/>
                    </a:prstGeom>
                  </pic:spPr>
                </pic:pic>
              </a:graphicData>
            </a:graphic>
          </wp:inline>
        </w:drawing>
      </w:r>
      <w:r>
        <w:rPr>
          <w:sz w:val="20"/>
        </w:rPr>
      </w:r>
    </w:p>
    <w:p>
      <w:pPr>
        <w:pStyle w:val="BodyText"/>
        <w:spacing w:before="2"/>
        <w:rPr>
          <w:b/>
          <w:sz w:val="21"/>
        </w:rPr>
      </w:pPr>
    </w:p>
    <w:p>
      <w:pPr>
        <w:spacing w:before="0"/>
        <w:ind w:left="0" w:right="149" w:firstLine="0"/>
        <w:jc w:val="right"/>
        <w:rPr>
          <w:b/>
          <w:sz w:val="24"/>
        </w:rPr>
      </w:pPr>
      <w:bookmarkStart w:name="_bookmark12" w:id="13"/>
      <w:bookmarkEnd w:id="13"/>
      <w:r>
        <w:rPr/>
      </w:r>
      <w:r>
        <w:rPr>
          <w:b/>
          <w:sz w:val="24"/>
        </w:rPr>
        <w:t>Quadro</w:t>
      </w:r>
      <w:r>
        <w:rPr>
          <w:b/>
          <w:spacing w:val="-8"/>
          <w:sz w:val="24"/>
        </w:rPr>
        <w:t> </w:t>
      </w:r>
      <w:r>
        <w:rPr>
          <w:b/>
          <w:sz w:val="24"/>
        </w:rPr>
        <w:t>2.</w:t>
      </w:r>
      <w:r>
        <w:rPr>
          <w:b/>
          <w:spacing w:val="-2"/>
          <w:sz w:val="24"/>
        </w:rPr>
        <w:t> </w:t>
      </w:r>
      <w:r>
        <w:rPr>
          <w:b/>
          <w:sz w:val="24"/>
        </w:rPr>
        <w:t>Demonstrativo</w:t>
      </w:r>
      <w:r>
        <w:rPr>
          <w:b/>
          <w:spacing w:val="-2"/>
          <w:sz w:val="24"/>
        </w:rPr>
        <w:t> </w:t>
      </w:r>
      <w:r>
        <w:rPr>
          <w:b/>
          <w:sz w:val="24"/>
        </w:rPr>
        <w:t>Comparativo</w:t>
      </w:r>
      <w:r>
        <w:rPr>
          <w:b/>
          <w:spacing w:val="-5"/>
          <w:sz w:val="24"/>
        </w:rPr>
        <w:t> </w:t>
      </w:r>
      <w:r>
        <w:rPr>
          <w:b/>
          <w:sz w:val="24"/>
        </w:rPr>
        <w:t>de</w:t>
      </w:r>
      <w:r>
        <w:rPr>
          <w:b/>
          <w:spacing w:val="-4"/>
          <w:sz w:val="24"/>
        </w:rPr>
        <w:t> </w:t>
      </w:r>
      <w:r>
        <w:rPr>
          <w:b/>
          <w:sz w:val="24"/>
        </w:rPr>
        <w:t>Projetos</w:t>
      </w:r>
      <w:r>
        <w:rPr>
          <w:b/>
          <w:spacing w:val="1"/>
          <w:sz w:val="24"/>
        </w:rPr>
        <w:t> </w:t>
      </w:r>
      <w:r>
        <w:rPr>
          <w:b/>
          <w:sz w:val="24"/>
        </w:rPr>
        <w:t>por</w:t>
      </w:r>
      <w:r>
        <w:rPr>
          <w:b/>
          <w:spacing w:val="-4"/>
          <w:sz w:val="24"/>
        </w:rPr>
        <w:t> </w:t>
      </w:r>
      <w:r>
        <w:rPr>
          <w:b/>
          <w:sz w:val="24"/>
        </w:rPr>
        <w:t>região</w:t>
      </w:r>
      <w:r>
        <w:rPr>
          <w:b/>
          <w:spacing w:val="-1"/>
          <w:sz w:val="24"/>
        </w:rPr>
        <w:t> </w:t>
      </w:r>
      <w:r>
        <w:rPr>
          <w:b/>
          <w:sz w:val="24"/>
        </w:rPr>
        <w:t>(Programação</w:t>
      </w:r>
      <w:r>
        <w:rPr>
          <w:b/>
          <w:spacing w:val="-3"/>
          <w:sz w:val="24"/>
        </w:rPr>
        <w:t> </w:t>
      </w:r>
      <w:r>
        <w:rPr>
          <w:b/>
          <w:sz w:val="24"/>
        </w:rPr>
        <w:t>2020</w:t>
      </w:r>
      <w:r>
        <w:rPr>
          <w:b/>
          <w:spacing w:val="-2"/>
          <w:sz w:val="24"/>
        </w:rPr>
        <w:t> </w:t>
      </w:r>
      <w:r>
        <w:rPr>
          <w:b/>
          <w:spacing w:val="-10"/>
          <w:sz w:val="24"/>
        </w:rPr>
        <w:t>x</w:t>
      </w:r>
    </w:p>
    <w:p>
      <w:pPr>
        <w:spacing w:before="0"/>
        <w:ind w:left="0" w:right="146" w:firstLine="0"/>
        <w:jc w:val="right"/>
        <w:rPr>
          <w:b/>
          <w:sz w:val="24"/>
        </w:rPr>
      </w:pPr>
      <w:r>
        <w:rPr>
          <w:b/>
          <w:sz w:val="24"/>
        </w:rPr>
        <w:t>Reprogramação</w:t>
      </w:r>
      <w:r>
        <w:rPr>
          <w:b/>
          <w:spacing w:val="-9"/>
          <w:sz w:val="24"/>
        </w:rPr>
        <w:t> </w:t>
      </w:r>
      <w:r>
        <w:rPr>
          <w:b/>
          <w:spacing w:val="-4"/>
          <w:sz w:val="24"/>
        </w:rPr>
        <w:t>2020)</w:t>
      </w:r>
    </w:p>
    <w:p>
      <w:pPr>
        <w:spacing w:before="2"/>
        <w:ind w:left="0" w:right="149"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18"/>
        <w:rPr>
          <w:sz w:val="20"/>
        </w:rPr>
      </w:pPr>
      <w:r>
        <w:rPr>
          <w:sz w:val="20"/>
        </w:rPr>
        <w:drawing>
          <wp:inline distT="0" distB="0" distL="0" distR="0">
            <wp:extent cx="6165043" cy="2264283"/>
            <wp:effectExtent l="0" t="0" r="0" b="0"/>
            <wp:docPr id="13" name="image39.png"/>
            <wp:cNvGraphicFramePr>
              <a:graphicFrameLocks noChangeAspect="1"/>
            </wp:cNvGraphicFramePr>
            <a:graphic>
              <a:graphicData uri="http://schemas.openxmlformats.org/drawingml/2006/picture">
                <pic:pic>
                  <pic:nvPicPr>
                    <pic:cNvPr id="14" name="image39.png"/>
                    <pic:cNvPicPr/>
                  </pic:nvPicPr>
                  <pic:blipFill>
                    <a:blip r:embed="rId46" cstate="print"/>
                    <a:stretch>
                      <a:fillRect/>
                    </a:stretch>
                  </pic:blipFill>
                  <pic:spPr>
                    <a:xfrm>
                      <a:off x="0" y="0"/>
                      <a:ext cx="6165043" cy="2264283"/>
                    </a:xfrm>
                    <a:prstGeom prst="rect">
                      <a:avLst/>
                    </a:prstGeom>
                  </pic:spPr>
                </pic:pic>
              </a:graphicData>
            </a:graphic>
          </wp:inline>
        </w:drawing>
      </w:r>
      <w:r>
        <w:rPr>
          <w:sz w:val="20"/>
        </w:rPr>
      </w:r>
    </w:p>
    <w:p>
      <w:pPr>
        <w:pStyle w:val="BodyText"/>
        <w:spacing w:before="5"/>
        <w:rPr>
          <w:sz w:val="18"/>
        </w:rPr>
      </w:pPr>
    </w:p>
    <w:p>
      <w:pPr>
        <w:spacing w:before="0"/>
        <w:ind w:left="118" w:right="145" w:firstLine="851"/>
        <w:jc w:val="both"/>
        <w:rPr>
          <w:sz w:val="18"/>
        </w:rPr>
      </w:pPr>
      <w:r>
        <w:rPr>
          <w:sz w:val="18"/>
        </w:rPr>
        <w:t>* Os dados dos CAU/PI e CAU/DF, no tocante à Programação 2020, estão em conformidade com as propostas das Reprogramações</w:t>
      </w:r>
      <w:r>
        <w:rPr>
          <w:spacing w:val="-11"/>
          <w:sz w:val="18"/>
        </w:rPr>
        <w:t> </w:t>
      </w:r>
      <w:r>
        <w:rPr>
          <w:sz w:val="18"/>
        </w:rPr>
        <w:t>Extraordinárias</w:t>
      </w:r>
      <w:r>
        <w:rPr>
          <w:spacing w:val="-10"/>
          <w:sz w:val="18"/>
        </w:rPr>
        <w:t> </w:t>
      </w:r>
      <w:r>
        <w:rPr>
          <w:sz w:val="18"/>
        </w:rPr>
        <w:t>aprovadas</w:t>
      </w:r>
      <w:r>
        <w:rPr>
          <w:spacing w:val="-10"/>
          <w:sz w:val="18"/>
        </w:rPr>
        <w:t> </w:t>
      </w:r>
      <w:r>
        <w:rPr>
          <w:sz w:val="18"/>
        </w:rPr>
        <w:t>para</w:t>
      </w:r>
      <w:r>
        <w:rPr>
          <w:spacing w:val="-10"/>
          <w:sz w:val="18"/>
        </w:rPr>
        <w:t> </w:t>
      </w:r>
      <w:r>
        <w:rPr>
          <w:sz w:val="18"/>
        </w:rPr>
        <w:t>esses</w:t>
      </w:r>
      <w:r>
        <w:rPr>
          <w:spacing w:val="-10"/>
          <w:sz w:val="18"/>
        </w:rPr>
        <w:t> </w:t>
      </w:r>
      <w:r>
        <w:rPr>
          <w:sz w:val="18"/>
        </w:rPr>
        <w:t>CAU/UF,</w:t>
      </w:r>
      <w:r>
        <w:rPr>
          <w:spacing w:val="-11"/>
          <w:sz w:val="18"/>
        </w:rPr>
        <w:t> </w:t>
      </w:r>
      <w:r>
        <w:rPr>
          <w:sz w:val="18"/>
        </w:rPr>
        <w:t>uma</w:t>
      </w:r>
      <w:r>
        <w:rPr>
          <w:spacing w:val="-10"/>
          <w:sz w:val="18"/>
        </w:rPr>
        <w:t> </w:t>
      </w:r>
      <w:r>
        <w:rPr>
          <w:sz w:val="18"/>
        </w:rPr>
        <w:t>vez</w:t>
      </w:r>
      <w:r>
        <w:rPr>
          <w:spacing w:val="-10"/>
          <w:sz w:val="18"/>
        </w:rPr>
        <w:t> </w:t>
      </w:r>
      <w:r>
        <w:rPr>
          <w:sz w:val="18"/>
        </w:rPr>
        <w:t>que</w:t>
      </w:r>
      <w:r>
        <w:rPr>
          <w:spacing w:val="-10"/>
          <w:sz w:val="18"/>
        </w:rPr>
        <w:t> </w:t>
      </w:r>
      <w:r>
        <w:rPr>
          <w:sz w:val="18"/>
        </w:rPr>
        <w:t>ocorreram</w:t>
      </w:r>
      <w:r>
        <w:rPr>
          <w:spacing w:val="-10"/>
          <w:sz w:val="18"/>
        </w:rPr>
        <w:t> </w:t>
      </w:r>
      <w:r>
        <w:rPr>
          <w:sz w:val="18"/>
        </w:rPr>
        <w:t>em</w:t>
      </w:r>
      <w:r>
        <w:rPr>
          <w:spacing w:val="-10"/>
          <w:sz w:val="18"/>
        </w:rPr>
        <w:t> </w:t>
      </w:r>
      <w:r>
        <w:rPr>
          <w:sz w:val="18"/>
        </w:rPr>
        <w:t>data</w:t>
      </w:r>
      <w:r>
        <w:rPr>
          <w:spacing w:val="-11"/>
          <w:sz w:val="18"/>
        </w:rPr>
        <w:t> </w:t>
      </w:r>
      <w:r>
        <w:rPr>
          <w:sz w:val="18"/>
        </w:rPr>
        <w:t>anterior</w:t>
      </w:r>
      <w:r>
        <w:rPr>
          <w:spacing w:val="-10"/>
          <w:sz w:val="18"/>
        </w:rPr>
        <w:t> </w:t>
      </w:r>
      <w:r>
        <w:rPr>
          <w:sz w:val="18"/>
        </w:rPr>
        <w:t>à</w:t>
      </w:r>
      <w:r>
        <w:rPr>
          <w:spacing w:val="-10"/>
          <w:sz w:val="18"/>
        </w:rPr>
        <w:t> </w:t>
      </w:r>
      <w:r>
        <w:rPr>
          <w:sz w:val="18"/>
        </w:rPr>
        <w:t>Reprogramação</w:t>
      </w:r>
      <w:r>
        <w:rPr>
          <w:spacing w:val="-10"/>
          <w:sz w:val="18"/>
        </w:rPr>
        <w:t> </w:t>
      </w:r>
      <w:r>
        <w:rPr>
          <w:sz w:val="18"/>
        </w:rPr>
        <w:t>Ordinária e</w:t>
      </w:r>
      <w:r>
        <w:rPr>
          <w:spacing w:val="-11"/>
          <w:sz w:val="18"/>
        </w:rPr>
        <w:t> </w:t>
      </w:r>
      <w:r>
        <w:rPr>
          <w:sz w:val="18"/>
        </w:rPr>
        <w:t>para</w:t>
      </w:r>
      <w:r>
        <w:rPr>
          <w:spacing w:val="-10"/>
          <w:sz w:val="18"/>
        </w:rPr>
        <w:t> </w:t>
      </w:r>
      <w:r>
        <w:rPr>
          <w:sz w:val="18"/>
        </w:rPr>
        <w:t>os</w:t>
      </w:r>
      <w:r>
        <w:rPr>
          <w:spacing w:val="-10"/>
          <w:sz w:val="18"/>
        </w:rPr>
        <w:t> </w:t>
      </w:r>
      <w:r>
        <w:rPr>
          <w:sz w:val="18"/>
        </w:rPr>
        <w:t>CAU/AM,</w:t>
      </w:r>
      <w:r>
        <w:rPr>
          <w:spacing w:val="-10"/>
          <w:sz w:val="18"/>
        </w:rPr>
        <w:t> </w:t>
      </w:r>
      <w:r>
        <w:rPr>
          <w:sz w:val="18"/>
        </w:rPr>
        <w:t>CAU/AL,</w:t>
      </w:r>
      <w:r>
        <w:rPr>
          <w:spacing w:val="-10"/>
          <w:sz w:val="18"/>
        </w:rPr>
        <w:t> </w:t>
      </w:r>
      <w:r>
        <w:rPr>
          <w:sz w:val="18"/>
        </w:rPr>
        <w:t>CAU/CE,</w:t>
      </w:r>
      <w:r>
        <w:rPr>
          <w:spacing w:val="-11"/>
          <w:sz w:val="18"/>
        </w:rPr>
        <w:t> </w:t>
      </w:r>
      <w:r>
        <w:rPr>
          <w:sz w:val="18"/>
        </w:rPr>
        <w:t>CAU/ES,</w:t>
      </w:r>
      <w:r>
        <w:rPr>
          <w:spacing w:val="-10"/>
          <w:sz w:val="18"/>
        </w:rPr>
        <w:t> </w:t>
      </w:r>
      <w:r>
        <w:rPr>
          <w:sz w:val="18"/>
        </w:rPr>
        <w:t>CAU/RN</w:t>
      </w:r>
      <w:r>
        <w:rPr>
          <w:spacing w:val="-10"/>
          <w:sz w:val="18"/>
        </w:rPr>
        <w:t> </w:t>
      </w:r>
      <w:r>
        <w:rPr>
          <w:sz w:val="18"/>
        </w:rPr>
        <w:t>constam</w:t>
      </w:r>
      <w:r>
        <w:rPr>
          <w:spacing w:val="-10"/>
          <w:sz w:val="18"/>
        </w:rPr>
        <w:t> </w:t>
      </w:r>
      <w:r>
        <w:rPr>
          <w:sz w:val="18"/>
        </w:rPr>
        <w:t>as</w:t>
      </w:r>
      <w:r>
        <w:rPr>
          <w:spacing w:val="-10"/>
          <w:sz w:val="18"/>
        </w:rPr>
        <w:t> </w:t>
      </w:r>
      <w:r>
        <w:rPr>
          <w:sz w:val="18"/>
        </w:rPr>
        <w:t>informações</w:t>
      </w:r>
      <w:r>
        <w:rPr>
          <w:spacing w:val="-10"/>
          <w:sz w:val="18"/>
        </w:rPr>
        <w:t> </w:t>
      </w:r>
      <w:r>
        <w:rPr>
          <w:sz w:val="18"/>
        </w:rPr>
        <w:t>da</w:t>
      </w:r>
      <w:r>
        <w:rPr>
          <w:spacing w:val="-11"/>
          <w:sz w:val="18"/>
        </w:rPr>
        <w:t> </w:t>
      </w:r>
      <w:r>
        <w:rPr>
          <w:sz w:val="18"/>
        </w:rPr>
        <w:t>Reprogramação</w:t>
      </w:r>
      <w:r>
        <w:rPr>
          <w:spacing w:val="-10"/>
          <w:sz w:val="18"/>
        </w:rPr>
        <w:t> </w:t>
      </w:r>
      <w:r>
        <w:rPr>
          <w:sz w:val="18"/>
        </w:rPr>
        <w:t>Ordinária</w:t>
      </w:r>
      <w:r>
        <w:rPr>
          <w:spacing w:val="-10"/>
          <w:sz w:val="18"/>
        </w:rPr>
        <w:t> </w:t>
      </w:r>
      <w:r>
        <w:rPr>
          <w:sz w:val="18"/>
        </w:rPr>
        <w:t>aprovada</w:t>
      </w:r>
      <w:r>
        <w:rPr>
          <w:spacing w:val="-10"/>
          <w:sz w:val="18"/>
        </w:rPr>
        <w:t> </w:t>
      </w:r>
      <w:r>
        <w:rPr>
          <w:sz w:val="18"/>
        </w:rPr>
        <w:t>em</w:t>
      </w:r>
      <w:r>
        <w:rPr>
          <w:spacing w:val="-10"/>
          <w:sz w:val="18"/>
        </w:rPr>
        <w:t> </w:t>
      </w:r>
      <w:r>
        <w:rPr>
          <w:sz w:val="18"/>
        </w:rPr>
        <w:t>agosto/20. Na Reprogramação 2020, constam aprovados fora do fluxo da Reprogramação Ordinária aprovada em agosto, o CAU/PA aprovado na 104ª Reunião Plenária Ordinária, de 24 de setembro de 2020,</w:t>
      </w:r>
      <w:r>
        <w:rPr>
          <w:spacing w:val="40"/>
          <w:sz w:val="18"/>
        </w:rPr>
        <w:t> </w:t>
      </w:r>
      <w:r>
        <w:rPr>
          <w:sz w:val="18"/>
        </w:rPr>
        <w:t>o CAU/MA, na 105ª Reunião Plenária Ordinária, de 23 de outubro de 2020 e as Reprogramações Extraordinárias dos CAU/AM, CAU/AL, CAU/CE, CAU/ES, CAU/RN, aprovadas na Reunião Plenária Ordinária n° 106, de 19 de novembro de 2020.</w:t>
      </w:r>
    </w:p>
    <w:p>
      <w:pPr>
        <w:spacing w:after="0"/>
        <w:jc w:val="both"/>
        <w:rPr>
          <w:sz w:val="18"/>
        </w:rPr>
        <w:sectPr>
          <w:pgSz w:w="11910" w:h="16840"/>
          <w:pgMar w:header="689" w:footer="261" w:top="1580" w:bottom="460" w:left="1300" w:right="700"/>
        </w:sectPr>
      </w:pPr>
    </w:p>
    <w:p>
      <w:pPr>
        <w:pStyle w:val="Heading5"/>
        <w:spacing w:before="14"/>
        <w:ind w:right="148"/>
      </w:pPr>
      <w:bookmarkStart w:name="_bookmark13" w:id="14"/>
      <w:bookmarkEnd w:id="14"/>
      <w:r>
        <w:rPr>
          <w:b w:val="0"/>
        </w:rPr>
      </w:r>
      <w:r>
        <w:rPr/>
        <w:t>Quadro</w:t>
      </w:r>
      <w:r>
        <w:rPr>
          <w:spacing w:val="-6"/>
        </w:rPr>
        <w:t> </w:t>
      </w:r>
      <w:r>
        <w:rPr/>
        <w:t>3.</w:t>
      </w:r>
      <w:r>
        <w:rPr>
          <w:spacing w:val="-4"/>
        </w:rPr>
        <w:t> </w:t>
      </w:r>
      <w:r>
        <w:rPr/>
        <w:t>Demonstrativo</w:t>
      </w:r>
      <w:r>
        <w:rPr>
          <w:spacing w:val="-2"/>
        </w:rPr>
        <w:t> </w:t>
      </w:r>
      <w:r>
        <w:rPr/>
        <w:t>Comparativo</w:t>
      </w:r>
      <w:r>
        <w:rPr>
          <w:spacing w:val="-5"/>
        </w:rPr>
        <w:t> </w:t>
      </w:r>
      <w:r>
        <w:rPr/>
        <w:t>de</w:t>
      </w:r>
      <w:r>
        <w:rPr>
          <w:spacing w:val="-4"/>
        </w:rPr>
        <w:t> </w:t>
      </w:r>
      <w:r>
        <w:rPr/>
        <w:t>Atividade</w:t>
      </w:r>
      <w:r>
        <w:rPr>
          <w:spacing w:val="2"/>
        </w:rPr>
        <w:t> </w:t>
      </w:r>
      <w:r>
        <w:rPr/>
        <w:t>por</w:t>
      </w:r>
      <w:r>
        <w:rPr>
          <w:spacing w:val="-3"/>
        </w:rPr>
        <w:t> </w:t>
      </w:r>
      <w:r>
        <w:rPr>
          <w:spacing w:val="-2"/>
        </w:rPr>
        <w:t>região</w:t>
      </w:r>
    </w:p>
    <w:p>
      <w:pPr>
        <w:spacing w:before="0"/>
        <w:ind w:left="0" w:right="147" w:firstLine="0"/>
        <w:jc w:val="right"/>
        <w:rPr>
          <w:b/>
          <w:sz w:val="24"/>
        </w:rPr>
      </w:pPr>
      <w:r>
        <w:rPr>
          <w:b/>
          <w:sz w:val="24"/>
        </w:rPr>
        <w:t>(Programação</w:t>
      </w:r>
      <w:r>
        <w:rPr>
          <w:b/>
          <w:spacing w:val="-3"/>
          <w:sz w:val="24"/>
        </w:rPr>
        <w:t> </w:t>
      </w:r>
      <w:r>
        <w:rPr>
          <w:b/>
          <w:sz w:val="24"/>
        </w:rPr>
        <w:t>2020</w:t>
      </w:r>
      <w:r>
        <w:rPr>
          <w:b/>
          <w:spacing w:val="-2"/>
          <w:sz w:val="24"/>
        </w:rPr>
        <w:t> </w:t>
      </w:r>
      <w:r>
        <w:rPr>
          <w:b/>
          <w:sz w:val="24"/>
        </w:rPr>
        <w:t>x</w:t>
      </w:r>
      <w:r>
        <w:rPr>
          <w:b/>
          <w:spacing w:val="-5"/>
          <w:sz w:val="24"/>
        </w:rPr>
        <w:t> </w:t>
      </w:r>
      <w:r>
        <w:rPr>
          <w:b/>
          <w:sz w:val="24"/>
        </w:rPr>
        <w:t>Reprogramação</w:t>
      </w:r>
      <w:r>
        <w:rPr>
          <w:b/>
          <w:spacing w:val="-2"/>
          <w:sz w:val="24"/>
        </w:rPr>
        <w:t> </w:t>
      </w:r>
      <w:r>
        <w:rPr>
          <w:b/>
          <w:spacing w:val="-4"/>
          <w:sz w:val="24"/>
        </w:rPr>
        <w:t>2020)</w:t>
      </w:r>
    </w:p>
    <w:p>
      <w:pPr>
        <w:spacing w:before="1"/>
        <w:ind w:left="0" w:right="146"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19"/>
        <w:rPr>
          <w:sz w:val="20"/>
        </w:rPr>
      </w:pPr>
      <w:r>
        <w:rPr>
          <w:sz w:val="20"/>
        </w:rPr>
        <w:drawing>
          <wp:inline distT="0" distB="0" distL="0" distR="0">
            <wp:extent cx="6030138" cy="7150893"/>
            <wp:effectExtent l="0" t="0" r="0" b="0"/>
            <wp:docPr id="15" name="image40.png"/>
            <wp:cNvGraphicFramePr>
              <a:graphicFrameLocks noChangeAspect="1"/>
            </wp:cNvGraphicFramePr>
            <a:graphic>
              <a:graphicData uri="http://schemas.openxmlformats.org/drawingml/2006/picture">
                <pic:pic>
                  <pic:nvPicPr>
                    <pic:cNvPr id="16" name="image40.png"/>
                    <pic:cNvPicPr/>
                  </pic:nvPicPr>
                  <pic:blipFill>
                    <a:blip r:embed="rId47" cstate="print"/>
                    <a:stretch>
                      <a:fillRect/>
                    </a:stretch>
                  </pic:blipFill>
                  <pic:spPr>
                    <a:xfrm>
                      <a:off x="0" y="0"/>
                      <a:ext cx="6030138" cy="7150893"/>
                    </a:xfrm>
                    <a:prstGeom prst="rect">
                      <a:avLst/>
                    </a:prstGeom>
                  </pic:spPr>
                </pic:pic>
              </a:graphicData>
            </a:graphic>
          </wp:inline>
        </w:drawing>
      </w:r>
      <w:r>
        <w:rPr>
          <w:sz w:val="20"/>
        </w:rPr>
      </w:r>
    </w:p>
    <w:p>
      <w:pPr>
        <w:spacing w:after="0"/>
        <w:rPr>
          <w:sz w:val="20"/>
        </w:rPr>
        <w:sectPr>
          <w:pgSz w:w="11910" w:h="16840"/>
          <w:pgMar w:header="689" w:footer="261" w:top="1580" w:bottom="460" w:left="1300" w:right="700"/>
        </w:sectPr>
      </w:pPr>
    </w:p>
    <w:p>
      <w:pPr>
        <w:pStyle w:val="Heading3"/>
        <w:numPr>
          <w:ilvl w:val="0"/>
          <w:numId w:val="3"/>
        </w:numPr>
        <w:tabs>
          <w:tab w:pos="1250" w:val="left" w:leader="none"/>
        </w:tabs>
        <w:spacing w:line="240" w:lineRule="auto" w:before="14" w:after="0"/>
        <w:ind w:left="1249" w:right="0" w:hanging="280"/>
        <w:jc w:val="left"/>
      </w:pPr>
      <w:bookmarkStart w:name="_bookmark14" w:id="15"/>
      <w:bookmarkEnd w:id="15"/>
      <w:r>
        <w:rPr>
          <w:color w:val="006666"/>
        </w:rPr>
        <w:t>APLICAÇÃO</w:t>
      </w:r>
      <w:r>
        <w:rPr>
          <w:color w:val="006666"/>
          <w:spacing w:val="-6"/>
        </w:rPr>
        <w:t> </w:t>
      </w:r>
      <w:r>
        <w:rPr>
          <w:color w:val="006666"/>
        </w:rPr>
        <w:t>DOS</w:t>
      </w:r>
      <w:r>
        <w:rPr>
          <w:color w:val="006666"/>
          <w:spacing w:val="-5"/>
        </w:rPr>
        <w:t> </w:t>
      </w:r>
      <w:r>
        <w:rPr>
          <w:color w:val="006666"/>
        </w:rPr>
        <w:t>RECURSOS</w:t>
      </w:r>
      <w:r>
        <w:rPr>
          <w:color w:val="006666"/>
          <w:spacing w:val="-5"/>
        </w:rPr>
        <w:t> </w:t>
      </w:r>
      <w:r>
        <w:rPr>
          <w:color w:val="006666"/>
        </w:rPr>
        <w:t>POR</w:t>
      </w:r>
      <w:r>
        <w:rPr>
          <w:color w:val="006666"/>
          <w:spacing w:val="-5"/>
        </w:rPr>
        <w:t> </w:t>
      </w:r>
      <w:r>
        <w:rPr>
          <w:color w:val="006666"/>
        </w:rPr>
        <w:t>OBJETIVOS</w:t>
      </w:r>
      <w:r>
        <w:rPr>
          <w:color w:val="006666"/>
          <w:spacing w:val="-5"/>
        </w:rPr>
        <w:t> </w:t>
      </w:r>
      <w:r>
        <w:rPr>
          <w:color w:val="006666"/>
          <w:spacing w:val="-2"/>
        </w:rPr>
        <w:t>ESTRATÉGICOS.</w:t>
      </w:r>
    </w:p>
    <w:p>
      <w:pPr>
        <w:pStyle w:val="BodyText"/>
        <w:rPr>
          <w:b/>
          <w:sz w:val="27"/>
        </w:rPr>
      </w:pPr>
    </w:p>
    <w:p>
      <w:pPr>
        <w:spacing w:line="360" w:lineRule="auto" w:before="0"/>
        <w:ind w:left="118" w:right="143" w:firstLine="851"/>
        <w:jc w:val="both"/>
        <w:rPr>
          <w:sz w:val="24"/>
        </w:rPr>
      </w:pPr>
      <w:r>
        <w:rPr>
          <w:sz w:val="24"/>
        </w:rPr>
        <w:t>Para</w:t>
      </w:r>
      <w:r>
        <w:rPr>
          <w:spacing w:val="-14"/>
          <w:sz w:val="24"/>
        </w:rPr>
        <w:t> </w:t>
      </w:r>
      <w:r>
        <w:rPr>
          <w:sz w:val="24"/>
        </w:rPr>
        <w:t>a</w:t>
      </w:r>
      <w:r>
        <w:rPr>
          <w:spacing w:val="-14"/>
          <w:sz w:val="24"/>
        </w:rPr>
        <w:t> </w:t>
      </w:r>
      <w:r>
        <w:rPr>
          <w:sz w:val="24"/>
        </w:rPr>
        <w:t>Reprogramação</w:t>
      </w:r>
      <w:r>
        <w:rPr>
          <w:spacing w:val="-13"/>
          <w:sz w:val="24"/>
        </w:rPr>
        <w:t> </w:t>
      </w:r>
      <w:r>
        <w:rPr>
          <w:sz w:val="24"/>
        </w:rPr>
        <w:t>do</w:t>
      </w:r>
      <w:r>
        <w:rPr>
          <w:spacing w:val="-14"/>
          <w:sz w:val="24"/>
        </w:rPr>
        <w:t> </w:t>
      </w:r>
      <w:r>
        <w:rPr>
          <w:sz w:val="24"/>
        </w:rPr>
        <w:t>Plano</w:t>
      </w:r>
      <w:r>
        <w:rPr>
          <w:spacing w:val="-13"/>
          <w:sz w:val="24"/>
        </w:rPr>
        <w:t> </w:t>
      </w:r>
      <w:r>
        <w:rPr>
          <w:sz w:val="24"/>
        </w:rPr>
        <w:t>de</w:t>
      </w:r>
      <w:r>
        <w:rPr>
          <w:spacing w:val="-14"/>
          <w:sz w:val="24"/>
        </w:rPr>
        <w:t> </w:t>
      </w:r>
      <w:r>
        <w:rPr>
          <w:sz w:val="24"/>
        </w:rPr>
        <w:t>Ação</w:t>
      </w:r>
      <w:r>
        <w:rPr>
          <w:spacing w:val="-13"/>
          <w:sz w:val="24"/>
        </w:rPr>
        <w:t> </w:t>
      </w:r>
      <w:r>
        <w:rPr>
          <w:sz w:val="24"/>
        </w:rPr>
        <w:t>do</w:t>
      </w:r>
      <w:r>
        <w:rPr>
          <w:spacing w:val="-14"/>
          <w:sz w:val="24"/>
        </w:rPr>
        <w:t> </w:t>
      </w:r>
      <w:r>
        <w:rPr>
          <w:sz w:val="24"/>
        </w:rPr>
        <w:t>CAU</w:t>
      </w:r>
      <w:r>
        <w:rPr>
          <w:spacing w:val="-14"/>
          <w:sz w:val="24"/>
        </w:rPr>
        <w:t> </w:t>
      </w:r>
      <w:r>
        <w:rPr>
          <w:sz w:val="24"/>
        </w:rPr>
        <w:t>de</w:t>
      </w:r>
      <w:r>
        <w:rPr>
          <w:spacing w:val="-13"/>
          <w:sz w:val="24"/>
        </w:rPr>
        <w:t> </w:t>
      </w:r>
      <w:r>
        <w:rPr>
          <w:sz w:val="24"/>
        </w:rPr>
        <w:t>2020,</w:t>
      </w:r>
      <w:r>
        <w:rPr>
          <w:spacing w:val="-14"/>
          <w:sz w:val="24"/>
        </w:rPr>
        <w:t> </w:t>
      </w:r>
      <w:r>
        <w:rPr>
          <w:sz w:val="24"/>
        </w:rPr>
        <w:t>as</w:t>
      </w:r>
      <w:r>
        <w:rPr>
          <w:spacing w:val="-13"/>
          <w:sz w:val="24"/>
        </w:rPr>
        <w:t> </w:t>
      </w:r>
      <w:r>
        <w:rPr>
          <w:sz w:val="24"/>
        </w:rPr>
        <w:t>iniciativas</w:t>
      </w:r>
      <w:r>
        <w:rPr>
          <w:spacing w:val="-14"/>
          <w:sz w:val="24"/>
        </w:rPr>
        <w:t> </w:t>
      </w:r>
      <w:r>
        <w:rPr>
          <w:sz w:val="24"/>
        </w:rPr>
        <w:t>estratégicas</w:t>
      </w:r>
      <w:r>
        <w:rPr>
          <w:spacing w:val="-13"/>
          <w:sz w:val="24"/>
        </w:rPr>
        <w:t> </w:t>
      </w:r>
      <w:r>
        <w:rPr>
          <w:sz w:val="24"/>
        </w:rPr>
        <w:t>a</w:t>
      </w:r>
      <w:r>
        <w:rPr>
          <w:spacing w:val="-14"/>
          <w:sz w:val="24"/>
        </w:rPr>
        <w:t> </w:t>
      </w:r>
      <w:r>
        <w:rPr>
          <w:sz w:val="24"/>
        </w:rPr>
        <w:t>serem implementadas</w:t>
      </w:r>
      <w:r>
        <w:rPr>
          <w:spacing w:val="-14"/>
          <w:sz w:val="24"/>
        </w:rPr>
        <w:t> </w:t>
      </w:r>
      <w:r>
        <w:rPr>
          <w:sz w:val="24"/>
        </w:rPr>
        <w:t>pelo</w:t>
      </w:r>
      <w:r>
        <w:rPr>
          <w:spacing w:val="-14"/>
          <w:sz w:val="24"/>
        </w:rPr>
        <w:t> </w:t>
      </w:r>
      <w:r>
        <w:rPr>
          <w:sz w:val="24"/>
        </w:rPr>
        <w:t>Conselho</w:t>
      </w:r>
      <w:r>
        <w:rPr>
          <w:spacing w:val="-13"/>
          <w:sz w:val="24"/>
        </w:rPr>
        <w:t> </w:t>
      </w:r>
      <w:r>
        <w:rPr>
          <w:sz w:val="24"/>
        </w:rPr>
        <w:t>focam</w:t>
      </w:r>
      <w:r>
        <w:rPr>
          <w:spacing w:val="-14"/>
          <w:sz w:val="24"/>
        </w:rPr>
        <w:t> </w:t>
      </w:r>
      <w:r>
        <w:rPr>
          <w:sz w:val="24"/>
        </w:rPr>
        <w:t>prioritariamente</w:t>
      </w:r>
      <w:r>
        <w:rPr>
          <w:spacing w:val="-13"/>
          <w:sz w:val="24"/>
        </w:rPr>
        <w:t> </w:t>
      </w:r>
      <w:r>
        <w:rPr>
          <w:sz w:val="24"/>
        </w:rPr>
        <w:t>os</w:t>
      </w:r>
      <w:r>
        <w:rPr>
          <w:spacing w:val="-14"/>
          <w:sz w:val="24"/>
        </w:rPr>
        <w:t> </w:t>
      </w:r>
      <w:r>
        <w:rPr>
          <w:sz w:val="24"/>
        </w:rPr>
        <w:t>Objetivos</w:t>
      </w:r>
      <w:r>
        <w:rPr>
          <w:spacing w:val="-13"/>
          <w:sz w:val="24"/>
        </w:rPr>
        <w:t> </w:t>
      </w:r>
      <w:r>
        <w:rPr>
          <w:sz w:val="24"/>
        </w:rPr>
        <w:t>Estratégicos</w:t>
      </w:r>
      <w:r>
        <w:rPr>
          <w:spacing w:val="-14"/>
          <w:sz w:val="24"/>
        </w:rPr>
        <w:t> </w:t>
      </w:r>
      <w:r>
        <w:rPr>
          <w:sz w:val="24"/>
        </w:rPr>
        <w:t>de</w:t>
      </w:r>
      <w:r>
        <w:rPr>
          <w:spacing w:val="-14"/>
          <w:sz w:val="24"/>
        </w:rPr>
        <w:t> </w:t>
      </w:r>
      <w:r>
        <w:rPr>
          <w:sz w:val="24"/>
        </w:rPr>
        <w:t>âmbito</w:t>
      </w:r>
      <w:r>
        <w:rPr>
          <w:spacing w:val="-13"/>
          <w:sz w:val="24"/>
        </w:rPr>
        <w:t> </w:t>
      </w:r>
      <w:r>
        <w:rPr>
          <w:sz w:val="24"/>
        </w:rPr>
        <w:t>nacional, são: </w:t>
      </w:r>
      <w:r>
        <w:rPr>
          <w:b/>
          <w:sz w:val="24"/>
        </w:rPr>
        <w:t>(i)Tornar a fiscalização um vetor de melhoria do exercício da Arquitetura e Urbanismo; (ii) Estimular a produção da Arquitetura e Urbanismo como política de Estado; (iii) Assegurar a eficácia no relacionamento e comunicação com a sociedade</w:t>
      </w:r>
      <w:r>
        <w:rPr>
          <w:sz w:val="24"/>
        </w:rPr>
        <w:t>. Os CAU/UF e o CAU/BR também elencaram outros objetivos estratégicos (dois em média) para atuação prioritária. Os objetivos estratégicos, por CAU/UF e CAU/BR, estão tratados nos próprios Mapas Estratégicos apresentados nos respectivos links do Anexo 7.</w:t>
      </w:r>
    </w:p>
    <w:p>
      <w:pPr>
        <w:spacing w:line="360" w:lineRule="auto" w:before="162"/>
        <w:ind w:left="118" w:right="144" w:firstLine="851"/>
        <w:jc w:val="both"/>
        <w:rPr>
          <w:sz w:val="24"/>
        </w:rPr>
      </w:pPr>
      <w:r>
        <w:rPr>
          <w:sz w:val="24"/>
        </w:rPr>
        <w:t>Quanto à destinação de recursos estratégicos, observando os limites estabelecidos nas Diretrizes da Reprogramação do Plano de Ação 2020, com base na receita de arrecadação do exercício líquida (RAL), de R$ 133,29 milhões, o CAU atende os respectivos percentuais e valores, como</w:t>
      </w:r>
      <w:r>
        <w:rPr>
          <w:spacing w:val="-1"/>
          <w:sz w:val="24"/>
        </w:rPr>
        <w:t> </w:t>
      </w:r>
      <w:r>
        <w:rPr>
          <w:sz w:val="24"/>
        </w:rPr>
        <w:t>segue:</w:t>
      </w:r>
      <w:r>
        <w:rPr>
          <w:spacing w:val="-2"/>
          <w:sz w:val="24"/>
        </w:rPr>
        <w:t> </w:t>
      </w:r>
      <w:r>
        <w:rPr>
          <w:b/>
          <w:sz w:val="24"/>
        </w:rPr>
        <w:t>Fiscalização</w:t>
      </w:r>
      <w:r>
        <w:rPr>
          <w:b/>
          <w:spacing w:val="-2"/>
          <w:sz w:val="24"/>
        </w:rPr>
        <w:t> </w:t>
      </w:r>
      <w:r>
        <w:rPr>
          <w:sz w:val="24"/>
        </w:rPr>
        <w:t>com</w:t>
      </w:r>
      <w:r>
        <w:rPr>
          <w:spacing w:val="-3"/>
          <w:sz w:val="24"/>
        </w:rPr>
        <w:t> </w:t>
      </w:r>
      <w:r>
        <w:rPr>
          <w:b/>
          <w:sz w:val="24"/>
        </w:rPr>
        <w:t>28,4%</w:t>
      </w:r>
      <w:r>
        <w:rPr>
          <w:b/>
          <w:spacing w:val="-4"/>
          <w:sz w:val="24"/>
        </w:rPr>
        <w:t> </w:t>
      </w:r>
      <w:r>
        <w:rPr>
          <w:sz w:val="24"/>
        </w:rPr>
        <w:t>da</w:t>
      </w:r>
      <w:r>
        <w:rPr>
          <w:spacing w:val="-2"/>
          <w:sz w:val="24"/>
        </w:rPr>
        <w:t> </w:t>
      </w:r>
      <w:r>
        <w:rPr>
          <w:sz w:val="24"/>
        </w:rPr>
        <w:t>RAL,</w:t>
      </w:r>
      <w:r>
        <w:rPr>
          <w:spacing w:val="-5"/>
          <w:sz w:val="24"/>
        </w:rPr>
        <w:t> </w:t>
      </w:r>
      <w:r>
        <w:rPr>
          <w:sz w:val="24"/>
        </w:rPr>
        <w:t>ou</w:t>
      </w:r>
      <w:r>
        <w:rPr>
          <w:spacing w:val="-3"/>
          <w:sz w:val="24"/>
        </w:rPr>
        <w:t> </w:t>
      </w:r>
      <w:r>
        <w:rPr>
          <w:sz w:val="24"/>
        </w:rPr>
        <w:t>R$</w:t>
      </w:r>
      <w:r>
        <w:rPr>
          <w:spacing w:val="-1"/>
          <w:sz w:val="24"/>
        </w:rPr>
        <w:t> </w:t>
      </w:r>
      <w:r>
        <w:rPr>
          <w:sz w:val="24"/>
        </w:rPr>
        <w:t>37,82</w:t>
      </w:r>
      <w:r>
        <w:rPr>
          <w:spacing w:val="-3"/>
          <w:sz w:val="24"/>
        </w:rPr>
        <w:t> </w:t>
      </w:r>
      <w:r>
        <w:rPr>
          <w:sz w:val="24"/>
        </w:rPr>
        <w:t>milhões;</w:t>
      </w:r>
      <w:r>
        <w:rPr>
          <w:spacing w:val="-3"/>
          <w:sz w:val="24"/>
        </w:rPr>
        <w:t> </w:t>
      </w:r>
      <w:r>
        <w:rPr>
          <w:b/>
          <w:sz w:val="24"/>
        </w:rPr>
        <w:t>Atendimento </w:t>
      </w:r>
      <w:r>
        <w:rPr>
          <w:sz w:val="24"/>
        </w:rPr>
        <w:t>com</w:t>
      </w:r>
      <w:r>
        <w:rPr>
          <w:spacing w:val="-3"/>
          <w:sz w:val="24"/>
        </w:rPr>
        <w:t> </w:t>
      </w:r>
      <w:r>
        <w:rPr>
          <w:b/>
          <w:sz w:val="24"/>
        </w:rPr>
        <w:t>21,4%</w:t>
      </w:r>
      <w:r>
        <w:rPr>
          <w:sz w:val="24"/>
        </w:rPr>
        <w:t>,</w:t>
      </w:r>
      <w:r>
        <w:rPr>
          <w:spacing w:val="-4"/>
          <w:sz w:val="24"/>
        </w:rPr>
        <w:t> </w:t>
      </w:r>
      <w:r>
        <w:rPr>
          <w:sz w:val="24"/>
        </w:rPr>
        <w:t>ou</w:t>
      </w:r>
      <w:r>
        <w:rPr>
          <w:spacing w:val="-3"/>
          <w:sz w:val="24"/>
        </w:rPr>
        <w:t> </w:t>
      </w:r>
      <w:r>
        <w:rPr>
          <w:sz w:val="24"/>
        </w:rPr>
        <w:t>R$ 28,55 milhões; </w:t>
      </w:r>
      <w:r>
        <w:rPr>
          <w:b/>
          <w:sz w:val="24"/>
        </w:rPr>
        <w:t>Comunicação </w:t>
      </w:r>
      <w:r>
        <w:rPr>
          <w:sz w:val="24"/>
        </w:rPr>
        <w:t>com </w:t>
      </w:r>
      <w:r>
        <w:rPr>
          <w:b/>
          <w:sz w:val="24"/>
        </w:rPr>
        <w:t>8,1%</w:t>
      </w:r>
      <w:r>
        <w:rPr>
          <w:sz w:val="24"/>
        </w:rPr>
        <w:t>, ou R$ 10,74 milhões; </w:t>
      </w:r>
      <w:r>
        <w:rPr>
          <w:b/>
          <w:sz w:val="24"/>
        </w:rPr>
        <w:t>Patrocínios </w:t>
      </w:r>
      <w:r>
        <w:rPr>
          <w:sz w:val="24"/>
        </w:rPr>
        <w:t>com </w:t>
      </w:r>
      <w:r>
        <w:rPr>
          <w:b/>
          <w:sz w:val="24"/>
        </w:rPr>
        <w:t>2,3%</w:t>
      </w:r>
      <w:r>
        <w:rPr>
          <w:sz w:val="24"/>
        </w:rPr>
        <w:t>, ou R$ 3,09 milhões; </w:t>
      </w:r>
      <w:r>
        <w:rPr>
          <w:b/>
          <w:sz w:val="24"/>
        </w:rPr>
        <w:t>Objetivos Estratégicos Locais </w:t>
      </w:r>
      <w:r>
        <w:rPr>
          <w:sz w:val="24"/>
        </w:rPr>
        <w:t>com </w:t>
      </w:r>
      <w:r>
        <w:rPr>
          <w:b/>
          <w:sz w:val="24"/>
        </w:rPr>
        <w:t>38,7%</w:t>
      </w:r>
      <w:r>
        <w:rPr>
          <w:sz w:val="24"/>
        </w:rPr>
        <w:t>, ou R$ 51,65 milhões, e </w:t>
      </w:r>
      <w:r>
        <w:rPr>
          <w:b/>
          <w:sz w:val="24"/>
        </w:rPr>
        <w:t>7,7% </w:t>
      </w:r>
      <w:r>
        <w:rPr>
          <w:sz w:val="24"/>
        </w:rPr>
        <w:t>ou 10,30 milhões direcionados para </w:t>
      </w:r>
      <w:r>
        <w:rPr>
          <w:b/>
          <w:sz w:val="24"/>
        </w:rPr>
        <w:t>Assistência Técnica em Habitações de Interesse Social ATHIS, </w:t>
      </w:r>
      <w:r>
        <w:rPr>
          <w:sz w:val="24"/>
        </w:rPr>
        <w:t>conforme demonstrado e detalhado, por CAU/UF e CAU/BR, no Anexo 6.</w:t>
      </w:r>
    </w:p>
    <w:p>
      <w:pPr>
        <w:pStyle w:val="BodyText"/>
        <w:spacing w:line="360" w:lineRule="auto" w:before="159"/>
        <w:ind w:left="118" w:right="143" w:firstLine="851"/>
        <w:jc w:val="both"/>
      </w:pPr>
      <w:r>
        <w:rPr/>
        <w:t>Para as iniciativas em </w:t>
      </w:r>
      <w:r>
        <w:rPr>
          <w:b/>
        </w:rPr>
        <w:t>Capacitação</w:t>
      </w:r>
      <w:r>
        <w:rPr/>
        <w:t>, de conselheiros e do corpo funcional do CAU, são destinados </w:t>
      </w:r>
      <w:r>
        <w:rPr>
          <w:b/>
        </w:rPr>
        <w:t>0,8%</w:t>
      </w:r>
      <w:r>
        <w:rPr/>
        <w:t>, ou R$ 782,33 mil, considerando o total de gastos com a folha de pagamentos (salários, encargos e benefícios) de R$ 97,18 milhões, conforme demonstrado no Anexo 6.</w:t>
      </w:r>
    </w:p>
    <w:p>
      <w:pPr>
        <w:pStyle w:val="BodyText"/>
        <w:spacing w:line="360" w:lineRule="auto" w:before="161"/>
        <w:ind w:left="118" w:right="143" w:firstLine="851"/>
        <w:jc w:val="both"/>
      </w:pPr>
      <w:r>
        <w:rPr/>
        <w:t>No tocante aos limites de aplicações em </w:t>
      </w:r>
      <w:r>
        <w:rPr>
          <w:b/>
        </w:rPr>
        <w:t>Pessoal </w:t>
      </w:r>
      <w:r>
        <w:rPr/>
        <w:t>(salários e encargos), considerando que para o cálculo do índice não são considerados os valores destinados a rescisões contratuais e benefícios concedidos (totalizando R$ 13,85 milhões), estão sendo destinados recursos no montante</w:t>
      </w:r>
      <w:r>
        <w:rPr>
          <w:spacing w:val="-2"/>
        </w:rPr>
        <w:t> </w:t>
      </w:r>
      <w:r>
        <w:rPr/>
        <w:t>de</w:t>
      </w:r>
      <w:r>
        <w:rPr>
          <w:spacing w:val="-2"/>
        </w:rPr>
        <w:t> </w:t>
      </w:r>
      <w:r>
        <w:rPr/>
        <w:t>R$ 83,32 milhões,</w:t>
      </w:r>
      <w:r>
        <w:rPr>
          <w:spacing w:val="-3"/>
        </w:rPr>
        <w:t> </w:t>
      </w:r>
      <w:r>
        <w:rPr/>
        <w:t>ou </w:t>
      </w:r>
      <w:r>
        <w:rPr>
          <w:b/>
        </w:rPr>
        <w:t>51,6%</w:t>
      </w:r>
      <w:r>
        <w:rPr>
          <w:b/>
          <w:spacing w:val="-2"/>
        </w:rPr>
        <w:t> </w:t>
      </w:r>
      <w:r>
        <w:rPr/>
        <w:t>das</w:t>
      </w:r>
      <w:r>
        <w:rPr>
          <w:spacing w:val="-3"/>
        </w:rPr>
        <w:t> </w:t>
      </w:r>
      <w:r>
        <w:rPr/>
        <w:t>receitas correntes</w:t>
      </w:r>
      <w:r>
        <w:rPr>
          <w:spacing w:val="-2"/>
        </w:rPr>
        <w:t> </w:t>
      </w:r>
      <w:r>
        <w:rPr/>
        <w:t>(R$ 161,50 milhões).</w:t>
      </w:r>
      <w:r>
        <w:rPr>
          <w:spacing w:val="-1"/>
        </w:rPr>
        <w:t> </w:t>
      </w:r>
      <w:r>
        <w:rPr/>
        <w:t>Para </w:t>
      </w:r>
      <w:r>
        <w:rPr>
          <w:b/>
        </w:rPr>
        <w:t>Reserva de Contingência </w:t>
      </w:r>
      <w:r>
        <w:rPr/>
        <w:t>os recursos destinados são de R$ 1,99 milhão, ou </w:t>
      </w:r>
      <w:r>
        <w:rPr>
          <w:b/>
        </w:rPr>
        <w:t>1,5% </w:t>
      </w:r>
      <w:r>
        <w:rPr/>
        <w:t>da RAL, conforme demonstrados nos Anexos 5 e 6.</w:t>
      </w:r>
    </w:p>
    <w:p>
      <w:pPr>
        <w:spacing w:line="360" w:lineRule="auto" w:before="159"/>
        <w:ind w:left="118" w:right="147" w:firstLine="851"/>
        <w:jc w:val="both"/>
        <w:rPr>
          <w:sz w:val="24"/>
        </w:rPr>
      </w:pPr>
      <w:r>
        <w:rPr>
          <w:sz w:val="24"/>
        </w:rPr>
        <w:t>O </w:t>
      </w:r>
      <w:r>
        <w:rPr>
          <w:b/>
          <w:sz w:val="24"/>
        </w:rPr>
        <w:t>CAU/BR</w:t>
      </w:r>
      <w:r>
        <w:rPr>
          <w:sz w:val="24"/>
        </w:rPr>
        <w:t>, que contempla uma receita de arrecadação líquida no total de R$ 25,79 milhões, apresenta as destinações estratégicas dimensionadas e atendidas, da seguinte forma: </w:t>
      </w:r>
      <w:r>
        <w:rPr>
          <w:b/>
          <w:sz w:val="24"/>
        </w:rPr>
        <w:t>Fiscalização</w:t>
      </w:r>
      <w:r>
        <w:rPr>
          <w:b/>
          <w:spacing w:val="-6"/>
          <w:sz w:val="24"/>
        </w:rPr>
        <w:t> </w:t>
      </w:r>
      <w:r>
        <w:rPr>
          <w:sz w:val="24"/>
        </w:rPr>
        <w:t>com</w:t>
      </w:r>
      <w:r>
        <w:rPr>
          <w:spacing w:val="-9"/>
          <w:sz w:val="24"/>
        </w:rPr>
        <w:t> </w:t>
      </w:r>
      <w:r>
        <w:rPr>
          <w:b/>
          <w:sz w:val="24"/>
        </w:rPr>
        <w:t>20,8%</w:t>
      </w:r>
      <w:r>
        <w:rPr>
          <w:b/>
          <w:spacing w:val="-11"/>
          <w:sz w:val="24"/>
        </w:rPr>
        <w:t> </w:t>
      </w:r>
      <w:r>
        <w:rPr>
          <w:sz w:val="24"/>
        </w:rPr>
        <w:t>ou</w:t>
      </w:r>
      <w:r>
        <w:rPr>
          <w:spacing w:val="-6"/>
          <w:sz w:val="24"/>
        </w:rPr>
        <w:t> </w:t>
      </w:r>
      <w:r>
        <w:rPr>
          <w:sz w:val="24"/>
        </w:rPr>
        <w:t>R$</w:t>
      </w:r>
      <w:r>
        <w:rPr>
          <w:spacing w:val="-10"/>
          <w:sz w:val="24"/>
        </w:rPr>
        <w:t> </w:t>
      </w:r>
      <w:r>
        <w:rPr>
          <w:sz w:val="24"/>
        </w:rPr>
        <w:t>5,37</w:t>
      </w:r>
      <w:r>
        <w:rPr>
          <w:spacing w:val="-9"/>
          <w:sz w:val="24"/>
        </w:rPr>
        <w:t> </w:t>
      </w:r>
      <w:r>
        <w:rPr>
          <w:sz w:val="24"/>
        </w:rPr>
        <w:t>milhões;</w:t>
      </w:r>
      <w:r>
        <w:rPr>
          <w:spacing w:val="-8"/>
          <w:sz w:val="24"/>
        </w:rPr>
        <w:t> </w:t>
      </w:r>
      <w:r>
        <w:rPr>
          <w:b/>
          <w:sz w:val="24"/>
        </w:rPr>
        <w:t>Atendimento</w:t>
      </w:r>
      <w:r>
        <w:rPr>
          <w:b/>
          <w:spacing w:val="-8"/>
          <w:sz w:val="24"/>
        </w:rPr>
        <w:t> </w:t>
      </w:r>
      <w:r>
        <w:rPr>
          <w:sz w:val="24"/>
        </w:rPr>
        <w:t>com</w:t>
      </w:r>
      <w:r>
        <w:rPr>
          <w:spacing w:val="-9"/>
          <w:sz w:val="24"/>
        </w:rPr>
        <w:t> </w:t>
      </w:r>
      <w:r>
        <w:rPr>
          <w:b/>
          <w:sz w:val="24"/>
        </w:rPr>
        <w:t>29,0%</w:t>
      </w:r>
      <w:r>
        <w:rPr>
          <w:b/>
          <w:spacing w:val="-8"/>
          <w:sz w:val="24"/>
        </w:rPr>
        <w:t> </w:t>
      </w:r>
      <w:r>
        <w:rPr>
          <w:sz w:val="24"/>
        </w:rPr>
        <w:t>ou</w:t>
      </w:r>
      <w:r>
        <w:rPr>
          <w:spacing w:val="-8"/>
          <w:sz w:val="24"/>
        </w:rPr>
        <w:t> </w:t>
      </w:r>
      <w:r>
        <w:rPr>
          <w:sz w:val="24"/>
        </w:rPr>
        <w:t>R$</w:t>
      </w:r>
      <w:r>
        <w:rPr>
          <w:spacing w:val="-7"/>
          <w:sz w:val="24"/>
        </w:rPr>
        <w:t> </w:t>
      </w:r>
      <w:r>
        <w:rPr>
          <w:sz w:val="24"/>
        </w:rPr>
        <w:t>7,48</w:t>
      </w:r>
      <w:r>
        <w:rPr>
          <w:spacing w:val="-9"/>
          <w:sz w:val="24"/>
        </w:rPr>
        <w:t> </w:t>
      </w:r>
      <w:r>
        <w:rPr>
          <w:sz w:val="24"/>
        </w:rPr>
        <w:t>milhões;</w:t>
      </w:r>
      <w:r>
        <w:rPr>
          <w:spacing w:val="-9"/>
          <w:sz w:val="24"/>
        </w:rPr>
        <w:t> </w:t>
      </w:r>
      <w:r>
        <w:rPr>
          <w:b/>
          <w:sz w:val="24"/>
        </w:rPr>
        <w:t>14,3%</w:t>
      </w:r>
      <w:r>
        <w:rPr>
          <w:b/>
          <w:spacing w:val="-10"/>
          <w:sz w:val="24"/>
        </w:rPr>
        <w:t> </w:t>
      </w:r>
      <w:r>
        <w:rPr>
          <w:sz w:val="24"/>
        </w:rPr>
        <w:t>ou R$ 3,69 milhões para </w:t>
      </w:r>
      <w:r>
        <w:rPr>
          <w:b/>
          <w:sz w:val="24"/>
        </w:rPr>
        <w:t>Comunicação</w:t>
      </w:r>
      <w:r>
        <w:rPr>
          <w:sz w:val="24"/>
        </w:rPr>
        <w:t>; para os </w:t>
      </w:r>
      <w:r>
        <w:rPr>
          <w:b/>
          <w:sz w:val="24"/>
        </w:rPr>
        <w:t>Objetivos Estratégicos elencados como prioritários </w:t>
      </w:r>
      <w:r>
        <w:rPr>
          <w:sz w:val="24"/>
        </w:rPr>
        <w:t>pelo</w:t>
      </w:r>
      <w:r>
        <w:rPr>
          <w:spacing w:val="24"/>
          <w:sz w:val="24"/>
        </w:rPr>
        <w:t> </w:t>
      </w:r>
      <w:r>
        <w:rPr>
          <w:sz w:val="24"/>
        </w:rPr>
        <w:t>CAU/BR</w:t>
      </w:r>
      <w:r>
        <w:rPr>
          <w:spacing w:val="24"/>
          <w:sz w:val="24"/>
        </w:rPr>
        <w:t> </w:t>
      </w:r>
      <w:r>
        <w:rPr>
          <w:sz w:val="24"/>
        </w:rPr>
        <w:t>“Estimular</w:t>
      </w:r>
      <w:r>
        <w:rPr>
          <w:spacing w:val="23"/>
          <w:sz w:val="24"/>
        </w:rPr>
        <w:t> </w:t>
      </w:r>
      <w:r>
        <w:rPr>
          <w:sz w:val="24"/>
        </w:rPr>
        <w:t>o</w:t>
      </w:r>
      <w:r>
        <w:rPr>
          <w:spacing w:val="25"/>
          <w:sz w:val="24"/>
        </w:rPr>
        <w:t> </w:t>
      </w:r>
      <w:r>
        <w:rPr>
          <w:sz w:val="24"/>
        </w:rPr>
        <w:t>conhecimento,</w:t>
      </w:r>
      <w:r>
        <w:rPr>
          <w:spacing w:val="23"/>
          <w:sz w:val="24"/>
        </w:rPr>
        <w:t> </w:t>
      </w:r>
      <w:r>
        <w:rPr>
          <w:sz w:val="24"/>
        </w:rPr>
        <w:t>o</w:t>
      </w:r>
      <w:r>
        <w:rPr>
          <w:spacing w:val="25"/>
          <w:sz w:val="24"/>
        </w:rPr>
        <w:t> </w:t>
      </w:r>
      <w:r>
        <w:rPr>
          <w:sz w:val="24"/>
        </w:rPr>
        <w:t>uso</w:t>
      </w:r>
      <w:r>
        <w:rPr>
          <w:spacing w:val="23"/>
          <w:sz w:val="24"/>
        </w:rPr>
        <w:t> </w:t>
      </w:r>
      <w:r>
        <w:rPr>
          <w:sz w:val="24"/>
        </w:rPr>
        <w:t>de</w:t>
      </w:r>
      <w:r>
        <w:rPr>
          <w:spacing w:val="23"/>
          <w:sz w:val="24"/>
        </w:rPr>
        <w:t> </w:t>
      </w:r>
      <w:r>
        <w:rPr>
          <w:sz w:val="24"/>
        </w:rPr>
        <w:t>processos</w:t>
      </w:r>
      <w:r>
        <w:rPr>
          <w:spacing w:val="24"/>
          <w:sz w:val="24"/>
        </w:rPr>
        <w:t> </w:t>
      </w:r>
      <w:r>
        <w:rPr>
          <w:sz w:val="24"/>
        </w:rPr>
        <w:t>criativos</w:t>
      </w:r>
      <w:r>
        <w:rPr>
          <w:spacing w:val="23"/>
          <w:sz w:val="24"/>
        </w:rPr>
        <w:t> </w:t>
      </w:r>
      <w:r>
        <w:rPr>
          <w:sz w:val="24"/>
        </w:rPr>
        <w:t>e</w:t>
      </w:r>
      <w:r>
        <w:rPr>
          <w:spacing w:val="25"/>
          <w:sz w:val="24"/>
        </w:rPr>
        <w:t> </w:t>
      </w:r>
      <w:r>
        <w:rPr>
          <w:sz w:val="24"/>
        </w:rPr>
        <w:t>a</w:t>
      </w:r>
      <w:r>
        <w:rPr>
          <w:spacing w:val="22"/>
          <w:sz w:val="24"/>
        </w:rPr>
        <w:t> </w:t>
      </w:r>
      <w:r>
        <w:rPr>
          <w:sz w:val="24"/>
        </w:rPr>
        <w:t>difusão</w:t>
      </w:r>
      <w:r>
        <w:rPr>
          <w:spacing w:val="23"/>
          <w:sz w:val="24"/>
        </w:rPr>
        <w:t> </w:t>
      </w:r>
      <w:r>
        <w:rPr>
          <w:sz w:val="24"/>
        </w:rPr>
        <w:t>das</w:t>
      </w:r>
      <w:r>
        <w:rPr>
          <w:spacing w:val="22"/>
          <w:sz w:val="24"/>
        </w:rPr>
        <w:t> </w:t>
      </w:r>
      <w:r>
        <w:rPr>
          <w:sz w:val="24"/>
        </w:rPr>
        <w:t>melhores</w:t>
      </w:r>
    </w:p>
    <w:p>
      <w:pPr>
        <w:spacing w:after="0" w:line="360" w:lineRule="auto"/>
        <w:jc w:val="both"/>
        <w:rPr>
          <w:sz w:val="24"/>
        </w:rPr>
        <w:sectPr>
          <w:pgSz w:w="11910" w:h="16840"/>
          <w:pgMar w:header="689" w:footer="261" w:top="1580" w:bottom="460" w:left="1300" w:right="700"/>
        </w:sectPr>
      </w:pPr>
    </w:p>
    <w:p>
      <w:pPr>
        <w:pStyle w:val="BodyText"/>
        <w:spacing w:line="360" w:lineRule="auto" w:before="14"/>
        <w:ind w:left="118" w:right="143"/>
        <w:jc w:val="both"/>
      </w:pPr>
      <w:r>
        <w:rPr/>
        <w:t>práticas em Arquitetura e Urbanismo” e “Fomentar o acesso da sociedade à Arquitetura e Urbanismo”,</w:t>
      </w:r>
      <w:r>
        <w:rPr>
          <w:spacing w:val="-1"/>
        </w:rPr>
        <w:t> </w:t>
      </w:r>
      <w:r>
        <w:rPr/>
        <w:t>estão direcionados recursos no montante de R$</w:t>
      </w:r>
      <w:r>
        <w:rPr>
          <w:spacing w:val="-1"/>
        </w:rPr>
        <w:t> </w:t>
      </w:r>
      <w:r>
        <w:rPr/>
        <w:t>2,67</w:t>
      </w:r>
      <w:r>
        <w:rPr>
          <w:spacing w:val="40"/>
        </w:rPr>
        <w:t> </w:t>
      </w:r>
      <w:r>
        <w:rPr/>
        <w:t>milhões, ou </w:t>
      </w:r>
      <w:r>
        <w:rPr>
          <w:b/>
        </w:rPr>
        <w:t>10,3% </w:t>
      </w:r>
      <w:r>
        <w:rPr/>
        <w:t>da</w:t>
      </w:r>
      <w:r>
        <w:rPr>
          <w:spacing w:val="-1"/>
        </w:rPr>
        <w:t> </w:t>
      </w:r>
      <w:r>
        <w:rPr/>
        <w:t>RAL. Para o</w:t>
      </w:r>
      <w:r>
        <w:rPr>
          <w:spacing w:val="-3"/>
        </w:rPr>
        <w:t> </w:t>
      </w:r>
      <w:r>
        <w:rPr/>
        <w:t>objetivo</w:t>
      </w:r>
      <w:r>
        <w:rPr>
          <w:spacing w:val="-6"/>
        </w:rPr>
        <w:t> </w:t>
      </w:r>
      <w:r>
        <w:rPr/>
        <w:t>estratégico</w:t>
      </w:r>
      <w:r>
        <w:rPr>
          <w:spacing w:val="-3"/>
        </w:rPr>
        <w:t> </w:t>
      </w:r>
      <w:r>
        <w:rPr/>
        <w:t>de</w:t>
      </w:r>
      <w:r>
        <w:rPr>
          <w:spacing w:val="-6"/>
        </w:rPr>
        <w:t> </w:t>
      </w:r>
      <w:r>
        <w:rPr/>
        <w:t>“Fomentar</w:t>
      </w:r>
      <w:r>
        <w:rPr>
          <w:spacing w:val="-6"/>
        </w:rPr>
        <w:t> </w:t>
      </w:r>
      <w:r>
        <w:rPr/>
        <w:t>o</w:t>
      </w:r>
      <w:r>
        <w:rPr>
          <w:spacing w:val="-3"/>
        </w:rPr>
        <w:t> </w:t>
      </w:r>
      <w:r>
        <w:rPr/>
        <w:t>Acesso</w:t>
      </w:r>
      <w:r>
        <w:rPr>
          <w:spacing w:val="-6"/>
        </w:rPr>
        <w:t> </w:t>
      </w:r>
      <w:r>
        <w:rPr/>
        <w:t>da</w:t>
      </w:r>
      <w:r>
        <w:rPr>
          <w:spacing w:val="-6"/>
        </w:rPr>
        <w:t> </w:t>
      </w:r>
      <w:r>
        <w:rPr/>
        <w:t>Sociedade</w:t>
      </w:r>
      <w:r>
        <w:rPr>
          <w:spacing w:val="-3"/>
        </w:rPr>
        <w:t> </w:t>
      </w:r>
      <w:r>
        <w:rPr/>
        <w:t>à</w:t>
      </w:r>
      <w:r>
        <w:rPr>
          <w:spacing w:val="-4"/>
        </w:rPr>
        <w:t> </w:t>
      </w:r>
      <w:r>
        <w:rPr/>
        <w:t>Arquitetura</w:t>
      </w:r>
      <w:r>
        <w:rPr>
          <w:spacing w:val="-6"/>
        </w:rPr>
        <w:t> </w:t>
      </w:r>
      <w:r>
        <w:rPr/>
        <w:t>e</w:t>
      </w:r>
      <w:r>
        <w:rPr>
          <w:spacing w:val="-3"/>
        </w:rPr>
        <w:t> </w:t>
      </w:r>
      <w:r>
        <w:rPr/>
        <w:t>Urbanismo”,</w:t>
      </w:r>
      <w:r>
        <w:rPr>
          <w:spacing w:val="-6"/>
        </w:rPr>
        <w:t> </w:t>
      </w:r>
      <w:r>
        <w:rPr/>
        <w:t>no</w:t>
      </w:r>
      <w:r>
        <w:rPr>
          <w:spacing w:val="-3"/>
        </w:rPr>
        <w:t> </w:t>
      </w:r>
      <w:r>
        <w:rPr/>
        <w:t>âmbito da ATHIS, os recursos envolvidos são de R$ 515,75 mil, ou </w:t>
      </w:r>
      <w:r>
        <w:rPr>
          <w:b/>
        </w:rPr>
        <w:t>2,0%</w:t>
      </w:r>
      <w:r>
        <w:rPr/>
        <w:t>. Para </w:t>
      </w:r>
      <w:r>
        <w:rPr>
          <w:b/>
        </w:rPr>
        <w:t>Capacitação </w:t>
      </w:r>
      <w:r>
        <w:rPr/>
        <w:t>são destinados </w:t>
      </w:r>
      <w:r>
        <w:rPr>
          <w:b/>
        </w:rPr>
        <w:t>0,5% </w:t>
      </w:r>
      <w:r>
        <w:rPr/>
        <w:t>ou R$ 114,70 mil, considerando que o total da folha de pagamentos monta em R$ 21,08 milhões, conforme demonstrado no anexo 6. Cabe mencionar que, frente às prioridades estratégicas de atuação do CAU/BR, em 2020, não estão sendo direcionados recursos, em sua reprogramação, para Patrocínios.</w:t>
      </w:r>
    </w:p>
    <w:p>
      <w:pPr>
        <w:pStyle w:val="BodyText"/>
        <w:spacing w:line="360" w:lineRule="auto" w:before="159"/>
        <w:ind w:left="118" w:right="144" w:firstLine="851"/>
        <w:jc w:val="both"/>
      </w:pPr>
      <w:r>
        <w:rPr/>
        <w:t>No tocante aos limites de aplicações em </w:t>
      </w:r>
      <w:r>
        <w:rPr>
          <w:b/>
        </w:rPr>
        <w:t>Pessoal </w:t>
      </w:r>
      <w:r>
        <w:rPr/>
        <w:t>(salários e encargos), considerando que estão sendo destinados recursos no montante de R$ 18,10 milhões (excetuando os valores destinados a benefícios concedidos), o índice situa-se em </w:t>
      </w:r>
      <w:r>
        <w:rPr>
          <w:b/>
        </w:rPr>
        <w:t>49,4% </w:t>
      </w:r>
      <w:r>
        <w:rPr/>
        <w:t>das receitas correntes (R$ 36,64 milhões),</w:t>
      </w:r>
      <w:r>
        <w:rPr>
          <w:spacing w:val="-10"/>
        </w:rPr>
        <w:t> </w:t>
      </w:r>
      <w:r>
        <w:rPr/>
        <w:t>conforme</w:t>
      </w:r>
      <w:r>
        <w:rPr>
          <w:spacing w:val="-11"/>
        </w:rPr>
        <w:t> </w:t>
      </w:r>
      <w:r>
        <w:rPr/>
        <w:t>demonstrado</w:t>
      </w:r>
      <w:r>
        <w:rPr>
          <w:spacing w:val="-12"/>
        </w:rPr>
        <w:t> </w:t>
      </w:r>
      <w:r>
        <w:rPr/>
        <w:t>no</w:t>
      </w:r>
      <w:r>
        <w:rPr>
          <w:spacing w:val="-12"/>
        </w:rPr>
        <w:t> </w:t>
      </w:r>
      <w:r>
        <w:rPr/>
        <w:t>anexo</w:t>
      </w:r>
      <w:r>
        <w:rPr>
          <w:spacing w:val="-9"/>
        </w:rPr>
        <w:t> </w:t>
      </w:r>
      <w:r>
        <w:rPr/>
        <w:t>5.</w:t>
      </w:r>
      <w:r>
        <w:rPr>
          <w:spacing w:val="-10"/>
        </w:rPr>
        <w:t> </w:t>
      </w:r>
      <w:r>
        <w:rPr/>
        <w:t>Para</w:t>
      </w:r>
      <w:r>
        <w:rPr>
          <w:spacing w:val="-9"/>
        </w:rPr>
        <w:t> </w:t>
      </w:r>
      <w:r>
        <w:rPr>
          <w:b/>
        </w:rPr>
        <w:t>Reserva</w:t>
      </w:r>
      <w:r>
        <w:rPr>
          <w:b/>
          <w:spacing w:val="-11"/>
        </w:rPr>
        <w:t> </w:t>
      </w:r>
      <w:r>
        <w:rPr>
          <w:b/>
        </w:rPr>
        <w:t>de</w:t>
      </w:r>
      <w:r>
        <w:rPr>
          <w:b/>
          <w:spacing w:val="-11"/>
        </w:rPr>
        <w:t> </w:t>
      </w:r>
      <w:r>
        <w:rPr>
          <w:b/>
        </w:rPr>
        <w:t>Contingência</w:t>
      </w:r>
      <w:r>
        <w:rPr>
          <w:b/>
          <w:spacing w:val="-8"/>
        </w:rPr>
        <w:t> </w:t>
      </w:r>
      <w:r>
        <w:rPr/>
        <w:t>os</w:t>
      </w:r>
      <w:r>
        <w:rPr>
          <w:spacing w:val="-9"/>
        </w:rPr>
        <w:t> </w:t>
      </w:r>
      <w:r>
        <w:rPr/>
        <w:t>recursos</w:t>
      </w:r>
      <w:r>
        <w:rPr>
          <w:spacing w:val="-12"/>
        </w:rPr>
        <w:t> </w:t>
      </w:r>
      <w:r>
        <w:rPr/>
        <w:t>destinados são de R$ 532,69 ou </w:t>
      </w:r>
      <w:r>
        <w:rPr>
          <w:b/>
        </w:rPr>
        <w:t>2,1% </w:t>
      </w:r>
      <w:r>
        <w:rPr/>
        <w:t>da RAL), conforme demonstrado no anexo 6. Cabe ressaltar que o valor destinado a efetivação da "Implantação da CTO" (Reestruturação do organograma) do CAU/BR no valor</w:t>
      </w:r>
      <w:r>
        <w:rPr>
          <w:spacing w:val="-6"/>
        </w:rPr>
        <w:t> </w:t>
      </w:r>
      <w:r>
        <w:rPr/>
        <w:t>de</w:t>
      </w:r>
      <w:r>
        <w:rPr>
          <w:spacing w:val="-6"/>
        </w:rPr>
        <w:t> </w:t>
      </w:r>
      <w:r>
        <w:rPr/>
        <w:t>R$</w:t>
      </w:r>
      <w:r>
        <w:rPr>
          <w:spacing w:val="-9"/>
        </w:rPr>
        <w:t> </w:t>
      </w:r>
      <w:r>
        <w:rPr/>
        <w:t>310.000,00</w:t>
      </w:r>
      <w:r>
        <w:rPr>
          <w:spacing w:val="-8"/>
        </w:rPr>
        <w:t> </w:t>
      </w:r>
      <w:r>
        <w:rPr/>
        <w:t>não</w:t>
      </w:r>
      <w:r>
        <w:rPr>
          <w:spacing w:val="-6"/>
        </w:rPr>
        <w:t> </w:t>
      </w:r>
      <w:r>
        <w:rPr/>
        <w:t>foi</w:t>
      </w:r>
      <w:r>
        <w:rPr>
          <w:spacing w:val="-6"/>
        </w:rPr>
        <w:t> </w:t>
      </w:r>
      <w:r>
        <w:rPr/>
        <w:t>considerado</w:t>
      </w:r>
      <w:r>
        <w:rPr>
          <w:spacing w:val="-8"/>
        </w:rPr>
        <w:t> </w:t>
      </w:r>
      <w:r>
        <w:rPr/>
        <w:t>para</w:t>
      </w:r>
      <w:r>
        <w:rPr>
          <w:spacing w:val="-10"/>
        </w:rPr>
        <w:t> </w:t>
      </w:r>
      <w:r>
        <w:rPr/>
        <w:t>o</w:t>
      </w:r>
      <w:r>
        <w:rPr>
          <w:spacing w:val="-6"/>
        </w:rPr>
        <w:t> </w:t>
      </w:r>
      <w:r>
        <w:rPr/>
        <w:t>cálculo</w:t>
      </w:r>
      <w:r>
        <w:rPr>
          <w:spacing w:val="-8"/>
        </w:rPr>
        <w:t> </w:t>
      </w:r>
      <w:r>
        <w:rPr/>
        <w:t>de</w:t>
      </w:r>
      <w:r>
        <w:rPr>
          <w:spacing w:val="-8"/>
        </w:rPr>
        <w:t> </w:t>
      </w:r>
      <w:r>
        <w:rPr/>
        <w:t>Pessoal</w:t>
      </w:r>
      <w:r>
        <w:rPr>
          <w:spacing w:val="-6"/>
        </w:rPr>
        <w:t> </w:t>
      </w:r>
      <w:r>
        <w:rPr/>
        <w:t>e</w:t>
      </w:r>
      <w:r>
        <w:rPr>
          <w:spacing w:val="-8"/>
        </w:rPr>
        <w:t> </w:t>
      </w:r>
      <w:r>
        <w:rPr/>
        <w:t>Encargos</w:t>
      </w:r>
      <w:r>
        <w:rPr>
          <w:spacing w:val="-7"/>
        </w:rPr>
        <w:t> </w:t>
      </w:r>
      <w:r>
        <w:rPr/>
        <w:t>e</w:t>
      </w:r>
      <w:r>
        <w:rPr>
          <w:spacing w:val="-6"/>
        </w:rPr>
        <w:t> </w:t>
      </w:r>
      <w:r>
        <w:rPr/>
        <w:t>será</w:t>
      </w:r>
      <w:r>
        <w:rPr>
          <w:spacing w:val="-6"/>
        </w:rPr>
        <w:t> </w:t>
      </w:r>
      <w:r>
        <w:rPr/>
        <w:t>considerado após a efetivação da contratação dos novos colaboradores.</w:t>
      </w:r>
    </w:p>
    <w:p>
      <w:pPr>
        <w:spacing w:line="360" w:lineRule="auto" w:before="162"/>
        <w:ind w:left="118" w:right="143" w:firstLine="851"/>
        <w:jc w:val="both"/>
        <w:rPr>
          <w:sz w:val="24"/>
        </w:rPr>
      </w:pPr>
      <w:r>
        <w:rPr>
          <w:b/>
          <w:sz w:val="24"/>
        </w:rPr>
        <w:t>Os CAU/UF</w:t>
      </w:r>
      <w:r>
        <w:rPr>
          <w:sz w:val="24"/>
        </w:rPr>
        <w:t>, que respondem por uma receita</w:t>
      </w:r>
      <w:r>
        <w:rPr>
          <w:spacing w:val="-1"/>
          <w:sz w:val="24"/>
        </w:rPr>
        <w:t> </w:t>
      </w:r>
      <w:r>
        <w:rPr>
          <w:sz w:val="24"/>
        </w:rPr>
        <w:t>de arrecadação do exercício líquida (RAL) no valor</w:t>
      </w:r>
      <w:r>
        <w:rPr>
          <w:spacing w:val="-6"/>
          <w:sz w:val="24"/>
        </w:rPr>
        <w:t> </w:t>
      </w:r>
      <w:r>
        <w:rPr>
          <w:sz w:val="24"/>
        </w:rPr>
        <w:t>de</w:t>
      </w:r>
      <w:r>
        <w:rPr>
          <w:spacing w:val="-6"/>
          <w:sz w:val="24"/>
        </w:rPr>
        <w:t> </w:t>
      </w:r>
      <w:r>
        <w:rPr>
          <w:sz w:val="24"/>
        </w:rPr>
        <w:t>R$</w:t>
      </w:r>
      <w:r>
        <w:rPr>
          <w:spacing w:val="-9"/>
          <w:sz w:val="24"/>
        </w:rPr>
        <w:t> </w:t>
      </w:r>
      <w:r>
        <w:rPr>
          <w:sz w:val="24"/>
        </w:rPr>
        <w:t>107,50</w:t>
      </w:r>
      <w:r>
        <w:rPr>
          <w:spacing w:val="-5"/>
          <w:sz w:val="24"/>
        </w:rPr>
        <w:t> </w:t>
      </w:r>
      <w:r>
        <w:rPr>
          <w:sz w:val="24"/>
        </w:rPr>
        <w:t>milhões,</w:t>
      </w:r>
      <w:r>
        <w:rPr>
          <w:spacing w:val="-6"/>
          <w:sz w:val="24"/>
        </w:rPr>
        <w:t> </w:t>
      </w:r>
      <w:r>
        <w:rPr>
          <w:sz w:val="24"/>
        </w:rPr>
        <w:t>apresentam</w:t>
      </w:r>
      <w:r>
        <w:rPr>
          <w:spacing w:val="-6"/>
          <w:sz w:val="24"/>
        </w:rPr>
        <w:t> </w:t>
      </w:r>
      <w:r>
        <w:rPr>
          <w:sz w:val="24"/>
        </w:rPr>
        <w:t>as</w:t>
      </w:r>
      <w:r>
        <w:rPr>
          <w:spacing w:val="-6"/>
          <w:sz w:val="24"/>
        </w:rPr>
        <w:t> </w:t>
      </w:r>
      <w:r>
        <w:rPr>
          <w:sz w:val="24"/>
        </w:rPr>
        <w:t>destinações</w:t>
      </w:r>
      <w:r>
        <w:rPr>
          <w:spacing w:val="-6"/>
          <w:sz w:val="24"/>
        </w:rPr>
        <w:t> </w:t>
      </w:r>
      <w:r>
        <w:rPr>
          <w:sz w:val="24"/>
        </w:rPr>
        <w:t>estratégicas</w:t>
      </w:r>
      <w:r>
        <w:rPr>
          <w:spacing w:val="-7"/>
          <w:sz w:val="24"/>
        </w:rPr>
        <w:t> </w:t>
      </w:r>
      <w:r>
        <w:rPr>
          <w:sz w:val="24"/>
        </w:rPr>
        <w:t>dimensionadas</w:t>
      </w:r>
      <w:r>
        <w:rPr>
          <w:spacing w:val="-9"/>
          <w:sz w:val="24"/>
        </w:rPr>
        <w:t> </w:t>
      </w:r>
      <w:r>
        <w:rPr>
          <w:sz w:val="24"/>
        </w:rPr>
        <w:t>e</w:t>
      </w:r>
      <w:r>
        <w:rPr>
          <w:spacing w:val="-6"/>
          <w:sz w:val="24"/>
        </w:rPr>
        <w:t> </w:t>
      </w:r>
      <w:r>
        <w:rPr>
          <w:sz w:val="24"/>
        </w:rPr>
        <w:t>atendidas,</w:t>
      </w:r>
      <w:r>
        <w:rPr>
          <w:spacing w:val="-9"/>
          <w:sz w:val="24"/>
        </w:rPr>
        <w:t> </w:t>
      </w:r>
      <w:r>
        <w:rPr>
          <w:sz w:val="24"/>
        </w:rPr>
        <w:t>da seguinte forma: </w:t>
      </w:r>
      <w:r>
        <w:rPr>
          <w:b/>
          <w:sz w:val="24"/>
        </w:rPr>
        <w:t>30,2% </w:t>
      </w:r>
      <w:r>
        <w:rPr>
          <w:sz w:val="24"/>
        </w:rPr>
        <w:t>ou R$ 32,45 milhões para </w:t>
      </w:r>
      <w:r>
        <w:rPr>
          <w:b/>
          <w:sz w:val="24"/>
        </w:rPr>
        <w:t>Fiscalização</w:t>
      </w:r>
      <w:r>
        <w:rPr>
          <w:sz w:val="24"/>
        </w:rPr>
        <w:t>; </w:t>
      </w:r>
      <w:r>
        <w:rPr>
          <w:b/>
          <w:sz w:val="24"/>
        </w:rPr>
        <w:t>19,6% </w:t>
      </w:r>
      <w:r>
        <w:rPr>
          <w:sz w:val="24"/>
        </w:rPr>
        <w:t>ou R$ 21,07 milhões para </w:t>
      </w:r>
      <w:r>
        <w:rPr>
          <w:b/>
          <w:sz w:val="24"/>
        </w:rPr>
        <w:t>Atendimento</w:t>
      </w:r>
      <w:r>
        <w:rPr>
          <w:sz w:val="24"/>
        </w:rPr>
        <w:t>; </w:t>
      </w:r>
      <w:r>
        <w:rPr>
          <w:b/>
          <w:sz w:val="24"/>
        </w:rPr>
        <w:t>6,6% </w:t>
      </w:r>
      <w:r>
        <w:rPr>
          <w:sz w:val="24"/>
        </w:rPr>
        <w:t>ou R$ 7,05 milhões para </w:t>
      </w:r>
      <w:r>
        <w:rPr>
          <w:b/>
          <w:sz w:val="24"/>
        </w:rPr>
        <w:t>Comunicação</w:t>
      </w:r>
      <w:r>
        <w:rPr>
          <w:sz w:val="24"/>
        </w:rPr>
        <w:t>; </w:t>
      </w:r>
      <w:r>
        <w:rPr>
          <w:b/>
          <w:sz w:val="24"/>
        </w:rPr>
        <w:t>2,9% </w:t>
      </w:r>
      <w:r>
        <w:rPr>
          <w:sz w:val="24"/>
        </w:rPr>
        <w:t>ou R$ 3,09 milhões para </w:t>
      </w:r>
      <w:r>
        <w:rPr>
          <w:b/>
          <w:sz w:val="24"/>
        </w:rPr>
        <w:t>Patrocínios</w:t>
      </w:r>
      <w:r>
        <w:rPr>
          <w:sz w:val="24"/>
        </w:rPr>
        <w:t>;</w:t>
      </w:r>
      <w:r>
        <w:rPr>
          <w:spacing w:val="-12"/>
          <w:sz w:val="24"/>
        </w:rPr>
        <w:t> </w:t>
      </w:r>
      <w:r>
        <w:rPr>
          <w:b/>
          <w:sz w:val="24"/>
        </w:rPr>
        <w:t>45,6%</w:t>
      </w:r>
      <w:r>
        <w:rPr>
          <w:b/>
          <w:spacing w:val="-9"/>
          <w:sz w:val="24"/>
        </w:rPr>
        <w:t> </w:t>
      </w:r>
      <w:r>
        <w:rPr>
          <w:sz w:val="24"/>
        </w:rPr>
        <w:t>ou</w:t>
      </w:r>
      <w:r>
        <w:rPr>
          <w:spacing w:val="-9"/>
          <w:sz w:val="24"/>
        </w:rPr>
        <w:t> </w:t>
      </w:r>
      <w:r>
        <w:rPr>
          <w:sz w:val="24"/>
        </w:rPr>
        <w:t>R$</w:t>
      </w:r>
      <w:r>
        <w:rPr>
          <w:spacing w:val="-12"/>
          <w:sz w:val="24"/>
        </w:rPr>
        <w:t> </w:t>
      </w:r>
      <w:r>
        <w:rPr>
          <w:sz w:val="24"/>
        </w:rPr>
        <w:t>48,98</w:t>
      </w:r>
      <w:r>
        <w:rPr>
          <w:spacing w:val="-9"/>
          <w:sz w:val="24"/>
        </w:rPr>
        <w:t> </w:t>
      </w:r>
      <w:r>
        <w:rPr>
          <w:sz w:val="24"/>
        </w:rPr>
        <w:t>milhões</w:t>
      </w:r>
      <w:r>
        <w:rPr>
          <w:spacing w:val="-12"/>
          <w:sz w:val="24"/>
        </w:rPr>
        <w:t> </w:t>
      </w:r>
      <w:r>
        <w:rPr>
          <w:sz w:val="24"/>
        </w:rPr>
        <w:t>para</w:t>
      </w:r>
      <w:r>
        <w:rPr>
          <w:spacing w:val="-9"/>
          <w:sz w:val="24"/>
        </w:rPr>
        <w:t> </w:t>
      </w:r>
      <w:r>
        <w:rPr>
          <w:sz w:val="24"/>
        </w:rPr>
        <w:t>os</w:t>
      </w:r>
      <w:r>
        <w:rPr>
          <w:spacing w:val="-10"/>
          <w:sz w:val="24"/>
        </w:rPr>
        <w:t> </w:t>
      </w:r>
      <w:r>
        <w:rPr>
          <w:b/>
          <w:sz w:val="24"/>
        </w:rPr>
        <w:t>Objetivos</w:t>
      </w:r>
      <w:r>
        <w:rPr>
          <w:b/>
          <w:spacing w:val="-12"/>
          <w:sz w:val="24"/>
        </w:rPr>
        <w:t> </w:t>
      </w:r>
      <w:r>
        <w:rPr>
          <w:b/>
          <w:sz w:val="24"/>
        </w:rPr>
        <w:t>Estratégicos</w:t>
      </w:r>
      <w:r>
        <w:rPr>
          <w:b/>
          <w:spacing w:val="-9"/>
          <w:sz w:val="24"/>
        </w:rPr>
        <w:t> </w:t>
      </w:r>
      <w:r>
        <w:rPr>
          <w:b/>
          <w:sz w:val="24"/>
        </w:rPr>
        <w:t>elencados</w:t>
      </w:r>
      <w:r>
        <w:rPr>
          <w:b/>
          <w:spacing w:val="-6"/>
          <w:sz w:val="24"/>
        </w:rPr>
        <w:t> </w:t>
      </w:r>
      <w:r>
        <w:rPr>
          <w:b/>
          <w:sz w:val="24"/>
        </w:rPr>
        <w:t>prioritários</w:t>
      </w:r>
      <w:r>
        <w:rPr>
          <w:b/>
          <w:spacing w:val="-9"/>
          <w:sz w:val="24"/>
        </w:rPr>
        <w:t> </w:t>
      </w:r>
      <w:r>
        <w:rPr>
          <w:b/>
          <w:sz w:val="24"/>
        </w:rPr>
        <w:t>pelos CAU/UF</w:t>
      </w:r>
      <w:r>
        <w:rPr>
          <w:sz w:val="24"/>
        </w:rPr>
        <w:t>;</w:t>
      </w:r>
      <w:r>
        <w:rPr>
          <w:spacing w:val="-13"/>
          <w:sz w:val="24"/>
        </w:rPr>
        <w:t> </w:t>
      </w:r>
      <w:r>
        <w:rPr>
          <w:b/>
          <w:sz w:val="24"/>
        </w:rPr>
        <w:t>9,1%</w:t>
      </w:r>
      <w:r>
        <w:rPr>
          <w:b/>
          <w:spacing w:val="-12"/>
          <w:sz w:val="24"/>
        </w:rPr>
        <w:t> </w:t>
      </w:r>
      <w:r>
        <w:rPr>
          <w:sz w:val="24"/>
        </w:rPr>
        <w:t>ou</w:t>
      </w:r>
      <w:r>
        <w:rPr>
          <w:spacing w:val="-10"/>
          <w:sz w:val="24"/>
        </w:rPr>
        <w:t> </w:t>
      </w:r>
      <w:r>
        <w:rPr>
          <w:sz w:val="24"/>
        </w:rPr>
        <w:t>R$</w:t>
      </w:r>
      <w:r>
        <w:rPr>
          <w:spacing w:val="-14"/>
          <w:sz w:val="24"/>
        </w:rPr>
        <w:t> </w:t>
      </w:r>
      <w:r>
        <w:rPr>
          <w:sz w:val="24"/>
        </w:rPr>
        <w:t>9,79</w:t>
      </w:r>
      <w:r>
        <w:rPr>
          <w:spacing w:val="-13"/>
          <w:sz w:val="24"/>
        </w:rPr>
        <w:t> </w:t>
      </w:r>
      <w:r>
        <w:rPr>
          <w:sz w:val="24"/>
        </w:rPr>
        <w:t>milhões</w:t>
      </w:r>
      <w:r>
        <w:rPr>
          <w:spacing w:val="-14"/>
          <w:sz w:val="24"/>
        </w:rPr>
        <w:t> </w:t>
      </w:r>
      <w:r>
        <w:rPr>
          <w:sz w:val="24"/>
        </w:rPr>
        <w:t>para</w:t>
      </w:r>
      <w:r>
        <w:rPr>
          <w:spacing w:val="-14"/>
          <w:sz w:val="24"/>
        </w:rPr>
        <w:t> </w:t>
      </w:r>
      <w:r>
        <w:rPr>
          <w:b/>
          <w:sz w:val="24"/>
        </w:rPr>
        <w:t>ATHIS</w:t>
      </w:r>
      <w:r>
        <w:rPr>
          <w:sz w:val="24"/>
        </w:rPr>
        <w:t>.</w:t>
      </w:r>
      <w:r>
        <w:rPr>
          <w:spacing w:val="-13"/>
          <w:sz w:val="24"/>
        </w:rPr>
        <w:t> </w:t>
      </w:r>
      <w:r>
        <w:rPr>
          <w:sz w:val="24"/>
        </w:rPr>
        <w:t>Para</w:t>
      </w:r>
      <w:r>
        <w:rPr>
          <w:spacing w:val="-11"/>
          <w:sz w:val="24"/>
        </w:rPr>
        <w:t> </w:t>
      </w:r>
      <w:r>
        <w:rPr>
          <w:sz w:val="24"/>
        </w:rPr>
        <w:t>a</w:t>
      </w:r>
      <w:r>
        <w:rPr>
          <w:spacing w:val="-13"/>
          <w:sz w:val="24"/>
        </w:rPr>
        <w:t> </w:t>
      </w:r>
      <w:r>
        <w:rPr>
          <w:b/>
          <w:sz w:val="24"/>
        </w:rPr>
        <w:t>Capacitação</w:t>
      </w:r>
      <w:r>
        <w:rPr>
          <w:b/>
          <w:spacing w:val="-12"/>
          <w:sz w:val="24"/>
        </w:rPr>
        <w:t> </w:t>
      </w:r>
      <w:r>
        <w:rPr>
          <w:sz w:val="24"/>
        </w:rPr>
        <w:t>são</w:t>
      </w:r>
      <w:r>
        <w:rPr>
          <w:spacing w:val="-13"/>
          <w:sz w:val="24"/>
        </w:rPr>
        <w:t> </w:t>
      </w:r>
      <w:r>
        <w:rPr>
          <w:sz w:val="24"/>
        </w:rPr>
        <w:t>destinados</w:t>
      </w:r>
      <w:r>
        <w:rPr>
          <w:spacing w:val="-13"/>
          <w:sz w:val="24"/>
        </w:rPr>
        <w:t> </w:t>
      </w:r>
      <w:r>
        <w:rPr>
          <w:b/>
          <w:sz w:val="24"/>
        </w:rPr>
        <w:t>0,9%</w:t>
      </w:r>
      <w:r>
        <w:rPr>
          <w:b/>
          <w:spacing w:val="-13"/>
          <w:sz w:val="24"/>
        </w:rPr>
        <w:t> </w:t>
      </w:r>
      <w:r>
        <w:rPr>
          <w:sz w:val="24"/>
        </w:rPr>
        <w:t>ou</w:t>
      </w:r>
      <w:r>
        <w:rPr>
          <w:spacing w:val="-12"/>
          <w:sz w:val="24"/>
        </w:rPr>
        <w:t> </w:t>
      </w:r>
      <w:r>
        <w:rPr>
          <w:sz w:val="24"/>
        </w:rPr>
        <w:t>R$</w:t>
      </w:r>
      <w:r>
        <w:rPr>
          <w:spacing w:val="-14"/>
          <w:sz w:val="24"/>
        </w:rPr>
        <w:t> </w:t>
      </w:r>
      <w:r>
        <w:rPr>
          <w:sz w:val="24"/>
        </w:rPr>
        <w:t>667,63 mil,</w:t>
      </w:r>
      <w:r>
        <w:rPr>
          <w:spacing w:val="-11"/>
          <w:sz w:val="24"/>
        </w:rPr>
        <w:t> </w:t>
      </w:r>
      <w:r>
        <w:rPr>
          <w:sz w:val="24"/>
        </w:rPr>
        <w:t>considerando</w:t>
      </w:r>
      <w:r>
        <w:rPr>
          <w:spacing w:val="-11"/>
          <w:sz w:val="24"/>
        </w:rPr>
        <w:t> </w:t>
      </w:r>
      <w:r>
        <w:rPr>
          <w:sz w:val="24"/>
        </w:rPr>
        <w:t>que</w:t>
      </w:r>
      <w:r>
        <w:rPr>
          <w:spacing w:val="-10"/>
          <w:sz w:val="24"/>
        </w:rPr>
        <w:t> </w:t>
      </w:r>
      <w:r>
        <w:rPr>
          <w:sz w:val="24"/>
        </w:rPr>
        <w:t>o</w:t>
      </w:r>
      <w:r>
        <w:rPr>
          <w:spacing w:val="-13"/>
          <w:sz w:val="24"/>
        </w:rPr>
        <w:t> </w:t>
      </w:r>
      <w:r>
        <w:rPr>
          <w:sz w:val="24"/>
        </w:rPr>
        <w:t>total</w:t>
      </w:r>
      <w:r>
        <w:rPr>
          <w:spacing w:val="-11"/>
          <w:sz w:val="24"/>
        </w:rPr>
        <w:t> </w:t>
      </w:r>
      <w:r>
        <w:rPr>
          <w:sz w:val="24"/>
        </w:rPr>
        <w:t>da</w:t>
      </w:r>
      <w:r>
        <w:rPr>
          <w:spacing w:val="-13"/>
          <w:sz w:val="24"/>
        </w:rPr>
        <w:t> </w:t>
      </w:r>
      <w:r>
        <w:rPr>
          <w:sz w:val="24"/>
        </w:rPr>
        <w:t>folha</w:t>
      </w:r>
      <w:r>
        <w:rPr>
          <w:spacing w:val="-11"/>
          <w:sz w:val="24"/>
        </w:rPr>
        <w:t> </w:t>
      </w:r>
      <w:r>
        <w:rPr>
          <w:sz w:val="24"/>
        </w:rPr>
        <w:t>de</w:t>
      </w:r>
      <w:r>
        <w:rPr>
          <w:spacing w:val="-10"/>
          <w:sz w:val="24"/>
        </w:rPr>
        <w:t> </w:t>
      </w:r>
      <w:r>
        <w:rPr>
          <w:sz w:val="24"/>
        </w:rPr>
        <w:t>pagamentos,</w:t>
      </w:r>
      <w:r>
        <w:rPr>
          <w:spacing w:val="-11"/>
          <w:sz w:val="24"/>
        </w:rPr>
        <w:t> </w:t>
      </w:r>
      <w:r>
        <w:rPr>
          <w:sz w:val="24"/>
        </w:rPr>
        <w:t>desses</w:t>
      </w:r>
      <w:r>
        <w:rPr>
          <w:spacing w:val="-11"/>
          <w:sz w:val="24"/>
        </w:rPr>
        <w:t> </w:t>
      </w:r>
      <w:r>
        <w:rPr>
          <w:sz w:val="24"/>
        </w:rPr>
        <w:t>CAU/UF,</w:t>
      </w:r>
      <w:r>
        <w:rPr>
          <w:spacing w:val="-11"/>
          <w:sz w:val="24"/>
        </w:rPr>
        <w:t> </w:t>
      </w:r>
      <w:r>
        <w:rPr>
          <w:sz w:val="24"/>
        </w:rPr>
        <w:t>monta</w:t>
      </w:r>
      <w:r>
        <w:rPr>
          <w:spacing w:val="-11"/>
          <w:sz w:val="24"/>
        </w:rPr>
        <w:t> </w:t>
      </w:r>
      <w:r>
        <w:rPr>
          <w:sz w:val="24"/>
        </w:rPr>
        <w:t>em</w:t>
      </w:r>
      <w:r>
        <w:rPr>
          <w:spacing w:val="-10"/>
          <w:sz w:val="24"/>
        </w:rPr>
        <w:t> </w:t>
      </w:r>
      <w:r>
        <w:rPr>
          <w:sz w:val="24"/>
        </w:rPr>
        <w:t>R$</w:t>
      </w:r>
      <w:r>
        <w:rPr>
          <w:spacing w:val="-11"/>
          <w:sz w:val="24"/>
        </w:rPr>
        <w:t> </w:t>
      </w:r>
      <w:r>
        <w:rPr>
          <w:sz w:val="24"/>
        </w:rPr>
        <w:t>76,09</w:t>
      </w:r>
      <w:r>
        <w:rPr>
          <w:spacing w:val="-10"/>
          <w:sz w:val="24"/>
        </w:rPr>
        <w:t> </w:t>
      </w:r>
      <w:r>
        <w:rPr>
          <w:sz w:val="24"/>
        </w:rPr>
        <w:t>milhões, conforme demonstrado no anexo 6.</w:t>
      </w:r>
    </w:p>
    <w:p>
      <w:pPr>
        <w:pStyle w:val="BodyText"/>
        <w:spacing w:line="360" w:lineRule="auto" w:before="159"/>
        <w:ind w:left="118" w:right="145" w:firstLine="851"/>
        <w:jc w:val="both"/>
      </w:pPr>
      <w:r>
        <w:rPr/>
        <w:t>No tocante aos limites de aplicações em </w:t>
      </w:r>
      <w:r>
        <w:rPr>
          <w:b/>
        </w:rPr>
        <w:t>Pessoal </w:t>
      </w:r>
      <w:r>
        <w:rPr/>
        <w:t>(salários e encargos), considerando que estão sendo destinados recursos no montante de R$ 65,23 milhões (excetuando-se os valores destinados</w:t>
      </w:r>
      <w:r>
        <w:rPr>
          <w:spacing w:val="-8"/>
        </w:rPr>
        <w:t> </w:t>
      </w:r>
      <w:r>
        <w:rPr/>
        <w:t>a</w:t>
      </w:r>
      <w:r>
        <w:rPr>
          <w:spacing w:val="-9"/>
        </w:rPr>
        <w:t> </w:t>
      </w:r>
      <w:r>
        <w:rPr/>
        <w:t>rescisões</w:t>
      </w:r>
      <w:r>
        <w:rPr>
          <w:spacing w:val="-9"/>
        </w:rPr>
        <w:t> </w:t>
      </w:r>
      <w:r>
        <w:rPr/>
        <w:t>contratuais</w:t>
      </w:r>
      <w:r>
        <w:rPr>
          <w:spacing w:val="-9"/>
        </w:rPr>
        <w:t> </w:t>
      </w:r>
      <w:r>
        <w:rPr/>
        <w:t>e</w:t>
      </w:r>
      <w:r>
        <w:rPr>
          <w:spacing w:val="-8"/>
        </w:rPr>
        <w:t> </w:t>
      </w:r>
      <w:r>
        <w:rPr/>
        <w:t>benefícios</w:t>
      </w:r>
      <w:r>
        <w:rPr>
          <w:spacing w:val="-7"/>
        </w:rPr>
        <w:t> </w:t>
      </w:r>
      <w:r>
        <w:rPr/>
        <w:t>concedidos),</w:t>
      </w:r>
      <w:r>
        <w:rPr>
          <w:spacing w:val="-8"/>
        </w:rPr>
        <w:t> </w:t>
      </w:r>
      <w:r>
        <w:rPr/>
        <w:t>o</w:t>
      </w:r>
      <w:r>
        <w:rPr>
          <w:spacing w:val="-8"/>
        </w:rPr>
        <w:t> </w:t>
      </w:r>
      <w:r>
        <w:rPr/>
        <w:t>índice</w:t>
      </w:r>
      <w:r>
        <w:rPr>
          <w:spacing w:val="-7"/>
        </w:rPr>
        <w:t> </w:t>
      </w:r>
      <w:r>
        <w:rPr/>
        <w:t>situa-se</w:t>
      </w:r>
      <w:r>
        <w:rPr>
          <w:spacing w:val="-7"/>
        </w:rPr>
        <w:t> </w:t>
      </w:r>
      <w:r>
        <w:rPr/>
        <w:t>em</w:t>
      </w:r>
      <w:r>
        <w:rPr>
          <w:spacing w:val="-8"/>
        </w:rPr>
        <w:t> </w:t>
      </w:r>
      <w:r>
        <w:rPr>
          <w:b/>
        </w:rPr>
        <w:t>52,2%</w:t>
      </w:r>
      <w:r>
        <w:rPr>
          <w:b/>
          <w:spacing w:val="-8"/>
        </w:rPr>
        <w:t> </w:t>
      </w:r>
      <w:r>
        <w:rPr/>
        <w:t>das</w:t>
      </w:r>
      <w:r>
        <w:rPr>
          <w:spacing w:val="-9"/>
        </w:rPr>
        <w:t> </w:t>
      </w:r>
      <w:r>
        <w:rPr/>
        <w:t>receitas correntes</w:t>
      </w:r>
      <w:r>
        <w:rPr>
          <w:spacing w:val="-3"/>
        </w:rPr>
        <w:t> </w:t>
      </w:r>
      <w:r>
        <w:rPr/>
        <w:t>(R$</w:t>
      </w:r>
      <w:r>
        <w:rPr>
          <w:spacing w:val="-3"/>
        </w:rPr>
        <w:t> </w:t>
      </w:r>
      <w:r>
        <w:rPr/>
        <w:t>124,86</w:t>
      </w:r>
      <w:r>
        <w:rPr>
          <w:spacing w:val="-3"/>
        </w:rPr>
        <w:t> </w:t>
      </w:r>
      <w:r>
        <w:rPr/>
        <w:t>milhões).</w:t>
      </w:r>
      <w:r>
        <w:rPr>
          <w:spacing w:val="-5"/>
        </w:rPr>
        <w:t> </w:t>
      </w:r>
      <w:r>
        <w:rPr/>
        <w:t>Para</w:t>
      </w:r>
      <w:r>
        <w:rPr>
          <w:spacing w:val="-3"/>
        </w:rPr>
        <w:t> </w:t>
      </w:r>
      <w:r>
        <w:rPr>
          <w:b/>
        </w:rPr>
        <w:t>reserva</w:t>
      </w:r>
      <w:r>
        <w:rPr>
          <w:b/>
          <w:spacing w:val="-6"/>
        </w:rPr>
        <w:t> </w:t>
      </w:r>
      <w:r>
        <w:rPr>
          <w:b/>
        </w:rPr>
        <w:t>de</w:t>
      </w:r>
      <w:r>
        <w:rPr>
          <w:b/>
          <w:spacing w:val="-5"/>
        </w:rPr>
        <w:t> </w:t>
      </w:r>
      <w:r>
        <w:rPr>
          <w:b/>
        </w:rPr>
        <w:t>contingência</w:t>
      </w:r>
      <w:r>
        <w:rPr>
          <w:b/>
          <w:spacing w:val="-2"/>
        </w:rPr>
        <w:t> </w:t>
      </w:r>
      <w:r>
        <w:rPr/>
        <w:t>os</w:t>
      </w:r>
      <w:r>
        <w:rPr>
          <w:spacing w:val="-4"/>
        </w:rPr>
        <w:t> </w:t>
      </w:r>
      <w:r>
        <w:rPr/>
        <w:t>recursos</w:t>
      </w:r>
      <w:r>
        <w:rPr>
          <w:spacing w:val="-7"/>
        </w:rPr>
        <w:t> </w:t>
      </w:r>
      <w:r>
        <w:rPr/>
        <w:t>destinados</w:t>
      </w:r>
      <w:r>
        <w:rPr>
          <w:spacing w:val="-4"/>
        </w:rPr>
        <w:t> </w:t>
      </w:r>
      <w:r>
        <w:rPr/>
        <w:t>são</w:t>
      </w:r>
      <w:r>
        <w:rPr>
          <w:spacing w:val="-6"/>
        </w:rPr>
        <w:t> </w:t>
      </w:r>
      <w:r>
        <w:rPr/>
        <w:t>de</w:t>
      </w:r>
      <w:r>
        <w:rPr>
          <w:spacing w:val="-3"/>
        </w:rPr>
        <w:t> </w:t>
      </w:r>
      <w:r>
        <w:rPr/>
        <w:t>R$</w:t>
      </w:r>
      <w:r>
        <w:rPr>
          <w:spacing w:val="-4"/>
        </w:rPr>
        <w:t> </w:t>
      </w:r>
      <w:r>
        <w:rPr/>
        <w:t>1,45 milhão, ou </w:t>
      </w:r>
      <w:r>
        <w:rPr>
          <w:b/>
        </w:rPr>
        <w:t>1,4% </w:t>
      </w:r>
      <w:r>
        <w:rPr/>
        <w:t>da RAL), conforme demonstrado nos anexos 5 e 6.</w:t>
      </w:r>
    </w:p>
    <w:p>
      <w:pPr>
        <w:pStyle w:val="BodyText"/>
        <w:spacing w:before="162"/>
        <w:ind w:right="146"/>
        <w:jc w:val="right"/>
      </w:pPr>
      <w:r>
        <w:rPr/>
        <w:t>Importante</w:t>
      </w:r>
      <w:r>
        <w:rPr>
          <w:spacing w:val="16"/>
        </w:rPr>
        <w:t> </w:t>
      </w:r>
      <w:r>
        <w:rPr/>
        <w:t>mencionar</w:t>
      </w:r>
      <w:r>
        <w:rPr>
          <w:spacing w:val="15"/>
        </w:rPr>
        <w:t> </w:t>
      </w:r>
      <w:r>
        <w:rPr/>
        <w:t>que</w:t>
      </w:r>
      <w:r>
        <w:rPr>
          <w:spacing w:val="18"/>
        </w:rPr>
        <w:t> </w:t>
      </w:r>
      <w:r>
        <w:rPr/>
        <w:t>a</w:t>
      </w:r>
      <w:r>
        <w:rPr>
          <w:spacing w:val="16"/>
        </w:rPr>
        <w:t> </w:t>
      </w:r>
      <w:r>
        <w:rPr/>
        <w:t>Deliberação</w:t>
      </w:r>
      <w:r>
        <w:rPr>
          <w:spacing w:val="15"/>
        </w:rPr>
        <w:t> </w:t>
      </w:r>
      <w:r>
        <w:rPr/>
        <w:t>Plenária</w:t>
      </w:r>
      <w:r>
        <w:rPr>
          <w:spacing w:val="18"/>
        </w:rPr>
        <w:t> </w:t>
      </w:r>
      <w:r>
        <w:rPr/>
        <w:t>DPAEBR</w:t>
      </w:r>
      <w:r>
        <w:rPr>
          <w:spacing w:val="16"/>
        </w:rPr>
        <w:t> </w:t>
      </w:r>
      <w:r>
        <w:rPr/>
        <w:t>Nº</w:t>
      </w:r>
      <w:r>
        <w:rPr>
          <w:spacing w:val="18"/>
        </w:rPr>
        <w:t> </w:t>
      </w:r>
      <w:r>
        <w:rPr/>
        <w:t>004-01/2020,</w:t>
      </w:r>
      <w:r>
        <w:rPr>
          <w:spacing w:val="18"/>
        </w:rPr>
        <w:t> </w:t>
      </w:r>
      <w:r>
        <w:rPr/>
        <w:t>em</w:t>
      </w:r>
      <w:r>
        <w:rPr>
          <w:spacing w:val="16"/>
        </w:rPr>
        <w:t> </w:t>
      </w:r>
      <w:r>
        <w:rPr/>
        <w:t>seu</w:t>
      </w:r>
      <w:r>
        <w:rPr>
          <w:spacing w:val="17"/>
        </w:rPr>
        <w:t> </w:t>
      </w:r>
      <w:r>
        <w:rPr>
          <w:spacing w:val="-4"/>
        </w:rPr>
        <w:t>Art.</w:t>
      </w:r>
    </w:p>
    <w:p>
      <w:pPr>
        <w:pStyle w:val="BodyText"/>
        <w:spacing w:before="146"/>
        <w:ind w:right="152"/>
        <w:jc w:val="right"/>
      </w:pPr>
      <w:r>
        <w:rPr>
          <w:sz w:val="22"/>
        </w:rPr>
        <w:t>4.2,</w:t>
      </w:r>
      <w:r>
        <w:rPr>
          <w:spacing w:val="68"/>
          <w:sz w:val="22"/>
        </w:rPr>
        <w:t> </w:t>
      </w:r>
      <w:r>
        <w:rPr>
          <w:sz w:val="22"/>
        </w:rPr>
        <w:t>vedou</w:t>
      </w:r>
      <w:r>
        <w:rPr>
          <w:spacing w:val="72"/>
          <w:sz w:val="22"/>
        </w:rPr>
        <w:t> </w:t>
      </w:r>
      <w:r>
        <w:rPr/>
        <w:t>a</w:t>
      </w:r>
      <w:r>
        <w:rPr>
          <w:spacing w:val="72"/>
        </w:rPr>
        <w:t> </w:t>
      </w:r>
      <w:r>
        <w:rPr/>
        <w:t>inobservância</w:t>
      </w:r>
      <w:r>
        <w:rPr>
          <w:spacing w:val="75"/>
        </w:rPr>
        <w:t> </w:t>
      </w:r>
      <w:r>
        <w:rPr/>
        <w:t>de</w:t>
      </w:r>
      <w:r>
        <w:rPr>
          <w:spacing w:val="73"/>
        </w:rPr>
        <w:t> </w:t>
      </w:r>
      <w:r>
        <w:rPr/>
        <w:t>aplicação</w:t>
      </w:r>
      <w:r>
        <w:rPr>
          <w:spacing w:val="74"/>
        </w:rPr>
        <w:t> </w:t>
      </w:r>
      <w:r>
        <w:rPr/>
        <w:t>do</w:t>
      </w:r>
      <w:r>
        <w:rPr>
          <w:spacing w:val="73"/>
        </w:rPr>
        <w:t> </w:t>
      </w:r>
      <w:r>
        <w:rPr/>
        <w:t>percentual</w:t>
      </w:r>
      <w:r>
        <w:rPr>
          <w:spacing w:val="74"/>
        </w:rPr>
        <w:t> </w:t>
      </w:r>
      <w:r>
        <w:rPr/>
        <w:t>mínimo,</w:t>
      </w:r>
      <w:r>
        <w:rPr>
          <w:spacing w:val="72"/>
        </w:rPr>
        <w:t> </w:t>
      </w:r>
      <w:r>
        <w:rPr/>
        <w:t>referenciado</w:t>
      </w:r>
      <w:r>
        <w:rPr>
          <w:spacing w:val="72"/>
        </w:rPr>
        <w:t> </w:t>
      </w:r>
      <w:r>
        <w:rPr/>
        <w:t>na</w:t>
      </w:r>
      <w:r>
        <w:rPr>
          <w:spacing w:val="73"/>
        </w:rPr>
        <w:t> </w:t>
      </w:r>
      <w:r>
        <w:rPr/>
        <w:t>Receita</w:t>
      </w:r>
      <w:r>
        <w:rPr>
          <w:spacing w:val="73"/>
        </w:rPr>
        <w:t> </w:t>
      </w:r>
      <w:r>
        <w:rPr>
          <w:spacing w:val="-5"/>
        </w:rPr>
        <w:t>de</w:t>
      </w:r>
    </w:p>
    <w:p>
      <w:pPr>
        <w:spacing w:after="0"/>
        <w:jc w:val="right"/>
        <w:sectPr>
          <w:pgSz w:w="11910" w:h="16840"/>
          <w:pgMar w:header="689" w:footer="261" w:top="1580" w:bottom="460" w:left="1300" w:right="700"/>
        </w:sectPr>
      </w:pPr>
    </w:p>
    <w:p>
      <w:pPr>
        <w:pStyle w:val="BodyText"/>
        <w:spacing w:line="360" w:lineRule="auto" w:before="14"/>
        <w:ind w:left="118" w:right="147"/>
        <w:jc w:val="both"/>
      </w:pPr>
      <w:r>
        <w:rPr/>
        <w:t>Arrecadação</w:t>
      </w:r>
      <w:r>
        <w:rPr>
          <w:spacing w:val="-5"/>
        </w:rPr>
        <w:t> </w:t>
      </w:r>
      <w:r>
        <w:rPr/>
        <w:t>Líquida</w:t>
      </w:r>
      <w:r>
        <w:rPr>
          <w:spacing w:val="-5"/>
        </w:rPr>
        <w:t> </w:t>
      </w:r>
      <w:r>
        <w:rPr/>
        <w:t>(RAL),</w:t>
      </w:r>
      <w:r>
        <w:rPr>
          <w:spacing w:val="-3"/>
        </w:rPr>
        <w:t> </w:t>
      </w:r>
      <w:r>
        <w:rPr/>
        <w:t>de</w:t>
      </w:r>
      <w:r>
        <w:rPr>
          <w:spacing w:val="-5"/>
        </w:rPr>
        <w:t> </w:t>
      </w:r>
      <w:r>
        <w:rPr/>
        <w:t>15%</w:t>
      </w:r>
      <w:r>
        <w:rPr>
          <w:spacing w:val="-2"/>
        </w:rPr>
        <w:t> </w:t>
      </w:r>
      <w:r>
        <w:rPr/>
        <w:t>(quinze</w:t>
      </w:r>
      <w:r>
        <w:rPr>
          <w:spacing w:val="-5"/>
        </w:rPr>
        <w:t> </w:t>
      </w:r>
      <w:r>
        <w:rPr/>
        <w:t>por</w:t>
      </w:r>
      <w:r>
        <w:rPr>
          <w:spacing w:val="-2"/>
        </w:rPr>
        <w:t> </w:t>
      </w:r>
      <w:r>
        <w:rPr/>
        <w:t>cento)</w:t>
      </w:r>
      <w:r>
        <w:rPr>
          <w:spacing w:val="-5"/>
        </w:rPr>
        <w:t> </w:t>
      </w:r>
      <w:r>
        <w:rPr/>
        <w:t>nas</w:t>
      </w:r>
      <w:r>
        <w:rPr>
          <w:spacing w:val="-5"/>
        </w:rPr>
        <w:t> </w:t>
      </w:r>
      <w:r>
        <w:rPr/>
        <w:t>atividades</w:t>
      </w:r>
      <w:r>
        <w:rPr>
          <w:spacing w:val="-5"/>
        </w:rPr>
        <w:t> </w:t>
      </w:r>
      <w:r>
        <w:rPr/>
        <w:t>de</w:t>
      </w:r>
      <w:r>
        <w:rPr>
          <w:spacing w:val="-2"/>
        </w:rPr>
        <w:t> </w:t>
      </w:r>
      <w:r>
        <w:rPr/>
        <w:t>Fiscalização,</w:t>
      </w:r>
      <w:r>
        <w:rPr>
          <w:spacing w:val="-2"/>
        </w:rPr>
        <w:t> </w:t>
      </w:r>
      <w:r>
        <w:rPr/>
        <w:t>e</w:t>
      </w:r>
      <w:r>
        <w:rPr>
          <w:spacing w:val="-5"/>
        </w:rPr>
        <w:t> </w:t>
      </w:r>
      <w:r>
        <w:rPr/>
        <w:t>condicionou aos órgãos deliberativos dos CAU/UF, mediante as justificativas próprias, flexibilizar a aplicação de recursos mínimos e máximos na Reprogramação do Plano de Ação e Orçamento de 2020, nos seguintes itens de despesas:</w:t>
      </w:r>
    </w:p>
    <w:p>
      <w:pPr>
        <w:pStyle w:val="ListParagraph"/>
        <w:numPr>
          <w:ilvl w:val="0"/>
          <w:numId w:val="5"/>
        </w:numPr>
        <w:tabs>
          <w:tab w:pos="1086" w:val="left" w:leader="none"/>
        </w:tabs>
        <w:spacing w:line="240" w:lineRule="auto" w:before="159" w:after="0"/>
        <w:ind w:left="1086" w:right="0" w:hanging="116"/>
        <w:jc w:val="both"/>
        <w:rPr>
          <w:sz w:val="24"/>
        </w:rPr>
      </w:pPr>
      <w:r>
        <w:rPr>
          <w:sz w:val="24"/>
        </w:rPr>
        <w:t>–</w:t>
      </w:r>
      <w:r>
        <w:rPr>
          <w:spacing w:val="-1"/>
          <w:sz w:val="24"/>
        </w:rPr>
        <w:t> </w:t>
      </w:r>
      <w:r>
        <w:rPr>
          <w:sz w:val="24"/>
        </w:rPr>
        <w:t>Atendimento,</w:t>
      </w:r>
      <w:r>
        <w:rPr>
          <w:spacing w:val="-2"/>
          <w:sz w:val="24"/>
        </w:rPr>
        <w:t> </w:t>
      </w:r>
      <w:r>
        <w:rPr>
          <w:sz w:val="24"/>
        </w:rPr>
        <w:t>mínimo</w:t>
      </w:r>
      <w:r>
        <w:rPr>
          <w:spacing w:val="-3"/>
          <w:sz w:val="24"/>
        </w:rPr>
        <w:t> </w:t>
      </w:r>
      <w:r>
        <w:rPr>
          <w:sz w:val="24"/>
        </w:rPr>
        <w:t>de</w:t>
      </w:r>
      <w:r>
        <w:rPr>
          <w:spacing w:val="-2"/>
          <w:sz w:val="24"/>
        </w:rPr>
        <w:t> </w:t>
      </w:r>
      <w:r>
        <w:rPr>
          <w:sz w:val="24"/>
        </w:rPr>
        <w:t>10% da</w:t>
      </w:r>
      <w:r>
        <w:rPr>
          <w:spacing w:val="-1"/>
          <w:sz w:val="24"/>
        </w:rPr>
        <w:t> </w:t>
      </w:r>
      <w:r>
        <w:rPr>
          <w:spacing w:val="-4"/>
          <w:sz w:val="24"/>
        </w:rPr>
        <w:t>RAL;</w:t>
      </w:r>
    </w:p>
    <w:p>
      <w:pPr>
        <w:pStyle w:val="BodyText"/>
        <w:spacing w:before="2"/>
        <w:rPr>
          <w:sz w:val="25"/>
        </w:rPr>
      </w:pPr>
    </w:p>
    <w:p>
      <w:pPr>
        <w:pStyle w:val="ListParagraph"/>
        <w:numPr>
          <w:ilvl w:val="0"/>
          <w:numId w:val="5"/>
        </w:numPr>
        <w:tabs>
          <w:tab w:pos="1146" w:val="left" w:leader="none"/>
        </w:tabs>
        <w:spacing w:line="240" w:lineRule="auto" w:before="0" w:after="0"/>
        <w:ind w:left="1146" w:right="0" w:hanging="176"/>
        <w:jc w:val="both"/>
        <w:rPr>
          <w:sz w:val="24"/>
        </w:rPr>
      </w:pPr>
      <w:r>
        <w:rPr>
          <w:sz w:val="24"/>
        </w:rPr>
        <w:t>–</w:t>
      </w:r>
      <w:r>
        <w:rPr>
          <w:spacing w:val="-1"/>
          <w:sz w:val="24"/>
        </w:rPr>
        <w:t> </w:t>
      </w:r>
      <w:r>
        <w:rPr>
          <w:sz w:val="24"/>
        </w:rPr>
        <w:t>Objetivos</w:t>
      </w:r>
      <w:r>
        <w:rPr>
          <w:spacing w:val="-2"/>
          <w:sz w:val="24"/>
        </w:rPr>
        <w:t> </w:t>
      </w:r>
      <w:r>
        <w:rPr>
          <w:sz w:val="24"/>
        </w:rPr>
        <w:t>estratégicos</w:t>
      </w:r>
      <w:r>
        <w:rPr>
          <w:spacing w:val="-2"/>
          <w:sz w:val="24"/>
        </w:rPr>
        <w:t> </w:t>
      </w:r>
      <w:r>
        <w:rPr>
          <w:sz w:val="24"/>
        </w:rPr>
        <w:t>locais,</w:t>
      </w:r>
      <w:r>
        <w:rPr>
          <w:spacing w:val="-2"/>
          <w:sz w:val="24"/>
        </w:rPr>
        <w:t> </w:t>
      </w:r>
      <w:r>
        <w:rPr>
          <w:sz w:val="24"/>
        </w:rPr>
        <w:t>mínimo</w:t>
      </w:r>
      <w:r>
        <w:rPr>
          <w:spacing w:val="-3"/>
          <w:sz w:val="24"/>
        </w:rPr>
        <w:t> </w:t>
      </w:r>
      <w:r>
        <w:rPr>
          <w:sz w:val="24"/>
        </w:rPr>
        <w:t>de</w:t>
      </w:r>
      <w:r>
        <w:rPr>
          <w:spacing w:val="-3"/>
          <w:sz w:val="24"/>
        </w:rPr>
        <w:t> </w:t>
      </w:r>
      <w:r>
        <w:rPr>
          <w:sz w:val="24"/>
        </w:rPr>
        <w:t>6%</w:t>
      </w:r>
      <w:r>
        <w:rPr>
          <w:spacing w:val="-2"/>
          <w:sz w:val="24"/>
        </w:rPr>
        <w:t> </w:t>
      </w:r>
      <w:r>
        <w:rPr>
          <w:sz w:val="24"/>
        </w:rPr>
        <w:t>da</w:t>
      </w:r>
      <w:r>
        <w:rPr>
          <w:spacing w:val="-1"/>
          <w:sz w:val="24"/>
        </w:rPr>
        <w:t> </w:t>
      </w:r>
      <w:r>
        <w:rPr>
          <w:spacing w:val="-4"/>
          <w:sz w:val="24"/>
        </w:rPr>
        <w:t>RAL;</w:t>
      </w:r>
    </w:p>
    <w:p>
      <w:pPr>
        <w:pStyle w:val="BodyText"/>
        <w:rPr>
          <w:sz w:val="25"/>
        </w:rPr>
      </w:pPr>
    </w:p>
    <w:p>
      <w:pPr>
        <w:pStyle w:val="ListParagraph"/>
        <w:numPr>
          <w:ilvl w:val="0"/>
          <w:numId w:val="5"/>
        </w:numPr>
        <w:tabs>
          <w:tab w:pos="1206" w:val="left" w:leader="none"/>
        </w:tabs>
        <w:spacing w:line="240" w:lineRule="auto" w:before="0" w:after="0"/>
        <w:ind w:left="1206" w:right="0" w:hanging="236"/>
        <w:jc w:val="both"/>
        <w:rPr>
          <w:sz w:val="24"/>
        </w:rPr>
      </w:pPr>
      <w:r>
        <w:rPr>
          <w:sz w:val="24"/>
        </w:rPr>
        <w:t>– Capacitação,</w:t>
      </w:r>
      <w:r>
        <w:rPr>
          <w:spacing w:val="-3"/>
          <w:sz w:val="24"/>
        </w:rPr>
        <w:t> </w:t>
      </w:r>
      <w:r>
        <w:rPr>
          <w:sz w:val="24"/>
        </w:rPr>
        <w:t>de</w:t>
      </w:r>
      <w:r>
        <w:rPr>
          <w:spacing w:val="-2"/>
          <w:sz w:val="24"/>
        </w:rPr>
        <w:t> </w:t>
      </w:r>
      <w:r>
        <w:rPr>
          <w:sz w:val="24"/>
        </w:rPr>
        <w:t>2 a</w:t>
      </w:r>
      <w:r>
        <w:rPr>
          <w:spacing w:val="-4"/>
          <w:sz w:val="24"/>
        </w:rPr>
        <w:t> </w:t>
      </w:r>
      <w:r>
        <w:rPr>
          <w:sz w:val="24"/>
        </w:rPr>
        <w:t>4%</w:t>
      </w:r>
      <w:r>
        <w:rPr>
          <w:spacing w:val="-1"/>
          <w:sz w:val="24"/>
        </w:rPr>
        <w:t> </w:t>
      </w:r>
      <w:r>
        <w:rPr>
          <w:sz w:val="24"/>
        </w:rPr>
        <w:t>da</w:t>
      </w:r>
      <w:r>
        <w:rPr>
          <w:spacing w:val="-2"/>
          <w:sz w:val="24"/>
        </w:rPr>
        <w:t> </w:t>
      </w:r>
      <w:r>
        <w:rPr>
          <w:sz w:val="24"/>
        </w:rPr>
        <w:t>folha</w:t>
      </w:r>
      <w:r>
        <w:rPr>
          <w:spacing w:val="-1"/>
          <w:sz w:val="24"/>
        </w:rPr>
        <w:t> </w:t>
      </w:r>
      <w:r>
        <w:rPr>
          <w:sz w:val="24"/>
        </w:rPr>
        <w:t>de</w:t>
      </w:r>
      <w:r>
        <w:rPr>
          <w:spacing w:val="1"/>
          <w:sz w:val="24"/>
        </w:rPr>
        <w:t> </w:t>
      </w:r>
      <w:r>
        <w:rPr>
          <w:spacing w:val="-2"/>
          <w:sz w:val="24"/>
        </w:rPr>
        <w:t>pagamento;</w:t>
      </w:r>
    </w:p>
    <w:p>
      <w:pPr>
        <w:pStyle w:val="BodyText"/>
        <w:spacing w:before="2"/>
        <w:rPr>
          <w:sz w:val="25"/>
        </w:rPr>
      </w:pPr>
    </w:p>
    <w:p>
      <w:pPr>
        <w:pStyle w:val="ListParagraph"/>
        <w:numPr>
          <w:ilvl w:val="0"/>
          <w:numId w:val="5"/>
        </w:numPr>
        <w:tabs>
          <w:tab w:pos="1223" w:val="left" w:leader="none"/>
        </w:tabs>
        <w:spacing w:line="240" w:lineRule="auto" w:before="0" w:after="0"/>
        <w:ind w:left="1222" w:right="0" w:hanging="253"/>
        <w:jc w:val="both"/>
        <w:rPr>
          <w:sz w:val="24"/>
        </w:rPr>
      </w:pPr>
      <w:r>
        <w:rPr>
          <w:sz w:val="24"/>
        </w:rPr>
        <w:t>–</w:t>
      </w:r>
      <w:r>
        <w:rPr>
          <w:spacing w:val="-4"/>
          <w:sz w:val="24"/>
        </w:rPr>
        <w:t> </w:t>
      </w:r>
      <w:r>
        <w:rPr>
          <w:sz w:val="24"/>
        </w:rPr>
        <w:t>Comunicação,</w:t>
      </w:r>
      <w:r>
        <w:rPr>
          <w:spacing w:val="-1"/>
          <w:sz w:val="24"/>
        </w:rPr>
        <w:t> </w:t>
      </w:r>
      <w:r>
        <w:rPr>
          <w:sz w:val="24"/>
        </w:rPr>
        <w:t>mínimo</w:t>
      </w:r>
      <w:r>
        <w:rPr>
          <w:spacing w:val="-1"/>
          <w:sz w:val="24"/>
        </w:rPr>
        <w:t> </w:t>
      </w:r>
      <w:r>
        <w:rPr>
          <w:sz w:val="24"/>
        </w:rPr>
        <w:t>de</w:t>
      </w:r>
      <w:r>
        <w:rPr>
          <w:spacing w:val="-4"/>
          <w:sz w:val="24"/>
        </w:rPr>
        <w:t> </w:t>
      </w:r>
      <w:r>
        <w:rPr>
          <w:sz w:val="24"/>
        </w:rPr>
        <w:t>3%</w:t>
      </w:r>
      <w:r>
        <w:rPr>
          <w:spacing w:val="-2"/>
          <w:sz w:val="24"/>
        </w:rPr>
        <w:t> </w:t>
      </w:r>
      <w:r>
        <w:rPr>
          <w:sz w:val="24"/>
        </w:rPr>
        <w:t>da</w:t>
      </w:r>
      <w:r>
        <w:rPr>
          <w:spacing w:val="-2"/>
          <w:sz w:val="24"/>
        </w:rPr>
        <w:t> </w:t>
      </w:r>
      <w:r>
        <w:rPr>
          <w:spacing w:val="-4"/>
          <w:sz w:val="24"/>
        </w:rPr>
        <w:t>RAL;</w:t>
      </w:r>
    </w:p>
    <w:p>
      <w:pPr>
        <w:pStyle w:val="BodyText"/>
        <w:spacing w:before="2"/>
        <w:rPr>
          <w:sz w:val="25"/>
        </w:rPr>
      </w:pPr>
    </w:p>
    <w:p>
      <w:pPr>
        <w:pStyle w:val="ListParagraph"/>
        <w:numPr>
          <w:ilvl w:val="0"/>
          <w:numId w:val="5"/>
        </w:numPr>
        <w:tabs>
          <w:tab w:pos="1163" w:val="left" w:leader="none"/>
        </w:tabs>
        <w:spacing w:line="240" w:lineRule="auto" w:before="0" w:after="0"/>
        <w:ind w:left="1162" w:right="0" w:hanging="193"/>
        <w:jc w:val="both"/>
        <w:rPr>
          <w:sz w:val="24"/>
        </w:rPr>
      </w:pPr>
      <w:r>
        <w:rPr>
          <w:sz w:val="24"/>
        </w:rPr>
        <w:t>–</w:t>
      </w:r>
      <w:r>
        <w:rPr>
          <w:spacing w:val="-3"/>
          <w:sz w:val="24"/>
        </w:rPr>
        <w:t> </w:t>
      </w:r>
      <w:r>
        <w:rPr>
          <w:sz w:val="24"/>
        </w:rPr>
        <w:t>Patrocínio,</w:t>
      </w:r>
      <w:r>
        <w:rPr>
          <w:spacing w:val="-2"/>
          <w:sz w:val="24"/>
        </w:rPr>
        <w:t> </w:t>
      </w:r>
      <w:r>
        <w:rPr>
          <w:sz w:val="24"/>
        </w:rPr>
        <w:t>máximo</w:t>
      </w:r>
      <w:r>
        <w:rPr>
          <w:spacing w:val="-2"/>
          <w:sz w:val="24"/>
        </w:rPr>
        <w:t> </w:t>
      </w:r>
      <w:r>
        <w:rPr>
          <w:sz w:val="24"/>
        </w:rPr>
        <w:t>de 5%</w:t>
      </w:r>
      <w:r>
        <w:rPr>
          <w:spacing w:val="-1"/>
          <w:sz w:val="24"/>
        </w:rPr>
        <w:t> </w:t>
      </w:r>
      <w:r>
        <w:rPr>
          <w:sz w:val="24"/>
        </w:rPr>
        <w:t>da</w:t>
      </w:r>
      <w:r>
        <w:rPr>
          <w:spacing w:val="-3"/>
          <w:sz w:val="24"/>
        </w:rPr>
        <w:t> </w:t>
      </w:r>
      <w:r>
        <w:rPr>
          <w:spacing w:val="-4"/>
          <w:sz w:val="24"/>
        </w:rPr>
        <w:t>RAL;</w:t>
      </w:r>
    </w:p>
    <w:p>
      <w:pPr>
        <w:pStyle w:val="BodyText"/>
        <w:spacing w:before="2"/>
        <w:rPr>
          <w:sz w:val="25"/>
        </w:rPr>
      </w:pPr>
    </w:p>
    <w:p>
      <w:pPr>
        <w:pStyle w:val="ListParagraph"/>
        <w:numPr>
          <w:ilvl w:val="0"/>
          <w:numId w:val="5"/>
        </w:numPr>
        <w:tabs>
          <w:tab w:pos="1240" w:val="left" w:leader="none"/>
        </w:tabs>
        <w:spacing w:line="360" w:lineRule="auto" w:before="0" w:after="0"/>
        <w:ind w:left="118" w:right="151" w:firstLine="851"/>
        <w:jc w:val="both"/>
        <w:rPr>
          <w:sz w:val="24"/>
        </w:rPr>
      </w:pPr>
      <w:r>
        <w:rPr>
          <w:sz w:val="24"/>
        </w:rPr>
        <w:t>– Folha de pagamento, compreendendo remuneração e encargos, máximo de 55% da receita corrente;</w:t>
      </w:r>
    </w:p>
    <w:p>
      <w:pPr>
        <w:pStyle w:val="ListParagraph"/>
        <w:numPr>
          <w:ilvl w:val="0"/>
          <w:numId w:val="5"/>
        </w:numPr>
        <w:tabs>
          <w:tab w:pos="1283" w:val="left" w:leader="none"/>
        </w:tabs>
        <w:spacing w:line="240" w:lineRule="auto" w:before="161" w:after="0"/>
        <w:ind w:left="1282" w:right="0" w:hanging="313"/>
        <w:jc w:val="both"/>
        <w:rPr>
          <w:sz w:val="24"/>
        </w:rPr>
      </w:pPr>
      <w:r>
        <w:rPr>
          <w:sz w:val="24"/>
        </w:rPr>
        <w:t>–</w:t>
      </w:r>
      <w:r>
        <w:rPr>
          <w:spacing w:val="-1"/>
          <w:sz w:val="24"/>
        </w:rPr>
        <w:t> </w:t>
      </w:r>
      <w:r>
        <w:rPr>
          <w:sz w:val="24"/>
        </w:rPr>
        <w:t>Reserva</w:t>
      </w:r>
      <w:r>
        <w:rPr>
          <w:spacing w:val="-3"/>
          <w:sz w:val="24"/>
        </w:rPr>
        <w:t> </w:t>
      </w:r>
      <w:r>
        <w:rPr>
          <w:sz w:val="24"/>
        </w:rPr>
        <w:t>de</w:t>
      </w:r>
      <w:r>
        <w:rPr>
          <w:spacing w:val="-1"/>
          <w:sz w:val="24"/>
        </w:rPr>
        <w:t> </w:t>
      </w:r>
      <w:r>
        <w:rPr>
          <w:sz w:val="24"/>
        </w:rPr>
        <w:t>contingência, máximo</w:t>
      </w:r>
      <w:r>
        <w:rPr>
          <w:spacing w:val="-3"/>
          <w:sz w:val="24"/>
        </w:rPr>
        <w:t> </w:t>
      </w:r>
      <w:r>
        <w:rPr>
          <w:sz w:val="24"/>
        </w:rPr>
        <w:t>de</w:t>
      </w:r>
      <w:r>
        <w:rPr>
          <w:spacing w:val="-4"/>
          <w:sz w:val="24"/>
        </w:rPr>
        <w:t> </w:t>
      </w:r>
      <w:r>
        <w:rPr>
          <w:sz w:val="24"/>
        </w:rPr>
        <w:t>2% da</w:t>
      </w:r>
      <w:r>
        <w:rPr>
          <w:spacing w:val="-3"/>
          <w:sz w:val="24"/>
        </w:rPr>
        <w:t> </w:t>
      </w:r>
      <w:r>
        <w:rPr>
          <w:spacing w:val="-4"/>
          <w:sz w:val="24"/>
        </w:rPr>
        <w:t>RAL;</w:t>
      </w:r>
    </w:p>
    <w:p>
      <w:pPr>
        <w:pStyle w:val="BodyText"/>
        <w:spacing w:before="11"/>
      </w:pPr>
    </w:p>
    <w:p>
      <w:pPr>
        <w:pStyle w:val="ListParagraph"/>
        <w:numPr>
          <w:ilvl w:val="0"/>
          <w:numId w:val="6"/>
        </w:numPr>
        <w:tabs>
          <w:tab w:pos="1418" w:val="left" w:leader="none"/>
        </w:tabs>
        <w:spacing w:line="240" w:lineRule="auto" w:before="0" w:after="0"/>
        <w:ind w:left="1417" w:right="0" w:hanging="448"/>
        <w:jc w:val="left"/>
        <w:rPr>
          <w:sz w:val="24"/>
        </w:rPr>
      </w:pPr>
      <w:r>
        <w:rPr>
          <w:sz w:val="24"/>
        </w:rPr>
        <w:t>Assistência</w:t>
      </w:r>
      <w:r>
        <w:rPr>
          <w:spacing w:val="-7"/>
          <w:sz w:val="24"/>
        </w:rPr>
        <w:t> </w:t>
      </w:r>
      <w:r>
        <w:rPr>
          <w:sz w:val="24"/>
        </w:rPr>
        <w:t>Técnica</w:t>
      </w:r>
      <w:r>
        <w:rPr>
          <w:spacing w:val="-6"/>
          <w:sz w:val="24"/>
        </w:rPr>
        <w:t> </w:t>
      </w:r>
      <w:r>
        <w:rPr>
          <w:sz w:val="24"/>
        </w:rPr>
        <w:t>em</w:t>
      </w:r>
      <w:r>
        <w:rPr>
          <w:spacing w:val="-2"/>
          <w:sz w:val="24"/>
        </w:rPr>
        <w:t> </w:t>
      </w:r>
      <w:r>
        <w:rPr>
          <w:sz w:val="24"/>
        </w:rPr>
        <w:t>Habitação</w:t>
      </w:r>
      <w:r>
        <w:rPr>
          <w:spacing w:val="-3"/>
          <w:sz w:val="24"/>
        </w:rPr>
        <w:t> </w:t>
      </w:r>
      <w:r>
        <w:rPr>
          <w:sz w:val="24"/>
        </w:rPr>
        <w:t>de</w:t>
      </w:r>
      <w:r>
        <w:rPr>
          <w:spacing w:val="-1"/>
          <w:sz w:val="24"/>
        </w:rPr>
        <w:t> </w:t>
      </w:r>
      <w:r>
        <w:rPr>
          <w:sz w:val="24"/>
        </w:rPr>
        <w:t>Interesse</w:t>
      </w:r>
      <w:r>
        <w:rPr>
          <w:spacing w:val="-2"/>
          <w:sz w:val="24"/>
        </w:rPr>
        <w:t> </w:t>
      </w:r>
      <w:r>
        <w:rPr>
          <w:sz w:val="24"/>
        </w:rPr>
        <w:t>Social</w:t>
      </w:r>
      <w:r>
        <w:rPr>
          <w:spacing w:val="-1"/>
          <w:sz w:val="24"/>
        </w:rPr>
        <w:t> </w:t>
      </w:r>
      <w:r>
        <w:rPr>
          <w:sz w:val="24"/>
        </w:rPr>
        <w:t>(ATHIS),</w:t>
      </w:r>
      <w:r>
        <w:rPr>
          <w:spacing w:val="-4"/>
          <w:sz w:val="24"/>
        </w:rPr>
        <w:t> </w:t>
      </w:r>
      <w:r>
        <w:rPr>
          <w:sz w:val="24"/>
        </w:rPr>
        <w:t>mínimo</w:t>
      </w:r>
      <w:r>
        <w:rPr>
          <w:spacing w:val="-1"/>
          <w:sz w:val="24"/>
        </w:rPr>
        <w:t> </w:t>
      </w:r>
      <w:r>
        <w:rPr>
          <w:sz w:val="24"/>
        </w:rPr>
        <w:t>de</w:t>
      </w:r>
      <w:r>
        <w:rPr>
          <w:spacing w:val="-5"/>
          <w:sz w:val="24"/>
        </w:rPr>
        <w:t> </w:t>
      </w:r>
      <w:r>
        <w:rPr>
          <w:sz w:val="24"/>
        </w:rPr>
        <w:t>2%</w:t>
      </w:r>
      <w:r>
        <w:rPr>
          <w:spacing w:val="-1"/>
          <w:sz w:val="24"/>
        </w:rPr>
        <w:t> </w:t>
      </w:r>
      <w:r>
        <w:rPr>
          <w:sz w:val="24"/>
        </w:rPr>
        <w:t>da</w:t>
      </w:r>
      <w:r>
        <w:rPr>
          <w:spacing w:val="-2"/>
          <w:sz w:val="24"/>
        </w:rPr>
        <w:t> </w:t>
      </w:r>
      <w:r>
        <w:rPr>
          <w:spacing w:val="-4"/>
          <w:sz w:val="24"/>
        </w:rPr>
        <w:t>RAL.</w:t>
      </w:r>
    </w:p>
    <w:p>
      <w:pPr>
        <w:pStyle w:val="BodyText"/>
      </w:pPr>
    </w:p>
    <w:p>
      <w:pPr>
        <w:pStyle w:val="BodyText"/>
        <w:spacing w:before="2"/>
        <w:rPr>
          <w:sz w:val="25"/>
        </w:rPr>
      </w:pPr>
    </w:p>
    <w:p>
      <w:pPr>
        <w:pStyle w:val="BodyText"/>
        <w:spacing w:line="360" w:lineRule="auto"/>
        <w:ind w:left="118" w:right="149" w:firstLine="851"/>
        <w:jc w:val="both"/>
      </w:pPr>
      <w:r>
        <w:rPr/>
        <w:t>Os CAU/UF e CAU/BR flexibilizaram, mediante justificativas próprias, os seguintes limites (anexos 5 e 6):</w:t>
      </w:r>
    </w:p>
    <w:p>
      <w:pPr>
        <w:pStyle w:val="ListParagraph"/>
        <w:numPr>
          <w:ilvl w:val="1"/>
          <w:numId w:val="6"/>
        </w:numPr>
        <w:tabs>
          <w:tab w:pos="1691" w:val="left" w:leader="none"/>
        </w:tabs>
        <w:spacing w:line="240" w:lineRule="auto" w:before="160" w:after="0"/>
        <w:ind w:left="1690" w:right="0" w:hanging="361"/>
        <w:jc w:val="left"/>
        <w:rPr>
          <w:sz w:val="24"/>
        </w:rPr>
      </w:pPr>
      <w:r>
        <w:rPr>
          <w:sz w:val="24"/>
        </w:rPr>
        <w:t>Atendimento:</w:t>
      </w:r>
      <w:r>
        <w:rPr>
          <w:spacing w:val="-2"/>
          <w:sz w:val="24"/>
        </w:rPr>
        <w:t> </w:t>
      </w:r>
      <w:r>
        <w:rPr>
          <w:sz w:val="24"/>
        </w:rPr>
        <w:t>PE</w:t>
      </w:r>
      <w:r>
        <w:rPr>
          <w:spacing w:val="-1"/>
          <w:sz w:val="24"/>
        </w:rPr>
        <w:t> </w:t>
      </w:r>
      <w:r>
        <w:rPr>
          <w:sz w:val="24"/>
        </w:rPr>
        <w:t>e</w:t>
      </w:r>
      <w:r>
        <w:rPr>
          <w:spacing w:val="-3"/>
          <w:sz w:val="24"/>
        </w:rPr>
        <w:t> </w:t>
      </w:r>
      <w:r>
        <w:rPr>
          <w:spacing w:val="-5"/>
          <w:sz w:val="24"/>
        </w:rPr>
        <w:t>PI;</w:t>
      </w:r>
    </w:p>
    <w:p>
      <w:pPr>
        <w:pStyle w:val="ListParagraph"/>
        <w:numPr>
          <w:ilvl w:val="1"/>
          <w:numId w:val="6"/>
        </w:numPr>
        <w:tabs>
          <w:tab w:pos="1691" w:val="left" w:leader="none"/>
        </w:tabs>
        <w:spacing w:line="240" w:lineRule="auto" w:before="147" w:after="0"/>
        <w:ind w:left="1690" w:right="0" w:hanging="361"/>
        <w:jc w:val="left"/>
        <w:rPr>
          <w:sz w:val="24"/>
        </w:rPr>
      </w:pPr>
      <w:r>
        <w:rPr>
          <w:sz w:val="24"/>
        </w:rPr>
        <w:t>Comunicação:</w:t>
      </w:r>
      <w:r>
        <w:rPr>
          <w:spacing w:val="-4"/>
          <w:sz w:val="24"/>
        </w:rPr>
        <w:t> </w:t>
      </w:r>
      <w:r>
        <w:rPr>
          <w:sz w:val="24"/>
        </w:rPr>
        <w:t>RO</w:t>
      </w:r>
      <w:r>
        <w:rPr>
          <w:spacing w:val="-2"/>
          <w:sz w:val="24"/>
        </w:rPr>
        <w:t> </w:t>
      </w:r>
      <w:r>
        <w:rPr>
          <w:sz w:val="24"/>
        </w:rPr>
        <w:t>e </w:t>
      </w:r>
      <w:r>
        <w:rPr>
          <w:spacing w:val="-5"/>
          <w:sz w:val="24"/>
        </w:rPr>
        <w:t>PB;</w:t>
      </w:r>
    </w:p>
    <w:p>
      <w:pPr>
        <w:pStyle w:val="ListParagraph"/>
        <w:numPr>
          <w:ilvl w:val="1"/>
          <w:numId w:val="6"/>
        </w:numPr>
        <w:tabs>
          <w:tab w:pos="1691" w:val="left" w:leader="none"/>
        </w:tabs>
        <w:spacing w:line="240" w:lineRule="auto" w:before="146" w:after="0"/>
        <w:ind w:left="1690" w:right="0" w:hanging="361"/>
        <w:jc w:val="left"/>
        <w:rPr>
          <w:sz w:val="24"/>
        </w:rPr>
      </w:pPr>
      <w:r>
        <w:rPr>
          <w:sz w:val="24"/>
        </w:rPr>
        <w:t>Patrocínio:</w:t>
      </w:r>
      <w:r>
        <w:rPr>
          <w:spacing w:val="-5"/>
          <w:sz w:val="24"/>
        </w:rPr>
        <w:t> SP;</w:t>
      </w:r>
    </w:p>
    <w:p>
      <w:pPr>
        <w:pStyle w:val="ListParagraph"/>
        <w:numPr>
          <w:ilvl w:val="1"/>
          <w:numId w:val="6"/>
        </w:numPr>
        <w:tabs>
          <w:tab w:pos="1691" w:val="left" w:leader="none"/>
        </w:tabs>
        <w:spacing w:line="240" w:lineRule="auto" w:before="146" w:after="0"/>
        <w:ind w:left="1690" w:right="0" w:hanging="361"/>
        <w:jc w:val="left"/>
        <w:rPr>
          <w:sz w:val="24"/>
        </w:rPr>
      </w:pPr>
      <w:r>
        <w:rPr>
          <w:sz w:val="24"/>
        </w:rPr>
        <w:t>Objetivos</w:t>
      </w:r>
      <w:r>
        <w:rPr>
          <w:spacing w:val="-3"/>
          <w:sz w:val="24"/>
        </w:rPr>
        <w:t> </w:t>
      </w:r>
      <w:r>
        <w:rPr>
          <w:sz w:val="24"/>
        </w:rPr>
        <w:t>Locais:</w:t>
      </w:r>
      <w:r>
        <w:rPr>
          <w:spacing w:val="-2"/>
          <w:sz w:val="24"/>
        </w:rPr>
        <w:t> </w:t>
      </w:r>
      <w:r>
        <w:rPr>
          <w:sz w:val="24"/>
        </w:rPr>
        <w:t>BA</w:t>
      </w:r>
      <w:r>
        <w:rPr>
          <w:spacing w:val="-2"/>
          <w:sz w:val="24"/>
        </w:rPr>
        <w:t> </w:t>
      </w:r>
      <w:r>
        <w:rPr>
          <w:sz w:val="24"/>
        </w:rPr>
        <w:t>e</w:t>
      </w:r>
      <w:r>
        <w:rPr>
          <w:spacing w:val="-4"/>
          <w:sz w:val="24"/>
        </w:rPr>
        <w:t> </w:t>
      </w:r>
      <w:r>
        <w:rPr>
          <w:spacing w:val="-5"/>
          <w:sz w:val="24"/>
        </w:rPr>
        <w:t>SE;</w:t>
      </w:r>
    </w:p>
    <w:p>
      <w:pPr>
        <w:pStyle w:val="ListParagraph"/>
        <w:numPr>
          <w:ilvl w:val="1"/>
          <w:numId w:val="6"/>
        </w:numPr>
        <w:tabs>
          <w:tab w:pos="1691" w:val="left" w:leader="none"/>
        </w:tabs>
        <w:spacing w:line="240" w:lineRule="auto" w:before="149" w:after="0"/>
        <w:ind w:left="1690" w:right="0" w:hanging="361"/>
        <w:jc w:val="left"/>
        <w:rPr>
          <w:sz w:val="24"/>
        </w:rPr>
      </w:pPr>
      <w:r>
        <w:rPr>
          <w:sz w:val="24"/>
        </w:rPr>
        <w:t>Assistência</w:t>
      </w:r>
      <w:r>
        <w:rPr>
          <w:spacing w:val="-2"/>
          <w:sz w:val="24"/>
        </w:rPr>
        <w:t> </w:t>
      </w:r>
      <w:r>
        <w:rPr>
          <w:sz w:val="24"/>
        </w:rPr>
        <w:t>Técnica:</w:t>
      </w:r>
      <w:r>
        <w:rPr>
          <w:spacing w:val="-1"/>
          <w:sz w:val="24"/>
        </w:rPr>
        <w:t> </w:t>
      </w:r>
      <w:r>
        <w:rPr>
          <w:sz w:val="24"/>
        </w:rPr>
        <w:t>AM,</w:t>
      </w:r>
      <w:r>
        <w:rPr>
          <w:spacing w:val="-5"/>
          <w:sz w:val="24"/>
        </w:rPr>
        <w:t> </w:t>
      </w:r>
      <w:r>
        <w:rPr>
          <w:sz w:val="24"/>
        </w:rPr>
        <w:t>PA,</w:t>
      </w:r>
      <w:r>
        <w:rPr>
          <w:spacing w:val="1"/>
          <w:sz w:val="24"/>
        </w:rPr>
        <w:t> </w:t>
      </w:r>
      <w:r>
        <w:rPr>
          <w:sz w:val="24"/>
        </w:rPr>
        <w:t>PB,</w:t>
      </w:r>
      <w:r>
        <w:rPr>
          <w:spacing w:val="-3"/>
          <w:sz w:val="24"/>
        </w:rPr>
        <w:t> </w:t>
      </w:r>
      <w:r>
        <w:rPr>
          <w:sz w:val="24"/>
        </w:rPr>
        <w:t>PI,</w:t>
      </w:r>
      <w:r>
        <w:rPr>
          <w:spacing w:val="1"/>
          <w:sz w:val="24"/>
        </w:rPr>
        <w:t> </w:t>
      </w:r>
      <w:r>
        <w:rPr>
          <w:sz w:val="24"/>
        </w:rPr>
        <w:t>SE,</w:t>
      </w:r>
      <w:r>
        <w:rPr>
          <w:spacing w:val="-3"/>
          <w:sz w:val="24"/>
        </w:rPr>
        <w:t> </w:t>
      </w:r>
      <w:r>
        <w:rPr>
          <w:sz w:val="24"/>
        </w:rPr>
        <w:t>ES,</w:t>
      </w:r>
      <w:r>
        <w:rPr>
          <w:spacing w:val="-2"/>
          <w:sz w:val="24"/>
        </w:rPr>
        <w:t> </w:t>
      </w:r>
      <w:r>
        <w:rPr>
          <w:sz w:val="24"/>
        </w:rPr>
        <w:t>PR e</w:t>
      </w:r>
      <w:r>
        <w:rPr>
          <w:spacing w:val="-1"/>
          <w:sz w:val="24"/>
        </w:rPr>
        <w:t> </w:t>
      </w:r>
      <w:r>
        <w:rPr>
          <w:spacing w:val="-5"/>
          <w:sz w:val="24"/>
        </w:rPr>
        <w:t>MS;</w:t>
      </w:r>
    </w:p>
    <w:p>
      <w:pPr>
        <w:pStyle w:val="ListParagraph"/>
        <w:numPr>
          <w:ilvl w:val="1"/>
          <w:numId w:val="6"/>
        </w:numPr>
        <w:tabs>
          <w:tab w:pos="1691" w:val="left" w:leader="none"/>
        </w:tabs>
        <w:spacing w:line="240" w:lineRule="auto" w:before="146" w:after="0"/>
        <w:ind w:left="1690" w:right="0" w:hanging="361"/>
        <w:jc w:val="left"/>
        <w:rPr>
          <w:sz w:val="24"/>
        </w:rPr>
      </w:pPr>
      <w:r>
        <w:rPr>
          <w:sz w:val="24"/>
        </w:rPr>
        <w:t>Reserva</w:t>
      </w:r>
      <w:r>
        <w:rPr>
          <w:spacing w:val="-1"/>
          <w:sz w:val="24"/>
        </w:rPr>
        <w:t> </w:t>
      </w:r>
      <w:r>
        <w:rPr>
          <w:sz w:val="24"/>
        </w:rPr>
        <w:t>de</w:t>
      </w:r>
      <w:r>
        <w:rPr>
          <w:spacing w:val="-3"/>
          <w:sz w:val="24"/>
        </w:rPr>
        <w:t> </w:t>
      </w:r>
      <w:r>
        <w:rPr>
          <w:sz w:val="24"/>
        </w:rPr>
        <w:t>Contingência:</w:t>
      </w:r>
      <w:r>
        <w:rPr>
          <w:spacing w:val="3"/>
          <w:sz w:val="24"/>
        </w:rPr>
        <w:t> </w:t>
      </w:r>
      <w:r>
        <w:rPr>
          <w:sz w:val="24"/>
        </w:rPr>
        <w:t>PA,</w:t>
      </w:r>
      <w:r>
        <w:rPr>
          <w:spacing w:val="-3"/>
          <w:sz w:val="24"/>
        </w:rPr>
        <w:t> </w:t>
      </w:r>
      <w:r>
        <w:rPr>
          <w:sz w:val="24"/>
        </w:rPr>
        <w:t>PR,</w:t>
      </w:r>
      <w:r>
        <w:rPr>
          <w:spacing w:val="-1"/>
          <w:sz w:val="24"/>
        </w:rPr>
        <w:t> </w:t>
      </w:r>
      <w:r>
        <w:rPr>
          <w:sz w:val="24"/>
        </w:rPr>
        <w:t>GO,</w:t>
      </w:r>
      <w:r>
        <w:rPr>
          <w:spacing w:val="-3"/>
          <w:sz w:val="24"/>
        </w:rPr>
        <w:t> </w:t>
      </w:r>
      <w:r>
        <w:rPr>
          <w:sz w:val="24"/>
        </w:rPr>
        <w:t>MT</w:t>
      </w:r>
      <w:r>
        <w:rPr>
          <w:spacing w:val="-2"/>
          <w:sz w:val="24"/>
        </w:rPr>
        <w:t> </w:t>
      </w:r>
      <w:r>
        <w:rPr>
          <w:sz w:val="24"/>
        </w:rPr>
        <w:t>e</w:t>
      </w:r>
      <w:r>
        <w:rPr>
          <w:spacing w:val="1"/>
          <w:sz w:val="24"/>
        </w:rPr>
        <w:t> </w:t>
      </w:r>
      <w:r>
        <w:rPr>
          <w:spacing w:val="-5"/>
          <w:sz w:val="24"/>
        </w:rPr>
        <w:t>BR;</w:t>
      </w:r>
    </w:p>
    <w:p>
      <w:pPr>
        <w:pStyle w:val="ListParagraph"/>
        <w:numPr>
          <w:ilvl w:val="1"/>
          <w:numId w:val="6"/>
        </w:numPr>
        <w:tabs>
          <w:tab w:pos="1691" w:val="left" w:leader="none"/>
        </w:tabs>
        <w:spacing w:line="240" w:lineRule="auto" w:before="147" w:after="0"/>
        <w:ind w:left="1690" w:right="0" w:hanging="361"/>
        <w:jc w:val="left"/>
        <w:rPr>
          <w:sz w:val="24"/>
        </w:rPr>
      </w:pPr>
      <w:r>
        <w:rPr>
          <w:sz w:val="24"/>
        </w:rPr>
        <w:t>Despesas</w:t>
      </w:r>
      <w:r>
        <w:rPr>
          <w:spacing w:val="-3"/>
          <w:sz w:val="24"/>
        </w:rPr>
        <w:t> </w:t>
      </w:r>
      <w:r>
        <w:rPr>
          <w:sz w:val="24"/>
        </w:rPr>
        <w:t>com Pessoal:</w:t>
      </w:r>
      <w:r>
        <w:rPr>
          <w:spacing w:val="1"/>
          <w:sz w:val="24"/>
        </w:rPr>
        <w:t> </w:t>
      </w:r>
      <w:r>
        <w:rPr>
          <w:sz w:val="22"/>
        </w:rPr>
        <w:t>AM,</w:t>
      </w:r>
      <w:r>
        <w:rPr>
          <w:spacing w:val="-1"/>
          <w:sz w:val="22"/>
        </w:rPr>
        <w:t> </w:t>
      </w:r>
      <w:r>
        <w:rPr>
          <w:sz w:val="22"/>
        </w:rPr>
        <w:t>TO,</w:t>
      </w:r>
      <w:r>
        <w:rPr>
          <w:spacing w:val="-2"/>
          <w:sz w:val="22"/>
        </w:rPr>
        <w:t> </w:t>
      </w:r>
      <w:r>
        <w:rPr>
          <w:sz w:val="22"/>
        </w:rPr>
        <w:t>MA,</w:t>
      </w:r>
      <w:r>
        <w:rPr>
          <w:spacing w:val="-4"/>
          <w:sz w:val="22"/>
        </w:rPr>
        <w:t> </w:t>
      </w:r>
      <w:r>
        <w:rPr>
          <w:sz w:val="22"/>
        </w:rPr>
        <w:t>PB,</w:t>
      </w:r>
      <w:r>
        <w:rPr>
          <w:spacing w:val="-2"/>
          <w:sz w:val="22"/>
        </w:rPr>
        <w:t> </w:t>
      </w:r>
      <w:r>
        <w:rPr>
          <w:sz w:val="22"/>
        </w:rPr>
        <w:t>PI,</w:t>
      </w:r>
      <w:r>
        <w:rPr>
          <w:spacing w:val="-1"/>
          <w:sz w:val="22"/>
        </w:rPr>
        <w:t> </w:t>
      </w:r>
      <w:r>
        <w:rPr>
          <w:sz w:val="24"/>
        </w:rPr>
        <w:t>RN,</w:t>
      </w:r>
      <w:r>
        <w:rPr>
          <w:spacing w:val="-3"/>
          <w:sz w:val="24"/>
        </w:rPr>
        <w:t> </w:t>
      </w:r>
      <w:r>
        <w:rPr>
          <w:sz w:val="24"/>
        </w:rPr>
        <w:t>SE,</w:t>
      </w:r>
      <w:r>
        <w:rPr>
          <w:spacing w:val="-3"/>
          <w:sz w:val="24"/>
        </w:rPr>
        <w:t> </w:t>
      </w:r>
      <w:r>
        <w:rPr>
          <w:sz w:val="24"/>
        </w:rPr>
        <w:t>ES, RJ,</w:t>
      </w:r>
      <w:r>
        <w:rPr>
          <w:spacing w:val="-1"/>
          <w:sz w:val="24"/>
        </w:rPr>
        <w:t> </w:t>
      </w:r>
      <w:r>
        <w:rPr>
          <w:sz w:val="24"/>
        </w:rPr>
        <w:t>RS,</w:t>
      </w:r>
      <w:r>
        <w:rPr>
          <w:spacing w:val="-1"/>
          <w:sz w:val="24"/>
        </w:rPr>
        <w:t> </w:t>
      </w:r>
      <w:r>
        <w:rPr>
          <w:sz w:val="24"/>
        </w:rPr>
        <w:t>SC</w:t>
      </w:r>
      <w:r>
        <w:rPr>
          <w:spacing w:val="-2"/>
          <w:sz w:val="24"/>
        </w:rPr>
        <w:t> </w:t>
      </w:r>
      <w:r>
        <w:rPr>
          <w:sz w:val="24"/>
        </w:rPr>
        <w:t>e</w:t>
      </w:r>
      <w:r>
        <w:rPr>
          <w:spacing w:val="-1"/>
          <w:sz w:val="24"/>
        </w:rPr>
        <w:t> </w:t>
      </w:r>
      <w:r>
        <w:rPr>
          <w:spacing w:val="-5"/>
          <w:sz w:val="24"/>
        </w:rPr>
        <w:t>DF;</w:t>
      </w:r>
    </w:p>
    <w:p>
      <w:pPr>
        <w:pStyle w:val="ListParagraph"/>
        <w:numPr>
          <w:ilvl w:val="1"/>
          <w:numId w:val="6"/>
        </w:numPr>
        <w:tabs>
          <w:tab w:pos="1691" w:val="left" w:leader="none"/>
        </w:tabs>
        <w:spacing w:line="360" w:lineRule="auto" w:before="146" w:after="0"/>
        <w:ind w:left="1690" w:right="147" w:hanging="360"/>
        <w:jc w:val="left"/>
        <w:rPr>
          <w:sz w:val="24"/>
        </w:rPr>
      </w:pPr>
      <w:r>
        <w:rPr>
          <w:sz w:val="24"/>
        </w:rPr>
        <w:t>Capacitação:</w:t>
      </w:r>
      <w:r>
        <w:rPr>
          <w:spacing w:val="-4"/>
          <w:sz w:val="24"/>
        </w:rPr>
        <w:t> </w:t>
      </w:r>
      <w:r>
        <w:rPr>
          <w:sz w:val="24"/>
        </w:rPr>
        <w:t>AC,</w:t>
      </w:r>
      <w:r>
        <w:rPr>
          <w:spacing w:val="-2"/>
          <w:sz w:val="24"/>
        </w:rPr>
        <w:t> </w:t>
      </w:r>
      <w:r>
        <w:rPr>
          <w:sz w:val="24"/>
        </w:rPr>
        <w:t>AM,</w:t>
      </w:r>
      <w:r>
        <w:rPr>
          <w:spacing w:val="-2"/>
          <w:sz w:val="24"/>
        </w:rPr>
        <w:t> </w:t>
      </w:r>
      <w:r>
        <w:rPr>
          <w:sz w:val="24"/>
        </w:rPr>
        <w:t>PA,</w:t>
      </w:r>
      <w:r>
        <w:rPr>
          <w:spacing w:val="-3"/>
          <w:sz w:val="24"/>
        </w:rPr>
        <w:t> </w:t>
      </w:r>
      <w:r>
        <w:rPr>
          <w:sz w:val="24"/>
        </w:rPr>
        <w:t>RO,</w:t>
      </w:r>
      <w:r>
        <w:rPr>
          <w:spacing w:val="-2"/>
          <w:sz w:val="24"/>
        </w:rPr>
        <w:t> </w:t>
      </w:r>
      <w:r>
        <w:rPr>
          <w:sz w:val="24"/>
        </w:rPr>
        <w:t>TO,</w:t>
      </w:r>
      <w:r>
        <w:rPr>
          <w:spacing w:val="-2"/>
          <w:sz w:val="24"/>
        </w:rPr>
        <w:t> </w:t>
      </w:r>
      <w:r>
        <w:rPr>
          <w:sz w:val="24"/>
        </w:rPr>
        <w:t>BA, MA,</w:t>
      </w:r>
      <w:r>
        <w:rPr>
          <w:spacing w:val="-1"/>
          <w:sz w:val="24"/>
        </w:rPr>
        <w:t> </w:t>
      </w:r>
      <w:r>
        <w:rPr>
          <w:sz w:val="24"/>
        </w:rPr>
        <w:t>PB,</w:t>
      </w:r>
      <w:r>
        <w:rPr>
          <w:spacing w:val="-4"/>
          <w:sz w:val="24"/>
        </w:rPr>
        <w:t> </w:t>
      </w:r>
      <w:r>
        <w:rPr>
          <w:sz w:val="24"/>
        </w:rPr>
        <w:t>PE,</w:t>
      </w:r>
      <w:r>
        <w:rPr>
          <w:spacing w:val="-4"/>
          <w:sz w:val="24"/>
        </w:rPr>
        <w:t> </w:t>
      </w:r>
      <w:r>
        <w:rPr>
          <w:sz w:val="24"/>
        </w:rPr>
        <w:t>PI,</w:t>
      </w:r>
      <w:r>
        <w:rPr>
          <w:spacing w:val="-1"/>
          <w:sz w:val="24"/>
        </w:rPr>
        <w:t> </w:t>
      </w:r>
      <w:r>
        <w:rPr>
          <w:sz w:val="24"/>
        </w:rPr>
        <w:t>RN,</w:t>
      </w:r>
      <w:r>
        <w:rPr>
          <w:spacing w:val="-2"/>
          <w:sz w:val="24"/>
        </w:rPr>
        <w:t> </w:t>
      </w:r>
      <w:r>
        <w:rPr>
          <w:sz w:val="24"/>
        </w:rPr>
        <w:t>SE,</w:t>
      </w:r>
      <w:r>
        <w:rPr>
          <w:spacing w:val="-1"/>
          <w:sz w:val="24"/>
        </w:rPr>
        <w:t> </w:t>
      </w:r>
      <w:r>
        <w:rPr>
          <w:sz w:val="24"/>
        </w:rPr>
        <w:t>ES,</w:t>
      </w:r>
      <w:r>
        <w:rPr>
          <w:spacing w:val="-2"/>
          <w:sz w:val="24"/>
        </w:rPr>
        <w:t> </w:t>
      </w:r>
      <w:r>
        <w:rPr>
          <w:sz w:val="24"/>
        </w:rPr>
        <w:t>MG,</w:t>
      </w:r>
      <w:r>
        <w:rPr>
          <w:spacing w:val="-2"/>
          <w:sz w:val="24"/>
        </w:rPr>
        <w:t> </w:t>
      </w:r>
      <w:r>
        <w:rPr>
          <w:sz w:val="24"/>
        </w:rPr>
        <w:t>RJ,</w:t>
      </w:r>
      <w:r>
        <w:rPr>
          <w:spacing w:val="-4"/>
          <w:sz w:val="24"/>
        </w:rPr>
        <w:t> </w:t>
      </w:r>
      <w:r>
        <w:rPr>
          <w:sz w:val="24"/>
        </w:rPr>
        <w:t>SP,</w:t>
      </w:r>
      <w:r>
        <w:rPr>
          <w:spacing w:val="-2"/>
          <w:sz w:val="24"/>
        </w:rPr>
        <w:t> </w:t>
      </w:r>
      <w:r>
        <w:rPr>
          <w:sz w:val="24"/>
        </w:rPr>
        <w:t>PR,</w:t>
      </w:r>
      <w:r>
        <w:rPr>
          <w:spacing w:val="-2"/>
          <w:sz w:val="24"/>
        </w:rPr>
        <w:t> </w:t>
      </w:r>
      <w:r>
        <w:rPr>
          <w:sz w:val="24"/>
        </w:rPr>
        <w:t>RS, SC, GO, MS e BR.</w:t>
      </w:r>
    </w:p>
    <w:p>
      <w:pPr>
        <w:pStyle w:val="BodyText"/>
        <w:spacing w:line="360" w:lineRule="auto" w:before="160"/>
        <w:ind w:left="118" w:right="146" w:firstLine="851"/>
        <w:jc w:val="both"/>
      </w:pPr>
      <w:r>
        <w:rPr/>
        <w:t>A composição da destinação estratégica de recursos, observando as quantidades de iniciativas</w:t>
      </w:r>
      <w:r>
        <w:rPr>
          <w:spacing w:val="-14"/>
        </w:rPr>
        <w:t> </w:t>
      </w:r>
      <w:r>
        <w:rPr/>
        <w:t>a</w:t>
      </w:r>
      <w:r>
        <w:rPr>
          <w:spacing w:val="-14"/>
        </w:rPr>
        <w:t> </w:t>
      </w:r>
      <w:r>
        <w:rPr/>
        <w:t>serem</w:t>
      </w:r>
      <w:r>
        <w:rPr>
          <w:spacing w:val="-13"/>
        </w:rPr>
        <w:t> </w:t>
      </w:r>
      <w:r>
        <w:rPr/>
        <w:t>implementadas</w:t>
      </w:r>
      <w:r>
        <w:rPr>
          <w:spacing w:val="-14"/>
        </w:rPr>
        <w:t> </w:t>
      </w:r>
      <w:r>
        <w:rPr/>
        <w:t>por</w:t>
      </w:r>
      <w:r>
        <w:rPr>
          <w:spacing w:val="-13"/>
        </w:rPr>
        <w:t> </w:t>
      </w:r>
      <w:r>
        <w:rPr/>
        <w:t>Objetivos</w:t>
      </w:r>
      <w:r>
        <w:rPr>
          <w:spacing w:val="-14"/>
        </w:rPr>
        <w:t> </w:t>
      </w:r>
      <w:r>
        <w:rPr/>
        <w:t>Estratégicos</w:t>
      </w:r>
      <w:r>
        <w:rPr>
          <w:spacing w:val="-13"/>
        </w:rPr>
        <w:t> </w:t>
      </w:r>
      <w:r>
        <w:rPr/>
        <w:t>e</w:t>
      </w:r>
      <w:r>
        <w:rPr>
          <w:spacing w:val="-14"/>
        </w:rPr>
        <w:t> </w:t>
      </w:r>
      <w:r>
        <w:rPr/>
        <w:t>valores</w:t>
      </w:r>
      <w:r>
        <w:rPr>
          <w:spacing w:val="-14"/>
        </w:rPr>
        <w:t> </w:t>
      </w:r>
      <w:r>
        <w:rPr/>
        <w:t>direcionados</w:t>
      </w:r>
      <w:r>
        <w:rPr>
          <w:spacing w:val="-13"/>
        </w:rPr>
        <w:t> </w:t>
      </w:r>
      <w:r>
        <w:rPr/>
        <w:t>à</w:t>
      </w:r>
      <w:r>
        <w:rPr>
          <w:spacing w:val="-14"/>
        </w:rPr>
        <w:t> </w:t>
      </w:r>
      <w:r>
        <w:rPr/>
        <w:t>sua</w:t>
      </w:r>
      <w:r>
        <w:rPr>
          <w:spacing w:val="-13"/>
        </w:rPr>
        <w:t> </w:t>
      </w:r>
      <w:r>
        <w:rPr/>
        <w:t>execução, no</w:t>
      </w:r>
      <w:r>
        <w:rPr>
          <w:spacing w:val="-4"/>
        </w:rPr>
        <w:t> </w:t>
      </w:r>
      <w:r>
        <w:rPr/>
        <w:t>atendimento</w:t>
      </w:r>
      <w:r>
        <w:rPr>
          <w:spacing w:val="-4"/>
        </w:rPr>
        <w:t> </w:t>
      </w:r>
      <w:r>
        <w:rPr/>
        <w:t>aos</w:t>
      </w:r>
      <w:r>
        <w:rPr>
          <w:spacing w:val="-8"/>
        </w:rPr>
        <w:t> </w:t>
      </w:r>
      <w:r>
        <w:rPr/>
        <w:t>limites</w:t>
      </w:r>
      <w:r>
        <w:rPr>
          <w:spacing w:val="-4"/>
        </w:rPr>
        <w:t> </w:t>
      </w:r>
      <w:r>
        <w:rPr/>
        <w:t>estabelecidos</w:t>
      </w:r>
      <w:r>
        <w:rPr>
          <w:spacing w:val="-7"/>
        </w:rPr>
        <w:t> </w:t>
      </w:r>
      <w:r>
        <w:rPr/>
        <w:t>nas</w:t>
      </w:r>
      <w:r>
        <w:rPr>
          <w:spacing w:val="-7"/>
        </w:rPr>
        <w:t> </w:t>
      </w:r>
      <w:r>
        <w:rPr/>
        <w:t>Diretrizes</w:t>
      </w:r>
      <w:r>
        <w:rPr>
          <w:spacing w:val="-7"/>
        </w:rPr>
        <w:t> </w:t>
      </w:r>
      <w:r>
        <w:rPr/>
        <w:t>da</w:t>
      </w:r>
      <w:r>
        <w:rPr>
          <w:spacing w:val="-7"/>
        </w:rPr>
        <w:t> </w:t>
      </w:r>
      <w:r>
        <w:rPr/>
        <w:t>Reprogramação</w:t>
      </w:r>
      <w:r>
        <w:rPr>
          <w:spacing w:val="-6"/>
        </w:rPr>
        <w:t> </w:t>
      </w:r>
      <w:r>
        <w:rPr/>
        <w:t>do</w:t>
      </w:r>
      <w:r>
        <w:rPr>
          <w:spacing w:val="-1"/>
        </w:rPr>
        <w:t> </w:t>
      </w:r>
      <w:r>
        <w:rPr/>
        <w:t>Plano</w:t>
      </w:r>
      <w:r>
        <w:rPr>
          <w:spacing w:val="-7"/>
        </w:rPr>
        <w:t> </w:t>
      </w:r>
      <w:r>
        <w:rPr/>
        <w:t>de</w:t>
      </w:r>
      <w:r>
        <w:rPr>
          <w:spacing w:val="-7"/>
        </w:rPr>
        <w:t> </w:t>
      </w:r>
      <w:r>
        <w:rPr/>
        <w:t>Ação</w:t>
      </w:r>
      <w:r>
        <w:rPr>
          <w:spacing w:val="-7"/>
        </w:rPr>
        <w:t> </w:t>
      </w:r>
      <w:r>
        <w:rPr/>
        <w:t>2020, apresenta-se no Quadro 4. O detalhamento por CAU/UF e CAU/BR consta no Anexo 7.</w:t>
      </w:r>
    </w:p>
    <w:p>
      <w:pPr>
        <w:spacing w:after="0" w:line="360" w:lineRule="auto"/>
        <w:jc w:val="both"/>
        <w:sectPr>
          <w:pgSz w:w="11910" w:h="16840"/>
          <w:pgMar w:header="689" w:footer="261" w:top="1580" w:bottom="460" w:left="1300" w:right="700"/>
        </w:sectPr>
      </w:pPr>
    </w:p>
    <w:p>
      <w:pPr>
        <w:pStyle w:val="Heading5"/>
        <w:spacing w:before="14"/>
        <w:ind w:left="2692"/>
        <w:jc w:val="left"/>
      </w:pPr>
      <w:bookmarkStart w:name="_bookmark15" w:id="16"/>
      <w:bookmarkEnd w:id="16"/>
      <w:r>
        <w:rPr>
          <w:b w:val="0"/>
        </w:rPr>
      </w:r>
      <w:r>
        <w:rPr/>
        <w:t>Quadro</w:t>
      </w:r>
      <w:r>
        <w:rPr>
          <w:spacing w:val="-7"/>
        </w:rPr>
        <w:t> </w:t>
      </w:r>
      <w:r>
        <w:rPr/>
        <w:t>4.</w:t>
      </w:r>
      <w:r>
        <w:rPr>
          <w:spacing w:val="-2"/>
        </w:rPr>
        <w:t> </w:t>
      </w:r>
      <w:r>
        <w:rPr/>
        <w:t>Aplicações</w:t>
      </w:r>
      <w:r>
        <w:rPr>
          <w:spacing w:val="-3"/>
        </w:rPr>
        <w:t> </w:t>
      </w:r>
      <w:r>
        <w:rPr/>
        <w:t>por</w:t>
      </w:r>
      <w:r>
        <w:rPr>
          <w:spacing w:val="-2"/>
        </w:rPr>
        <w:t> </w:t>
      </w:r>
      <w:r>
        <w:rPr/>
        <w:t>Objetivos</w:t>
      </w:r>
      <w:r>
        <w:rPr>
          <w:spacing w:val="-5"/>
        </w:rPr>
        <w:t> </w:t>
      </w:r>
      <w:r>
        <w:rPr/>
        <w:t>Estratégicos</w:t>
      </w:r>
      <w:r>
        <w:rPr>
          <w:spacing w:val="-5"/>
        </w:rPr>
        <w:t> </w:t>
      </w:r>
      <w:r>
        <w:rPr/>
        <w:t>dos</w:t>
      </w:r>
      <w:r>
        <w:rPr>
          <w:spacing w:val="-2"/>
        </w:rPr>
        <w:t> </w:t>
      </w:r>
      <w:r>
        <w:rPr/>
        <w:t>CAU/UF</w:t>
      </w:r>
      <w:r>
        <w:rPr>
          <w:spacing w:val="-3"/>
        </w:rPr>
        <w:t> </w:t>
      </w:r>
      <w:r>
        <w:rPr/>
        <w:t>e</w:t>
      </w:r>
      <w:r>
        <w:rPr>
          <w:spacing w:val="-3"/>
        </w:rPr>
        <w:t> </w:t>
      </w:r>
      <w:r>
        <w:rPr>
          <w:spacing w:val="-2"/>
        </w:rPr>
        <w:t>CAU/BR</w:t>
      </w:r>
    </w:p>
    <w:p>
      <w:pPr>
        <w:spacing w:before="2"/>
        <w:ind w:left="0" w:right="120"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49"/>
        <w:rPr>
          <w:sz w:val="20"/>
        </w:rPr>
      </w:pPr>
      <w:r>
        <w:rPr>
          <w:sz w:val="20"/>
        </w:rPr>
        <w:drawing>
          <wp:inline distT="0" distB="0" distL="0" distR="0">
            <wp:extent cx="6117532" cy="8215883"/>
            <wp:effectExtent l="0" t="0" r="0" b="0"/>
            <wp:docPr id="17" name="image41.jpeg"/>
            <wp:cNvGraphicFramePr>
              <a:graphicFrameLocks noChangeAspect="1"/>
            </wp:cNvGraphicFramePr>
            <a:graphic>
              <a:graphicData uri="http://schemas.openxmlformats.org/drawingml/2006/picture">
                <pic:pic>
                  <pic:nvPicPr>
                    <pic:cNvPr id="18" name="image41.jpeg"/>
                    <pic:cNvPicPr/>
                  </pic:nvPicPr>
                  <pic:blipFill>
                    <a:blip r:embed="rId48" cstate="print"/>
                    <a:stretch>
                      <a:fillRect/>
                    </a:stretch>
                  </pic:blipFill>
                  <pic:spPr>
                    <a:xfrm>
                      <a:off x="0" y="0"/>
                      <a:ext cx="6117532" cy="8215883"/>
                    </a:xfrm>
                    <a:prstGeom prst="rect">
                      <a:avLst/>
                    </a:prstGeom>
                  </pic:spPr>
                </pic:pic>
              </a:graphicData>
            </a:graphic>
          </wp:inline>
        </w:drawing>
      </w:r>
      <w:r>
        <w:rPr>
          <w:sz w:val="20"/>
        </w:rPr>
      </w:r>
    </w:p>
    <w:p>
      <w:pPr>
        <w:spacing w:after="0"/>
        <w:rPr>
          <w:sz w:val="20"/>
        </w:rPr>
        <w:sectPr>
          <w:pgSz w:w="11910" w:h="16840"/>
          <w:pgMar w:header="689" w:footer="261" w:top="1580" w:bottom="460" w:left="1300" w:right="700"/>
        </w:sectPr>
      </w:pPr>
    </w:p>
    <w:p>
      <w:pPr>
        <w:pStyle w:val="Heading3"/>
        <w:numPr>
          <w:ilvl w:val="0"/>
          <w:numId w:val="3"/>
        </w:numPr>
        <w:tabs>
          <w:tab w:pos="398" w:val="left" w:leader="none"/>
        </w:tabs>
        <w:spacing w:line="240" w:lineRule="auto" w:before="15" w:after="0"/>
        <w:ind w:left="397" w:right="0" w:hanging="280"/>
        <w:jc w:val="left"/>
      </w:pPr>
      <w:bookmarkStart w:name="_bookmark16" w:id="17"/>
      <w:bookmarkEnd w:id="17"/>
      <w:r>
        <w:rPr>
          <w:color w:val="006666"/>
        </w:rPr>
        <w:t>APLICAÇÃO</w:t>
      </w:r>
      <w:r>
        <w:rPr>
          <w:color w:val="006666"/>
          <w:spacing w:val="-7"/>
        </w:rPr>
        <w:t> </w:t>
      </w:r>
      <w:r>
        <w:rPr>
          <w:color w:val="006666"/>
        </w:rPr>
        <w:t>ORÇAMENTÁRIA</w:t>
      </w:r>
      <w:r>
        <w:rPr>
          <w:color w:val="006666"/>
          <w:spacing w:val="-4"/>
        </w:rPr>
        <w:t> </w:t>
      </w:r>
      <w:r>
        <w:rPr>
          <w:color w:val="006666"/>
        </w:rPr>
        <w:t>DE</w:t>
      </w:r>
      <w:r>
        <w:rPr>
          <w:color w:val="006666"/>
          <w:spacing w:val="-4"/>
        </w:rPr>
        <w:t> </w:t>
      </w:r>
      <w:r>
        <w:rPr>
          <w:color w:val="006666"/>
          <w:spacing w:val="-2"/>
        </w:rPr>
        <w:t>RECURSOS.</w:t>
      </w:r>
    </w:p>
    <w:p>
      <w:pPr>
        <w:pStyle w:val="BodyText"/>
        <w:rPr>
          <w:b/>
          <w:sz w:val="27"/>
        </w:rPr>
      </w:pPr>
    </w:p>
    <w:p>
      <w:pPr>
        <w:spacing w:line="360" w:lineRule="auto" w:before="0"/>
        <w:ind w:left="118" w:right="143" w:firstLine="851"/>
        <w:jc w:val="both"/>
        <w:rPr>
          <w:sz w:val="24"/>
        </w:rPr>
      </w:pPr>
      <w:r>
        <w:rPr>
          <w:sz w:val="24"/>
        </w:rPr>
        <w:t>Por elemento de despesas, das aplicações orçamentárias do CAU para a implementação das iniciativas estratégicas contempladas na Reprogramação do Plano de Ação 2020, R$ 220,62 milhões, estão</w:t>
      </w:r>
      <w:r>
        <w:rPr>
          <w:spacing w:val="-1"/>
          <w:sz w:val="24"/>
        </w:rPr>
        <w:t> </w:t>
      </w:r>
      <w:r>
        <w:rPr>
          <w:sz w:val="24"/>
        </w:rPr>
        <w:t>destinados aos </w:t>
      </w:r>
      <w:r>
        <w:rPr>
          <w:b/>
          <w:sz w:val="24"/>
        </w:rPr>
        <w:t>gastos com pessoal </w:t>
      </w:r>
      <w:r>
        <w:rPr>
          <w:sz w:val="24"/>
        </w:rPr>
        <w:t>(salários, encargos e</w:t>
      </w:r>
      <w:r>
        <w:rPr>
          <w:spacing w:val="-1"/>
          <w:sz w:val="24"/>
        </w:rPr>
        <w:t> </w:t>
      </w:r>
      <w:r>
        <w:rPr>
          <w:sz w:val="24"/>
        </w:rPr>
        <w:t>benefícios) e </w:t>
      </w:r>
      <w:r>
        <w:rPr>
          <w:b/>
          <w:sz w:val="24"/>
        </w:rPr>
        <w:t>diárias 44,2% e 0,5%, respectivamente, ou R$ 97,49 milhões e R$ 1,18 milhão</w:t>
      </w:r>
      <w:r>
        <w:rPr>
          <w:sz w:val="24"/>
        </w:rPr>
        <w:t>, seguido de </w:t>
      </w:r>
      <w:r>
        <w:rPr>
          <w:b/>
          <w:sz w:val="24"/>
        </w:rPr>
        <w:t>serviços de terceiros com 24,2%, ou R$ 53,46 milhões</w:t>
      </w:r>
      <w:r>
        <w:rPr>
          <w:sz w:val="24"/>
        </w:rPr>
        <w:t>. Para as despesas com </w:t>
      </w:r>
      <w:r>
        <w:rPr>
          <w:b/>
          <w:sz w:val="24"/>
        </w:rPr>
        <w:t>Imobilizado </w:t>
      </w:r>
      <w:r>
        <w:rPr>
          <w:sz w:val="24"/>
        </w:rPr>
        <w:t>estão direcionados </w:t>
      </w:r>
      <w:r>
        <w:rPr>
          <w:b/>
          <w:sz w:val="24"/>
        </w:rPr>
        <w:t>R$ 42,51 milhões representando 19,3% do total</w:t>
      </w:r>
      <w:r>
        <w:rPr>
          <w:sz w:val="24"/>
        </w:rPr>
        <w:t>. As aplicações em </w:t>
      </w:r>
      <w:r>
        <w:rPr>
          <w:b/>
          <w:sz w:val="24"/>
        </w:rPr>
        <w:t>Encargos Diversos </w:t>
      </w:r>
      <w:r>
        <w:rPr>
          <w:sz w:val="24"/>
        </w:rPr>
        <w:t>(R$ 4,15 milhões) e </w:t>
      </w:r>
      <w:r>
        <w:rPr>
          <w:b/>
          <w:sz w:val="24"/>
        </w:rPr>
        <w:t>Material de Consumo </w:t>
      </w:r>
      <w:r>
        <w:rPr>
          <w:sz w:val="24"/>
        </w:rPr>
        <w:t>(R$ 1,04 milhão) </w:t>
      </w:r>
      <w:r>
        <w:rPr>
          <w:b/>
          <w:sz w:val="24"/>
        </w:rPr>
        <w:t>respondem por 1,9% e 0,5%, respectivamente</w:t>
      </w:r>
      <w:r>
        <w:rPr>
          <w:sz w:val="24"/>
        </w:rPr>
        <w:t>, conforme demonstrado no Quadro 5 e detalhado, por CAU/UF e CAU/BR, no Anexo 5. Os </w:t>
      </w:r>
      <w:r>
        <w:rPr>
          <w:b/>
          <w:sz w:val="24"/>
        </w:rPr>
        <w:t>aportes ao Fundo de</w:t>
      </w:r>
      <w:r>
        <w:rPr>
          <w:b/>
          <w:spacing w:val="-1"/>
          <w:sz w:val="24"/>
        </w:rPr>
        <w:t> </w:t>
      </w:r>
      <w:r>
        <w:rPr>
          <w:b/>
          <w:sz w:val="24"/>
        </w:rPr>
        <w:t>Apoio</w:t>
      </w:r>
      <w:r>
        <w:rPr>
          <w:b/>
          <w:spacing w:val="-1"/>
          <w:sz w:val="24"/>
        </w:rPr>
        <w:t> </w:t>
      </w:r>
      <w:r>
        <w:rPr>
          <w:sz w:val="24"/>
        </w:rPr>
        <w:t>totalizam </w:t>
      </w:r>
      <w:r>
        <w:rPr>
          <w:b/>
          <w:sz w:val="24"/>
        </w:rPr>
        <w:t>R$</w:t>
      </w:r>
      <w:r>
        <w:rPr>
          <w:b/>
          <w:spacing w:val="-2"/>
          <w:sz w:val="24"/>
        </w:rPr>
        <w:t> </w:t>
      </w:r>
      <w:r>
        <w:rPr>
          <w:b/>
          <w:sz w:val="24"/>
        </w:rPr>
        <w:t>3,02 milhões,</w:t>
      </w:r>
      <w:r>
        <w:rPr>
          <w:b/>
          <w:spacing w:val="-2"/>
          <w:sz w:val="24"/>
        </w:rPr>
        <w:t> </w:t>
      </w:r>
      <w:r>
        <w:rPr>
          <w:b/>
          <w:sz w:val="24"/>
        </w:rPr>
        <w:t>ou</w:t>
      </w:r>
      <w:r>
        <w:rPr>
          <w:b/>
          <w:spacing w:val="-2"/>
          <w:sz w:val="24"/>
        </w:rPr>
        <w:t> </w:t>
      </w:r>
      <w:r>
        <w:rPr>
          <w:b/>
          <w:sz w:val="24"/>
        </w:rPr>
        <w:t>1,4%; </w:t>
      </w:r>
      <w:r>
        <w:rPr>
          <w:sz w:val="24"/>
        </w:rPr>
        <w:t>e</w:t>
      </w:r>
      <w:r>
        <w:rPr>
          <w:spacing w:val="-2"/>
          <w:sz w:val="24"/>
        </w:rPr>
        <w:t> </w:t>
      </w:r>
      <w:r>
        <w:rPr>
          <w:sz w:val="24"/>
        </w:rPr>
        <w:t>ao </w:t>
      </w:r>
      <w:r>
        <w:rPr>
          <w:b/>
          <w:sz w:val="24"/>
        </w:rPr>
        <w:t>Centro de</w:t>
      </w:r>
      <w:r>
        <w:rPr>
          <w:b/>
          <w:spacing w:val="-1"/>
          <w:sz w:val="24"/>
        </w:rPr>
        <w:t> </w:t>
      </w:r>
      <w:r>
        <w:rPr>
          <w:b/>
          <w:sz w:val="24"/>
        </w:rPr>
        <w:t>Serviço Compartilhado</w:t>
      </w:r>
      <w:r>
        <w:rPr>
          <w:b/>
          <w:spacing w:val="-2"/>
          <w:sz w:val="24"/>
        </w:rPr>
        <w:t> </w:t>
      </w:r>
      <w:r>
        <w:rPr>
          <w:b/>
          <w:sz w:val="24"/>
        </w:rPr>
        <w:t>CSC </w:t>
      </w:r>
      <w:r>
        <w:rPr>
          <w:sz w:val="24"/>
        </w:rPr>
        <w:t>montam em </w:t>
      </w:r>
      <w:r>
        <w:rPr>
          <w:b/>
          <w:sz w:val="24"/>
        </w:rPr>
        <w:t>R$ 3,85 milhões, ou 1,7%; </w:t>
      </w:r>
      <w:r>
        <w:rPr>
          <w:sz w:val="24"/>
        </w:rPr>
        <w:t>e a </w:t>
      </w:r>
      <w:r>
        <w:rPr>
          <w:b/>
          <w:sz w:val="24"/>
        </w:rPr>
        <w:t>Reserva de Contingência R$ 1,99 milhão, ou 0,9% </w:t>
      </w:r>
      <w:r>
        <w:rPr>
          <w:sz w:val="24"/>
        </w:rPr>
        <w:t>do total das aplicações, conforme demonstrado no </w:t>
      </w:r>
      <w:r>
        <w:rPr>
          <w:b/>
          <w:sz w:val="24"/>
        </w:rPr>
        <w:t>Quadro 5 </w:t>
      </w:r>
      <w:r>
        <w:rPr>
          <w:sz w:val="24"/>
        </w:rPr>
        <w:t>e detalhado no Anexo 4.</w:t>
      </w:r>
    </w:p>
    <w:p>
      <w:pPr>
        <w:pStyle w:val="BodyText"/>
        <w:spacing w:line="360" w:lineRule="auto" w:before="161"/>
        <w:ind w:left="118" w:right="142" w:firstLine="851"/>
        <w:jc w:val="both"/>
      </w:pPr>
      <w:r>
        <w:rPr/>
        <w:t>Ressalta-se</w:t>
      </w:r>
      <w:r>
        <w:rPr>
          <w:spacing w:val="-14"/>
        </w:rPr>
        <w:t> </w:t>
      </w:r>
      <w:r>
        <w:rPr/>
        <w:t>que</w:t>
      </w:r>
      <w:r>
        <w:rPr>
          <w:spacing w:val="-14"/>
        </w:rPr>
        <w:t> </w:t>
      </w:r>
      <w:r>
        <w:rPr/>
        <w:t>no</w:t>
      </w:r>
      <w:r>
        <w:rPr>
          <w:spacing w:val="-13"/>
        </w:rPr>
        <w:t> </w:t>
      </w:r>
      <w:r>
        <w:rPr/>
        <w:t>CAU</w:t>
      </w:r>
      <w:r>
        <w:rPr>
          <w:spacing w:val="-14"/>
        </w:rPr>
        <w:t> </w:t>
      </w:r>
      <w:r>
        <w:rPr/>
        <w:t>BR,</w:t>
      </w:r>
      <w:r>
        <w:rPr>
          <w:spacing w:val="-13"/>
        </w:rPr>
        <w:t> </w:t>
      </w:r>
      <w:r>
        <w:rPr/>
        <w:t>o</w:t>
      </w:r>
      <w:r>
        <w:rPr>
          <w:spacing w:val="-14"/>
        </w:rPr>
        <w:t> </w:t>
      </w:r>
      <w:r>
        <w:rPr/>
        <w:t>Centro</w:t>
      </w:r>
      <w:r>
        <w:rPr>
          <w:spacing w:val="-13"/>
        </w:rPr>
        <w:t> </w:t>
      </w:r>
      <w:r>
        <w:rPr/>
        <w:t>de</w:t>
      </w:r>
      <w:r>
        <w:rPr>
          <w:spacing w:val="-14"/>
        </w:rPr>
        <w:t> </w:t>
      </w:r>
      <w:r>
        <w:rPr/>
        <w:t>Serviço</w:t>
      </w:r>
      <w:r>
        <w:rPr>
          <w:spacing w:val="-14"/>
        </w:rPr>
        <w:t> </w:t>
      </w:r>
      <w:r>
        <w:rPr/>
        <w:t>Compartilhado,</w:t>
      </w:r>
      <w:r>
        <w:rPr>
          <w:spacing w:val="-13"/>
        </w:rPr>
        <w:t> </w:t>
      </w:r>
      <w:r>
        <w:rPr/>
        <w:t>está</w:t>
      </w:r>
      <w:r>
        <w:rPr>
          <w:spacing w:val="-14"/>
        </w:rPr>
        <w:t> </w:t>
      </w:r>
      <w:r>
        <w:rPr/>
        <w:t>distribuído</w:t>
      </w:r>
      <w:r>
        <w:rPr>
          <w:spacing w:val="-13"/>
        </w:rPr>
        <w:t> </w:t>
      </w:r>
      <w:r>
        <w:rPr/>
        <w:t>da</w:t>
      </w:r>
      <w:r>
        <w:rPr>
          <w:spacing w:val="-14"/>
        </w:rPr>
        <w:t> </w:t>
      </w:r>
      <w:r>
        <w:rPr/>
        <w:t>seguinte forma: R$ 5.237.788,72 (Salários e Encargos); R$ 2.430,00 (Diárias); R$ 5.630,52 (Passagens); R$ 6.501.402,45</w:t>
      </w:r>
      <w:r>
        <w:rPr>
          <w:spacing w:val="-9"/>
        </w:rPr>
        <w:t> </w:t>
      </w:r>
      <w:r>
        <w:rPr/>
        <w:t>(Serviços</w:t>
      </w:r>
      <w:r>
        <w:rPr>
          <w:spacing w:val="-7"/>
        </w:rPr>
        <w:t> </w:t>
      </w:r>
      <w:r>
        <w:rPr/>
        <w:t>Prestados);</w:t>
      </w:r>
      <w:r>
        <w:rPr>
          <w:spacing w:val="-9"/>
        </w:rPr>
        <w:t> </w:t>
      </w:r>
      <w:r>
        <w:rPr/>
        <w:t>R$</w:t>
      </w:r>
      <w:r>
        <w:rPr>
          <w:spacing w:val="-10"/>
        </w:rPr>
        <w:t> </w:t>
      </w:r>
      <w:r>
        <w:rPr/>
        <w:t>120.533,56</w:t>
      </w:r>
      <w:r>
        <w:rPr>
          <w:spacing w:val="-11"/>
        </w:rPr>
        <w:t> </w:t>
      </w:r>
      <w:r>
        <w:rPr/>
        <w:t>(Tranferências</w:t>
      </w:r>
      <w:r>
        <w:rPr>
          <w:spacing w:val="-7"/>
        </w:rPr>
        <w:t> </w:t>
      </w:r>
      <w:r>
        <w:rPr/>
        <w:t>Correntes);</w:t>
      </w:r>
      <w:r>
        <w:rPr>
          <w:spacing w:val="40"/>
        </w:rPr>
        <w:t> </w:t>
      </w:r>
      <w:r>
        <w:rPr/>
        <w:t>R$</w:t>
      </w:r>
      <w:r>
        <w:rPr>
          <w:spacing w:val="-10"/>
        </w:rPr>
        <w:t> </w:t>
      </w:r>
      <w:r>
        <w:rPr/>
        <w:t>1.500,00</w:t>
      </w:r>
      <w:r>
        <w:rPr>
          <w:spacing w:val="-6"/>
        </w:rPr>
        <w:t> </w:t>
      </w:r>
      <w:r>
        <w:rPr/>
        <w:t>(Encargos Diversos); R$ 2.665.945,00 Imobilizado., totalizando R$ 14.535.230,26. Desse valor, o CAU/BR aporta ao CSC R$ 1.568.138,99 e</w:t>
      </w:r>
      <w:r>
        <w:rPr>
          <w:spacing w:val="40"/>
        </w:rPr>
        <w:t> </w:t>
      </w:r>
      <w:r>
        <w:rPr/>
        <w:t>R$ 1.388.976,00 foi assumido pelo CAU/BR, referente à redução de 80% (oitenta por cento) nos aportes dos CAU/UF ao Centro de Serviços Compartilhados, das parcelas</w:t>
      </w:r>
      <w:r>
        <w:rPr>
          <w:spacing w:val="-6"/>
        </w:rPr>
        <w:t> </w:t>
      </w:r>
      <w:r>
        <w:rPr/>
        <w:t>previstas</w:t>
      </w:r>
      <w:r>
        <w:rPr>
          <w:spacing w:val="-6"/>
        </w:rPr>
        <w:t> </w:t>
      </w:r>
      <w:r>
        <w:rPr/>
        <w:t>para</w:t>
      </w:r>
      <w:r>
        <w:rPr>
          <w:spacing w:val="-6"/>
        </w:rPr>
        <w:t> </w:t>
      </w:r>
      <w:r>
        <w:rPr/>
        <w:t>os</w:t>
      </w:r>
      <w:r>
        <w:rPr>
          <w:spacing w:val="-7"/>
        </w:rPr>
        <w:t> </w:t>
      </w:r>
      <w:r>
        <w:rPr/>
        <w:t>meses</w:t>
      </w:r>
      <w:r>
        <w:rPr>
          <w:spacing w:val="-7"/>
        </w:rPr>
        <w:t> </w:t>
      </w:r>
      <w:r>
        <w:rPr/>
        <w:t>de</w:t>
      </w:r>
      <w:r>
        <w:rPr>
          <w:spacing w:val="-6"/>
        </w:rPr>
        <w:t> </w:t>
      </w:r>
      <w:r>
        <w:rPr/>
        <w:t>junho</w:t>
      </w:r>
      <w:r>
        <w:rPr>
          <w:spacing w:val="-6"/>
        </w:rPr>
        <w:t> </w:t>
      </w:r>
      <w:r>
        <w:rPr/>
        <w:t>a</w:t>
      </w:r>
      <w:r>
        <w:rPr>
          <w:spacing w:val="-9"/>
        </w:rPr>
        <w:t> </w:t>
      </w:r>
      <w:r>
        <w:rPr/>
        <w:t>dezembro</w:t>
      </w:r>
      <w:r>
        <w:rPr>
          <w:spacing w:val="-8"/>
        </w:rPr>
        <w:t> </w:t>
      </w:r>
      <w:r>
        <w:rPr/>
        <w:t>de</w:t>
      </w:r>
      <w:r>
        <w:rPr>
          <w:spacing w:val="-6"/>
        </w:rPr>
        <w:t> </w:t>
      </w:r>
      <w:r>
        <w:rPr/>
        <w:t>2020,</w:t>
      </w:r>
      <w:r>
        <w:rPr>
          <w:spacing w:val="-6"/>
        </w:rPr>
        <w:t> </w:t>
      </w:r>
      <w:r>
        <w:rPr/>
        <w:t>com</w:t>
      </w:r>
      <w:r>
        <w:rPr>
          <w:spacing w:val="-4"/>
        </w:rPr>
        <w:t> </w:t>
      </w:r>
      <w:r>
        <w:rPr/>
        <w:t>a</w:t>
      </w:r>
      <w:r>
        <w:rPr>
          <w:spacing w:val="-6"/>
        </w:rPr>
        <w:t> </w:t>
      </w:r>
      <w:r>
        <w:rPr/>
        <w:t>utilização</w:t>
      </w:r>
      <w:r>
        <w:rPr>
          <w:spacing w:val="-6"/>
        </w:rPr>
        <w:t> </w:t>
      </w:r>
      <w:r>
        <w:rPr/>
        <w:t>de</w:t>
      </w:r>
      <w:r>
        <w:rPr>
          <w:spacing w:val="-6"/>
        </w:rPr>
        <w:t> </w:t>
      </w:r>
      <w:r>
        <w:rPr/>
        <w:t>recursos</w:t>
      </w:r>
      <w:r>
        <w:rPr>
          <w:spacing w:val="-9"/>
        </w:rPr>
        <w:t> </w:t>
      </w:r>
      <w:r>
        <w:rPr/>
        <w:t>de</w:t>
      </w:r>
      <w:r>
        <w:rPr>
          <w:spacing w:val="-6"/>
        </w:rPr>
        <w:t> </w:t>
      </w:r>
      <w:r>
        <w:rPr/>
        <w:t>seu superávit financeiro contabilizado no balanço patrimonial de 31 de dezembro de 2019 (DPOBR Nº 0102-10/2020, de 19 de junho de 2020).</w:t>
      </w:r>
    </w:p>
    <w:p>
      <w:pPr>
        <w:pStyle w:val="BodyText"/>
        <w:spacing w:line="360" w:lineRule="auto" w:before="162"/>
        <w:ind w:left="118" w:right="145" w:firstLine="851"/>
        <w:jc w:val="both"/>
      </w:pPr>
      <w:r>
        <w:rPr/>
        <w:t>Os recursos a serem aplicados pelo CAU/BR são da ordem de R$ 60,31 milhões, representando 27,4% do total (R$ 220,62 milhões). Os CAU/UF respondem por R$ 160,31 milhões, ou 72,6%. O detalhamento por CAU/UF e CAU/BR consta do Anexo 4. A composição se apresenta nos Quadros 5 e 5.1.</w:t>
      </w:r>
    </w:p>
    <w:p>
      <w:pPr>
        <w:pStyle w:val="BodyText"/>
        <w:spacing w:line="360" w:lineRule="auto" w:before="160"/>
        <w:ind w:left="118" w:right="152" w:firstLine="851"/>
        <w:jc w:val="both"/>
      </w:pPr>
      <w:r>
        <w:rPr/>
        <w:t>Dos limites de utilização dos recursos de Receitas Correntes destinados a despesas com Pessoal, Encargos e Benefícios por CAU/UF e CAU/BR a composição encontra-se no Anexo 5.</w:t>
      </w:r>
    </w:p>
    <w:p>
      <w:pPr>
        <w:spacing w:after="0" w:line="360" w:lineRule="auto"/>
        <w:jc w:val="both"/>
        <w:sectPr>
          <w:pgSz w:w="11910" w:h="16840"/>
          <w:pgMar w:header="689" w:footer="261" w:top="1580" w:bottom="460" w:left="1300" w:right="700"/>
        </w:sectPr>
      </w:pPr>
    </w:p>
    <w:p>
      <w:pPr>
        <w:pStyle w:val="Heading5"/>
        <w:spacing w:before="15"/>
        <w:ind w:left="2569"/>
        <w:jc w:val="left"/>
      </w:pPr>
      <w:bookmarkStart w:name="_bookmark17" w:id="18"/>
      <w:bookmarkEnd w:id="18"/>
      <w:r>
        <w:rPr>
          <w:b w:val="0"/>
        </w:rPr>
      </w:r>
      <w:r>
        <w:rPr/>
        <w:t>Quadro</w:t>
      </w:r>
      <w:r>
        <w:rPr>
          <w:spacing w:val="-6"/>
        </w:rPr>
        <w:t> </w:t>
      </w:r>
      <w:r>
        <w:rPr/>
        <w:t>5.</w:t>
      </w:r>
      <w:r>
        <w:rPr>
          <w:spacing w:val="-3"/>
        </w:rPr>
        <w:t> </w:t>
      </w:r>
      <w:r>
        <w:rPr/>
        <w:t>Aplicações</w:t>
      </w:r>
      <w:r>
        <w:rPr>
          <w:spacing w:val="-2"/>
        </w:rPr>
        <w:t> </w:t>
      </w:r>
      <w:r>
        <w:rPr/>
        <w:t>por Elementos</w:t>
      </w:r>
      <w:r>
        <w:rPr>
          <w:spacing w:val="-4"/>
        </w:rPr>
        <w:t> </w:t>
      </w:r>
      <w:r>
        <w:rPr/>
        <w:t>de</w:t>
      </w:r>
      <w:r>
        <w:rPr>
          <w:spacing w:val="-3"/>
        </w:rPr>
        <w:t> </w:t>
      </w:r>
      <w:r>
        <w:rPr/>
        <w:t>Despesas</w:t>
      </w:r>
      <w:r>
        <w:rPr>
          <w:spacing w:val="1"/>
        </w:rPr>
        <w:t> </w:t>
      </w:r>
      <w:r>
        <w:rPr/>
        <w:t>dos</w:t>
      </w:r>
      <w:r>
        <w:rPr>
          <w:spacing w:val="-3"/>
        </w:rPr>
        <w:t> </w:t>
      </w:r>
      <w:r>
        <w:rPr/>
        <w:t>CAU/UF</w:t>
      </w:r>
      <w:r>
        <w:rPr>
          <w:spacing w:val="-2"/>
        </w:rPr>
        <w:t> </w:t>
      </w:r>
      <w:r>
        <w:rPr/>
        <w:t>e</w:t>
      </w:r>
      <w:r>
        <w:rPr>
          <w:spacing w:val="-2"/>
        </w:rPr>
        <w:t> CAU/BR</w:t>
      </w:r>
    </w:p>
    <w:p>
      <w:pPr>
        <w:spacing w:before="2"/>
        <w:ind w:left="0" w:right="149"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18"/>
        <w:rPr>
          <w:sz w:val="20"/>
        </w:rPr>
      </w:pPr>
      <w:r>
        <w:rPr>
          <w:sz w:val="20"/>
        </w:rPr>
        <w:drawing>
          <wp:inline distT="0" distB="0" distL="0" distR="0">
            <wp:extent cx="6077992" cy="5234368"/>
            <wp:effectExtent l="0" t="0" r="0" b="0"/>
            <wp:docPr id="19" name="image42.png"/>
            <wp:cNvGraphicFramePr>
              <a:graphicFrameLocks noChangeAspect="1"/>
            </wp:cNvGraphicFramePr>
            <a:graphic>
              <a:graphicData uri="http://schemas.openxmlformats.org/drawingml/2006/picture">
                <pic:pic>
                  <pic:nvPicPr>
                    <pic:cNvPr id="20" name="image42.png"/>
                    <pic:cNvPicPr/>
                  </pic:nvPicPr>
                  <pic:blipFill>
                    <a:blip r:embed="rId49" cstate="print"/>
                    <a:stretch>
                      <a:fillRect/>
                    </a:stretch>
                  </pic:blipFill>
                  <pic:spPr>
                    <a:xfrm>
                      <a:off x="0" y="0"/>
                      <a:ext cx="6077992" cy="5234368"/>
                    </a:xfrm>
                    <a:prstGeom prst="rect">
                      <a:avLst/>
                    </a:prstGeom>
                  </pic:spPr>
                </pic:pic>
              </a:graphicData>
            </a:graphic>
          </wp:inline>
        </w:drawing>
      </w:r>
      <w:r>
        <w:rPr>
          <w:sz w:val="20"/>
        </w:rPr>
      </w:r>
    </w:p>
    <w:p>
      <w:pPr>
        <w:spacing w:before="0"/>
        <w:ind w:left="118" w:right="150" w:firstLine="0"/>
        <w:jc w:val="both"/>
        <w:rPr>
          <w:sz w:val="18"/>
        </w:rPr>
      </w:pPr>
      <w:r>
        <w:rPr>
          <w:sz w:val="18"/>
        </w:rPr>
        <w:t>*Na reprogramação 2020, para os</w:t>
      </w:r>
      <w:r>
        <w:rPr>
          <w:spacing w:val="-1"/>
          <w:sz w:val="18"/>
        </w:rPr>
        <w:t> </w:t>
      </w:r>
      <w:r>
        <w:rPr>
          <w:sz w:val="18"/>
        </w:rPr>
        <w:t>aportes de Fundo de Apoio dos CAU/UF</w:t>
      </w:r>
      <w:r>
        <w:rPr>
          <w:spacing w:val="-1"/>
          <w:sz w:val="18"/>
        </w:rPr>
        <w:t> </w:t>
      </w:r>
      <w:r>
        <w:rPr>
          <w:sz w:val="18"/>
        </w:rPr>
        <w:t>foram considerados</w:t>
      </w:r>
      <w:r>
        <w:rPr>
          <w:spacing w:val="-1"/>
          <w:sz w:val="18"/>
        </w:rPr>
        <w:t> </w:t>
      </w:r>
      <w:r>
        <w:rPr>
          <w:sz w:val="18"/>
        </w:rPr>
        <w:t>apenas</w:t>
      </w:r>
      <w:r>
        <w:rPr>
          <w:spacing w:val="-1"/>
          <w:sz w:val="18"/>
        </w:rPr>
        <w:t> </w:t>
      </w:r>
      <w:r>
        <w:rPr>
          <w:sz w:val="18"/>
        </w:rPr>
        <w:t>os</w:t>
      </w:r>
      <w:r>
        <w:rPr>
          <w:spacing w:val="-1"/>
          <w:sz w:val="18"/>
        </w:rPr>
        <w:t> </w:t>
      </w:r>
      <w:r>
        <w:rPr>
          <w:sz w:val="18"/>
        </w:rPr>
        <w:t>percentuais</w:t>
      </w:r>
      <w:r>
        <w:rPr>
          <w:spacing w:val="-1"/>
          <w:sz w:val="18"/>
        </w:rPr>
        <w:t> </w:t>
      </w:r>
      <w:r>
        <w:rPr>
          <w:sz w:val="18"/>
        </w:rPr>
        <w:t>com redução de</w:t>
      </w:r>
      <w:r>
        <w:rPr>
          <w:spacing w:val="-9"/>
          <w:sz w:val="18"/>
        </w:rPr>
        <w:t> </w:t>
      </w:r>
      <w:r>
        <w:rPr>
          <w:sz w:val="18"/>
        </w:rPr>
        <w:t>80%</w:t>
      </w:r>
      <w:r>
        <w:rPr>
          <w:spacing w:val="-6"/>
          <w:sz w:val="18"/>
        </w:rPr>
        <w:t> </w:t>
      </w:r>
      <w:r>
        <w:rPr>
          <w:sz w:val="18"/>
        </w:rPr>
        <w:t>para</w:t>
      </w:r>
      <w:r>
        <w:rPr>
          <w:spacing w:val="-9"/>
          <w:sz w:val="18"/>
        </w:rPr>
        <w:t> </w:t>
      </w:r>
      <w:r>
        <w:rPr>
          <w:sz w:val="18"/>
        </w:rPr>
        <w:t>os</w:t>
      </w:r>
      <w:r>
        <w:rPr>
          <w:spacing w:val="-9"/>
          <w:sz w:val="18"/>
        </w:rPr>
        <w:t> </w:t>
      </w:r>
      <w:r>
        <w:rPr>
          <w:sz w:val="18"/>
        </w:rPr>
        <w:t>CAU/AC,</w:t>
      </w:r>
      <w:r>
        <w:rPr>
          <w:spacing w:val="-8"/>
          <w:sz w:val="18"/>
        </w:rPr>
        <w:t> </w:t>
      </w:r>
      <w:r>
        <w:rPr>
          <w:sz w:val="18"/>
        </w:rPr>
        <w:t>CAU/AM,</w:t>
      </w:r>
      <w:r>
        <w:rPr>
          <w:spacing w:val="-8"/>
          <w:sz w:val="18"/>
        </w:rPr>
        <w:t> </w:t>
      </w:r>
      <w:r>
        <w:rPr>
          <w:sz w:val="18"/>
        </w:rPr>
        <w:t>CAU/AP,</w:t>
      </w:r>
      <w:r>
        <w:rPr>
          <w:spacing w:val="-8"/>
          <w:sz w:val="18"/>
        </w:rPr>
        <w:t> </w:t>
      </w:r>
      <w:r>
        <w:rPr>
          <w:sz w:val="18"/>
        </w:rPr>
        <w:t>CAU/MA,</w:t>
      </w:r>
      <w:r>
        <w:rPr>
          <w:spacing w:val="-8"/>
          <w:sz w:val="18"/>
        </w:rPr>
        <w:t> </w:t>
      </w:r>
      <w:r>
        <w:rPr>
          <w:sz w:val="18"/>
        </w:rPr>
        <w:t>CAU/PI,</w:t>
      </w:r>
      <w:r>
        <w:rPr>
          <w:spacing w:val="-8"/>
          <w:sz w:val="18"/>
        </w:rPr>
        <w:t> </w:t>
      </w:r>
      <w:r>
        <w:rPr>
          <w:sz w:val="18"/>
        </w:rPr>
        <w:t>CAU/RO,</w:t>
      </w:r>
      <w:r>
        <w:rPr>
          <w:spacing w:val="-8"/>
          <w:sz w:val="18"/>
        </w:rPr>
        <w:t> </w:t>
      </w:r>
      <w:r>
        <w:rPr>
          <w:sz w:val="18"/>
        </w:rPr>
        <w:t>CAU/RR,</w:t>
      </w:r>
      <w:r>
        <w:rPr>
          <w:spacing w:val="-8"/>
          <w:sz w:val="18"/>
        </w:rPr>
        <w:t> </w:t>
      </w:r>
      <w:r>
        <w:rPr>
          <w:sz w:val="18"/>
        </w:rPr>
        <w:t>CAU/SE,</w:t>
      </w:r>
      <w:r>
        <w:rPr>
          <w:spacing w:val="-8"/>
          <w:sz w:val="18"/>
        </w:rPr>
        <w:t> </w:t>
      </w:r>
      <w:r>
        <w:rPr>
          <w:sz w:val="18"/>
        </w:rPr>
        <w:t>CAU/TO</w:t>
      </w:r>
      <w:r>
        <w:rPr>
          <w:spacing w:val="-8"/>
          <w:sz w:val="18"/>
        </w:rPr>
        <w:t> </w:t>
      </w:r>
      <w:r>
        <w:rPr>
          <w:sz w:val="18"/>
        </w:rPr>
        <w:t>e</w:t>
      </w:r>
      <w:r>
        <w:rPr>
          <w:spacing w:val="-7"/>
          <w:sz w:val="18"/>
        </w:rPr>
        <w:t> </w:t>
      </w:r>
      <w:r>
        <w:rPr>
          <w:sz w:val="18"/>
        </w:rPr>
        <w:t>de</w:t>
      </w:r>
      <w:r>
        <w:rPr>
          <w:spacing w:val="-9"/>
          <w:sz w:val="18"/>
        </w:rPr>
        <w:t> </w:t>
      </w:r>
      <w:r>
        <w:rPr>
          <w:sz w:val="18"/>
        </w:rPr>
        <w:t>50%</w:t>
      </w:r>
      <w:r>
        <w:rPr>
          <w:spacing w:val="-8"/>
          <w:sz w:val="18"/>
        </w:rPr>
        <w:t> </w:t>
      </w:r>
      <w:r>
        <w:rPr>
          <w:sz w:val="18"/>
        </w:rPr>
        <w:t>para</w:t>
      </w:r>
      <w:r>
        <w:rPr>
          <w:spacing w:val="-6"/>
          <w:sz w:val="18"/>
        </w:rPr>
        <w:t> </w:t>
      </w:r>
      <w:r>
        <w:rPr>
          <w:sz w:val="18"/>
        </w:rPr>
        <w:t>os</w:t>
      </w:r>
      <w:r>
        <w:rPr>
          <w:spacing w:val="-9"/>
          <w:sz w:val="18"/>
        </w:rPr>
        <w:t> </w:t>
      </w:r>
      <w:r>
        <w:rPr>
          <w:sz w:val="18"/>
        </w:rPr>
        <w:t>CAU/AL,</w:t>
      </w:r>
      <w:r>
        <w:rPr>
          <w:spacing w:val="-8"/>
          <w:sz w:val="18"/>
        </w:rPr>
        <w:t> </w:t>
      </w:r>
      <w:r>
        <w:rPr>
          <w:sz w:val="18"/>
        </w:rPr>
        <w:t>CAU/BA,</w:t>
      </w:r>
    </w:p>
    <w:p>
      <w:pPr>
        <w:spacing w:before="0"/>
        <w:ind w:left="118" w:right="152" w:firstLine="0"/>
        <w:jc w:val="both"/>
        <w:rPr>
          <w:sz w:val="18"/>
        </w:rPr>
      </w:pPr>
      <w:r>
        <w:rPr>
          <w:sz w:val="18"/>
        </w:rPr>
        <w:t>CAU/CE, CAU/DF, CAU/ES, CAU/GO, CAU/MS, CAU/MT, CAU/PA, CAU/PB, CAU/PE, CAU/RN, sendo a diferença assumida pelo CAU/BR,</w:t>
      </w:r>
      <w:r>
        <w:rPr>
          <w:spacing w:val="-2"/>
          <w:sz w:val="18"/>
        </w:rPr>
        <w:t> </w:t>
      </w:r>
      <w:r>
        <w:rPr>
          <w:sz w:val="18"/>
        </w:rPr>
        <w:t>com</w:t>
      </w:r>
      <w:r>
        <w:rPr>
          <w:spacing w:val="-2"/>
          <w:sz w:val="18"/>
        </w:rPr>
        <w:t> </w:t>
      </w:r>
      <w:r>
        <w:rPr>
          <w:sz w:val="18"/>
        </w:rPr>
        <w:t>a</w:t>
      </w:r>
      <w:r>
        <w:rPr>
          <w:spacing w:val="-2"/>
          <w:sz w:val="18"/>
        </w:rPr>
        <w:t> </w:t>
      </w:r>
      <w:r>
        <w:rPr>
          <w:sz w:val="18"/>
        </w:rPr>
        <w:t>utilização</w:t>
      </w:r>
      <w:r>
        <w:rPr>
          <w:spacing w:val="-1"/>
          <w:sz w:val="18"/>
        </w:rPr>
        <w:t> </w:t>
      </w:r>
      <w:r>
        <w:rPr>
          <w:sz w:val="18"/>
        </w:rPr>
        <w:t>de</w:t>
      </w:r>
      <w:r>
        <w:rPr>
          <w:spacing w:val="-3"/>
          <w:sz w:val="18"/>
        </w:rPr>
        <w:t> </w:t>
      </w:r>
      <w:r>
        <w:rPr>
          <w:sz w:val="18"/>
        </w:rPr>
        <w:t>recursos</w:t>
      </w:r>
      <w:r>
        <w:rPr>
          <w:spacing w:val="-3"/>
          <w:sz w:val="18"/>
        </w:rPr>
        <w:t> </w:t>
      </w:r>
      <w:r>
        <w:rPr>
          <w:sz w:val="18"/>
        </w:rPr>
        <w:t>de</w:t>
      </w:r>
      <w:r>
        <w:rPr>
          <w:spacing w:val="-3"/>
          <w:sz w:val="18"/>
        </w:rPr>
        <w:t> </w:t>
      </w:r>
      <w:r>
        <w:rPr>
          <w:sz w:val="18"/>
        </w:rPr>
        <w:t>seu</w:t>
      </w:r>
      <w:r>
        <w:rPr>
          <w:spacing w:val="-3"/>
          <w:sz w:val="18"/>
        </w:rPr>
        <w:t> </w:t>
      </w:r>
      <w:r>
        <w:rPr>
          <w:sz w:val="18"/>
        </w:rPr>
        <w:t>superávit</w:t>
      </w:r>
      <w:r>
        <w:rPr>
          <w:spacing w:val="-2"/>
          <w:sz w:val="18"/>
        </w:rPr>
        <w:t> </w:t>
      </w:r>
      <w:r>
        <w:rPr>
          <w:sz w:val="18"/>
        </w:rPr>
        <w:t>financeiro</w:t>
      </w:r>
      <w:r>
        <w:rPr>
          <w:spacing w:val="-2"/>
          <w:sz w:val="18"/>
        </w:rPr>
        <w:t> </w:t>
      </w:r>
      <w:r>
        <w:rPr>
          <w:sz w:val="18"/>
        </w:rPr>
        <w:t>contabilizado</w:t>
      </w:r>
      <w:r>
        <w:rPr>
          <w:spacing w:val="-2"/>
          <w:sz w:val="18"/>
        </w:rPr>
        <w:t> </w:t>
      </w:r>
      <w:r>
        <w:rPr>
          <w:sz w:val="18"/>
        </w:rPr>
        <w:t>no</w:t>
      </w:r>
      <w:r>
        <w:rPr>
          <w:spacing w:val="-2"/>
          <w:sz w:val="18"/>
        </w:rPr>
        <w:t> </w:t>
      </w:r>
      <w:r>
        <w:rPr>
          <w:sz w:val="18"/>
        </w:rPr>
        <w:t>balanço</w:t>
      </w:r>
      <w:r>
        <w:rPr>
          <w:spacing w:val="-2"/>
          <w:sz w:val="18"/>
        </w:rPr>
        <w:t> </w:t>
      </w:r>
      <w:r>
        <w:rPr>
          <w:sz w:val="18"/>
        </w:rPr>
        <w:t>patrimonial</w:t>
      </w:r>
      <w:r>
        <w:rPr>
          <w:spacing w:val="-3"/>
          <w:sz w:val="18"/>
        </w:rPr>
        <w:t> </w:t>
      </w:r>
      <w:r>
        <w:rPr>
          <w:sz w:val="18"/>
        </w:rPr>
        <w:t>de</w:t>
      </w:r>
      <w:r>
        <w:rPr>
          <w:spacing w:val="-3"/>
          <w:sz w:val="18"/>
        </w:rPr>
        <w:t> </w:t>
      </w:r>
      <w:r>
        <w:rPr>
          <w:sz w:val="18"/>
        </w:rPr>
        <w:t>31 de</w:t>
      </w:r>
      <w:r>
        <w:rPr>
          <w:spacing w:val="-3"/>
          <w:sz w:val="18"/>
        </w:rPr>
        <w:t> </w:t>
      </w:r>
      <w:r>
        <w:rPr>
          <w:sz w:val="18"/>
        </w:rPr>
        <w:t>dezembro</w:t>
      </w:r>
      <w:r>
        <w:rPr>
          <w:spacing w:val="-2"/>
          <w:sz w:val="18"/>
        </w:rPr>
        <w:t> </w:t>
      </w:r>
      <w:r>
        <w:rPr>
          <w:sz w:val="18"/>
        </w:rPr>
        <w:t>de</w:t>
      </w:r>
      <w:r>
        <w:rPr>
          <w:spacing w:val="-3"/>
          <w:sz w:val="18"/>
        </w:rPr>
        <w:t> </w:t>
      </w:r>
      <w:r>
        <w:rPr>
          <w:sz w:val="18"/>
        </w:rPr>
        <w:t>2019;</w:t>
      </w:r>
    </w:p>
    <w:p>
      <w:pPr>
        <w:spacing w:before="0"/>
        <w:ind w:left="118" w:right="148" w:firstLine="0"/>
        <w:jc w:val="both"/>
        <w:rPr>
          <w:sz w:val="18"/>
        </w:rPr>
      </w:pPr>
      <w:r>
        <w:rPr>
          <w:sz w:val="18"/>
        </w:rPr>
        <w:t>**Na reprogramação 2020, para os</w:t>
      </w:r>
      <w:r>
        <w:rPr>
          <w:spacing w:val="-2"/>
          <w:sz w:val="18"/>
        </w:rPr>
        <w:t> </w:t>
      </w:r>
      <w:r>
        <w:rPr>
          <w:sz w:val="18"/>
        </w:rPr>
        <w:t>aportes de CSC dos CAU/UF foram considerados apenas os percentuais com redução de 80%, sendo a diferença (R$ 1.388.976,00) assumida pelo CAU/BR juntamente com seu valor do aporte</w:t>
      </w:r>
      <w:r>
        <w:rPr>
          <w:spacing w:val="40"/>
          <w:sz w:val="18"/>
        </w:rPr>
        <w:t> </w:t>
      </w:r>
      <w:r>
        <w:rPr>
          <w:sz w:val="18"/>
        </w:rPr>
        <w:t>de R$ 1.568.138,99,</w:t>
      </w:r>
      <w:r>
        <w:rPr>
          <w:spacing w:val="-1"/>
          <w:sz w:val="18"/>
        </w:rPr>
        <w:t> </w:t>
      </w:r>
      <w:r>
        <w:rPr>
          <w:sz w:val="18"/>
        </w:rPr>
        <w:t>referente as parcelas</w:t>
      </w:r>
      <w:r>
        <w:rPr>
          <w:spacing w:val="-11"/>
          <w:sz w:val="18"/>
        </w:rPr>
        <w:t> </w:t>
      </w:r>
      <w:r>
        <w:rPr>
          <w:sz w:val="18"/>
        </w:rPr>
        <w:t>previstas</w:t>
      </w:r>
      <w:r>
        <w:rPr>
          <w:spacing w:val="-10"/>
          <w:sz w:val="18"/>
        </w:rPr>
        <w:t> </w:t>
      </w:r>
      <w:r>
        <w:rPr>
          <w:sz w:val="18"/>
        </w:rPr>
        <w:t>para</w:t>
      </w:r>
      <w:r>
        <w:rPr>
          <w:spacing w:val="-10"/>
          <w:sz w:val="18"/>
        </w:rPr>
        <w:t> </w:t>
      </w:r>
      <w:r>
        <w:rPr>
          <w:sz w:val="18"/>
        </w:rPr>
        <w:t>os</w:t>
      </w:r>
      <w:r>
        <w:rPr>
          <w:spacing w:val="-10"/>
          <w:sz w:val="18"/>
        </w:rPr>
        <w:t> </w:t>
      </w:r>
      <w:r>
        <w:rPr>
          <w:sz w:val="18"/>
        </w:rPr>
        <w:t>meses</w:t>
      </w:r>
      <w:r>
        <w:rPr>
          <w:spacing w:val="-10"/>
          <w:sz w:val="18"/>
        </w:rPr>
        <w:t> </w:t>
      </w:r>
      <w:r>
        <w:rPr>
          <w:sz w:val="18"/>
        </w:rPr>
        <w:t>de</w:t>
      </w:r>
      <w:r>
        <w:rPr>
          <w:spacing w:val="-11"/>
          <w:sz w:val="18"/>
        </w:rPr>
        <w:t> </w:t>
      </w:r>
      <w:r>
        <w:rPr>
          <w:sz w:val="18"/>
        </w:rPr>
        <w:t>junho</w:t>
      </w:r>
      <w:r>
        <w:rPr>
          <w:spacing w:val="-8"/>
          <w:sz w:val="18"/>
        </w:rPr>
        <w:t> </w:t>
      </w:r>
      <w:r>
        <w:rPr>
          <w:sz w:val="18"/>
        </w:rPr>
        <w:t>a</w:t>
      </w:r>
      <w:r>
        <w:rPr>
          <w:spacing w:val="-9"/>
          <w:sz w:val="18"/>
        </w:rPr>
        <w:t> </w:t>
      </w:r>
      <w:r>
        <w:rPr>
          <w:sz w:val="18"/>
        </w:rPr>
        <w:t>dezembro</w:t>
      </w:r>
      <w:r>
        <w:rPr>
          <w:spacing w:val="-10"/>
          <w:sz w:val="18"/>
        </w:rPr>
        <w:t> </w:t>
      </w:r>
      <w:r>
        <w:rPr>
          <w:sz w:val="18"/>
        </w:rPr>
        <w:t>de</w:t>
      </w:r>
      <w:r>
        <w:rPr>
          <w:spacing w:val="-11"/>
          <w:sz w:val="18"/>
        </w:rPr>
        <w:t> </w:t>
      </w:r>
      <w:r>
        <w:rPr>
          <w:sz w:val="18"/>
        </w:rPr>
        <w:t>2020,</w:t>
      </w:r>
      <w:r>
        <w:rPr>
          <w:spacing w:val="-9"/>
          <w:sz w:val="18"/>
        </w:rPr>
        <w:t> </w:t>
      </w:r>
      <w:r>
        <w:rPr>
          <w:sz w:val="18"/>
        </w:rPr>
        <w:t>com</w:t>
      </w:r>
      <w:r>
        <w:rPr>
          <w:spacing w:val="-10"/>
          <w:sz w:val="18"/>
        </w:rPr>
        <w:t> </w:t>
      </w:r>
      <w:r>
        <w:rPr>
          <w:sz w:val="18"/>
        </w:rPr>
        <w:t>a</w:t>
      </w:r>
      <w:r>
        <w:rPr>
          <w:spacing w:val="-10"/>
          <w:sz w:val="18"/>
        </w:rPr>
        <w:t> </w:t>
      </w:r>
      <w:r>
        <w:rPr>
          <w:sz w:val="18"/>
        </w:rPr>
        <w:t>utilização</w:t>
      </w:r>
      <w:r>
        <w:rPr>
          <w:spacing w:val="-8"/>
          <w:sz w:val="18"/>
        </w:rPr>
        <w:t> </w:t>
      </w:r>
      <w:r>
        <w:rPr>
          <w:sz w:val="18"/>
        </w:rPr>
        <w:t>de</w:t>
      </w:r>
      <w:r>
        <w:rPr>
          <w:spacing w:val="-11"/>
          <w:sz w:val="18"/>
        </w:rPr>
        <w:t> </w:t>
      </w:r>
      <w:r>
        <w:rPr>
          <w:sz w:val="18"/>
        </w:rPr>
        <w:t>recursos</w:t>
      </w:r>
      <w:r>
        <w:rPr>
          <w:spacing w:val="-10"/>
          <w:sz w:val="18"/>
        </w:rPr>
        <w:t> </w:t>
      </w:r>
      <w:r>
        <w:rPr>
          <w:sz w:val="18"/>
        </w:rPr>
        <w:t>de</w:t>
      </w:r>
      <w:r>
        <w:rPr>
          <w:spacing w:val="-10"/>
          <w:sz w:val="18"/>
        </w:rPr>
        <w:t> </w:t>
      </w:r>
      <w:r>
        <w:rPr>
          <w:sz w:val="18"/>
        </w:rPr>
        <w:t>seu</w:t>
      </w:r>
      <w:r>
        <w:rPr>
          <w:spacing w:val="-8"/>
          <w:sz w:val="18"/>
        </w:rPr>
        <w:t> </w:t>
      </w:r>
      <w:r>
        <w:rPr>
          <w:sz w:val="18"/>
        </w:rPr>
        <w:t>superávit</w:t>
      </w:r>
      <w:r>
        <w:rPr>
          <w:spacing w:val="-11"/>
          <w:sz w:val="18"/>
        </w:rPr>
        <w:t> </w:t>
      </w:r>
      <w:r>
        <w:rPr>
          <w:sz w:val="18"/>
        </w:rPr>
        <w:t>financeiro</w:t>
      </w:r>
      <w:r>
        <w:rPr>
          <w:spacing w:val="-9"/>
          <w:sz w:val="18"/>
        </w:rPr>
        <w:t> </w:t>
      </w:r>
      <w:r>
        <w:rPr>
          <w:sz w:val="18"/>
        </w:rPr>
        <w:t>contabilizado no balanço patrimonial de 31 de dezembro de 2019 (DPOBR Nº 0102-10/2020, de 19 de junho de 2020).</w:t>
      </w:r>
    </w:p>
    <w:p>
      <w:pPr>
        <w:spacing w:after="0"/>
        <w:jc w:val="both"/>
        <w:rPr>
          <w:sz w:val="18"/>
        </w:rPr>
        <w:sectPr>
          <w:pgSz w:w="11910" w:h="16840"/>
          <w:pgMar w:header="689" w:footer="261" w:top="1580" w:bottom="460" w:left="1300" w:right="700"/>
        </w:sectPr>
      </w:pPr>
    </w:p>
    <w:p>
      <w:pPr>
        <w:pStyle w:val="BodyText"/>
        <w:rPr>
          <w:sz w:val="20"/>
        </w:rPr>
      </w:pPr>
    </w:p>
    <w:p>
      <w:pPr>
        <w:pStyle w:val="BodyText"/>
        <w:rPr>
          <w:sz w:val="20"/>
        </w:rPr>
      </w:pPr>
    </w:p>
    <w:p>
      <w:pPr>
        <w:pStyle w:val="BodyText"/>
        <w:rPr>
          <w:sz w:val="20"/>
        </w:rPr>
      </w:pPr>
    </w:p>
    <w:p>
      <w:pPr>
        <w:pStyle w:val="Heading5"/>
        <w:spacing w:before="177"/>
        <w:ind w:left="8651"/>
        <w:jc w:val="left"/>
      </w:pPr>
      <w:r>
        <w:rPr/>
        <w:drawing>
          <wp:anchor distT="0" distB="0" distL="0" distR="0" allowOverlap="1" layoutInCell="1" locked="0" behindDoc="0" simplePos="0" relativeHeight="15732224">
            <wp:simplePos x="0" y="0"/>
            <wp:positionH relativeFrom="page">
              <wp:posOffset>0</wp:posOffset>
            </wp:positionH>
            <wp:positionV relativeFrom="paragraph">
              <wp:posOffset>-463769</wp:posOffset>
            </wp:positionV>
            <wp:extent cx="10687684" cy="566077"/>
            <wp:effectExtent l="0" t="0" r="0" b="0"/>
            <wp:wrapNone/>
            <wp:docPr id="21" name="image43.jpeg"/>
            <wp:cNvGraphicFramePr>
              <a:graphicFrameLocks noChangeAspect="1"/>
            </wp:cNvGraphicFramePr>
            <a:graphic>
              <a:graphicData uri="http://schemas.openxmlformats.org/drawingml/2006/picture">
                <pic:pic>
                  <pic:nvPicPr>
                    <pic:cNvPr id="22" name="image43.jpeg"/>
                    <pic:cNvPicPr/>
                  </pic:nvPicPr>
                  <pic:blipFill>
                    <a:blip r:embed="rId52" cstate="print"/>
                    <a:stretch>
                      <a:fillRect/>
                    </a:stretch>
                  </pic:blipFill>
                  <pic:spPr>
                    <a:xfrm>
                      <a:off x="0" y="0"/>
                      <a:ext cx="10687684" cy="566077"/>
                    </a:xfrm>
                    <a:prstGeom prst="rect">
                      <a:avLst/>
                    </a:prstGeom>
                  </pic:spPr>
                </pic:pic>
              </a:graphicData>
            </a:graphic>
          </wp:anchor>
        </w:drawing>
      </w:r>
      <w:bookmarkStart w:name="_bookmark18" w:id="19"/>
      <w:bookmarkEnd w:id="19"/>
      <w:r>
        <w:rPr>
          <w:b w:val="0"/>
        </w:rPr>
      </w:r>
      <w:r>
        <w:rPr/>
        <w:t>Quadro</w:t>
      </w:r>
      <w:r>
        <w:rPr>
          <w:spacing w:val="-5"/>
        </w:rPr>
        <w:t> </w:t>
      </w:r>
      <w:r>
        <w:rPr/>
        <w:t>5.1.</w:t>
      </w:r>
      <w:r>
        <w:rPr>
          <w:spacing w:val="-4"/>
        </w:rPr>
        <w:t> </w:t>
      </w:r>
      <w:r>
        <w:rPr/>
        <w:t>Aplicações dos</w:t>
      </w:r>
      <w:r>
        <w:rPr>
          <w:spacing w:val="-2"/>
        </w:rPr>
        <w:t> </w:t>
      </w:r>
      <w:r>
        <w:rPr/>
        <w:t>Elementos</w:t>
      </w:r>
      <w:r>
        <w:rPr>
          <w:spacing w:val="-1"/>
        </w:rPr>
        <w:t> </w:t>
      </w:r>
      <w:r>
        <w:rPr/>
        <w:t>de</w:t>
      </w:r>
      <w:r>
        <w:rPr>
          <w:spacing w:val="-4"/>
        </w:rPr>
        <w:t> </w:t>
      </w:r>
      <w:r>
        <w:rPr/>
        <w:t>Despesas</w:t>
      </w:r>
      <w:r>
        <w:rPr>
          <w:spacing w:val="-2"/>
        </w:rPr>
        <w:t> </w:t>
      </w:r>
      <w:r>
        <w:rPr/>
        <w:t>dos</w:t>
      </w:r>
      <w:r>
        <w:rPr>
          <w:spacing w:val="-1"/>
        </w:rPr>
        <w:t> </w:t>
      </w:r>
      <w:r>
        <w:rPr/>
        <w:t>CAU/UF</w:t>
      </w:r>
      <w:r>
        <w:rPr>
          <w:spacing w:val="-1"/>
        </w:rPr>
        <w:t> </w:t>
      </w:r>
      <w:r>
        <w:rPr/>
        <w:t>por</w:t>
      </w:r>
      <w:r>
        <w:rPr>
          <w:spacing w:val="-1"/>
        </w:rPr>
        <w:t> </w:t>
      </w:r>
      <w:r>
        <w:rPr>
          <w:spacing w:val="-2"/>
        </w:rPr>
        <w:t>Região</w:t>
      </w:r>
    </w:p>
    <w:p>
      <w:pPr>
        <w:spacing w:before="2"/>
        <w:ind w:left="0" w:right="760" w:firstLine="0"/>
        <w:jc w:val="right"/>
        <w:rPr>
          <w:sz w:val="20"/>
        </w:rPr>
      </w:pPr>
      <w:r>
        <w:rPr>
          <w:sz w:val="20"/>
        </w:rPr>
        <w:t>(Valores</w:t>
      </w:r>
      <w:r>
        <w:rPr>
          <w:spacing w:val="-6"/>
          <w:sz w:val="20"/>
        </w:rPr>
        <w:t> </w:t>
      </w:r>
      <w:r>
        <w:rPr>
          <w:sz w:val="20"/>
        </w:rPr>
        <w:t>em</w:t>
      </w:r>
      <w:r>
        <w:rPr>
          <w:spacing w:val="-6"/>
          <w:sz w:val="20"/>
        </w:rPr>
        <w:t> </w:t>
      </w:r>
      <w:r>
        <w:rPr>
          <w:sz w:val="20"/>
        </w:rPr>
        <w:t>R$</w:t>
      </w:r>
      <w:r>
        <w:rPr>
          <w:spacing w:val="-6"/>
          <w:sz w:val="20"/>
        </w:rPr>
        <w:t> </w:t>
      </w:r>
      <w:r>
        <w:rPr>
          <w:spacing w:val="-4"/>
          <w:sz w:val="20"/>
        </w:rPr>
        <w:t>1,00)</w:t>
      </w:r>
    </w:p>
    <w:p>
      <w:pPr>
        <w:pStyle w:val="BodyText"/>
        <w:ind w:left="1276"/>
        <w:rPr>
          <w:sz w:val="20"/>
        </w:rPr>
      </w:pPr>
      <w:r>
        <w:rPr>
          <w:sz w:val="20"/>
        </w:rPr>
        <w:drawing>
          <wp:inline distT="0" distB="0" distL="0" distR="0">
            <wp:extent cx="9431168" cy="3927062"/>
            <wp:effectExtent l="0" t="0" r="0" b="0"/>
            <wp:docPr id="23" name="image44.jpeg"/>
            <wp:cNvGraphicFramePr>
              <a:graphicFrameLocks noChangeAspect="1"/>
            </wp:cNvGraphicFramePr>
            <a:graphic>
              <a:graphicData uri="http://schemas.openxmlformats.org/drawingml/2006/picture">
                <pic:pic>
                  <pic:nvPicPr>
                    <pic:cNvPr id="24" name="image44.jpeg"/>
                    <pic:cNvPicPr/>
                  </pic:nvPicPr>
                  <pic:blipFill>
                    <a:blip r:embed="rId53" cstate="print"/>
                    <a:stretch>
                      <a:fillRect/>
                    </a:stretch>
                  </pic:blipFill>
                  <pic:spPr>
                    <a:xfrm>
                      <a:off x="0" y="0"/>
                      <a:ext cx="9431168" cy="3927062"/>
                    </a:xfrm>
                    <a:prstGeom prst="rect">
                      <a:avLst/>
                    </a:prstGeom>
                  </pic:spPr>
                </pic:pic>
              </a:graphicData>
            </a:graphic>
          </wp:inline>
        </w:drawing>
      </w:r>
      <w:r>
        <w:rPr>
          <w:sz w:val="20"/>
        </w:rPr>
      </w:r>
    </w:p>
    <w:p>
      <w:pPr>
        <w:spacing w:before="2"/>
        <w:ind w:left="1276" w:right="701" w:firstLine="0"/>
        <w:jc w:val="both"/>
        <w:rPr>
          <w:sz w:val="18"/>
        </w:rPr>
      </w:pPr>
      <w:r>
        <w:rPr>
          <w:sz w:val="18"/>
        </w:rPr>
        <w:t>*Na</w:t>
      </w:r>
      <w:r>
        <w:rPr>
          <w:spacing w:val="-2"/>
          <w:sz w:val="18"/>
        </w:rPr>
        <w:t> </w:t>
      </w:r>
      <w:r>
        <w:rPr>
          <w:sz w:val="18"/>
        </w:rPr>
        <w:t>reprogramação 2020,</w:t>
      </w:r>
      <w:r>
        <w:rPr>
          <w:spacing w:val="-1"/>
          <w:sz w:val="18"/>
        </w:rPr>
        <w:t> </w:t>
      </w:r>
      <w:r>
        <w:rPr>
          <w:sz w:val="18"/>
        </w:rPr>
        <w:t>para</w:t>
      </w:r>
      <w:r>
        <w:rPr>
          <w:spacing w:val="-2"/>
          <w:sz w:val="18"/>
        </w:rPr>
        <w:t> </w:t>
      </w:r>
      <w:r>
        <w:rPr>
          <w:sz w:val="18"/>
        </w:rPr>
        <w:t>os</w:t>
      </w:r>
      <w:r>
        <w:rPr>
          <w:spacing w:val="-1"/>
          <w:sz w:val="18"/>
        </w:rPr>
        <w:t> </w:t>
      </w:r>
      <w:r>
        <w:rPr>
          <w:sz w:val="18"/>
        </w:rPr>
        <w:t>aportes de Fundo</w:t>
      </w:r>
      <w:r>
        <w:rPr>
          <w:spacing w:val="-1"/>
          <w:sz w:val="18"/>
        </w:rPr>
        <w:t> </w:t>
      </w:r>
      <w:r>
        <w:rPr>
          <w:sz w:val="18"/>
        </w:rPr>
        <w:t>de Apoio dos CAU/UF</w:t>
      </w:r>
      <w:r>
        <w:rPr>
          <w:spacing w:val="-3"/>
          <w:sz w:val="18"/>
        </w:rPr>
        <w:t> </w:t>
      </w:r>
      <w:r>
        <w:rPr>
          <w:sz w:val="18"/>
        </w:rPr>
        <w:t>foram</w:t>
      </w:r>
      <w:r>
        <w:rPr>
          <w:spacing w:val="-1"/>
          <w:sz w:val="18"/>
        </w:rPr>
        <w:t> </w:t>
      </w:r>
      <w:r>
        <w:rPr>
          <w:sz w:val="18"/>
        </w:rPr>
        <w:t>considerados apenas</w:t>
      </w:r>
      <w:r>
        <w:rPr>
          <w:spacing w:val="-2"/>
          <w:sz w:val="18"/>
        </w:rPr>
        <w:t> </w:t>
      </w:r>
      <w:r>
        <w:rPr>
          <w:sz w:val="18"/>
        </w:rPr>
        <w:t>os</w:t>
      </w:r>
      <w:r>
        <w:rPr>
          <w:spacing w:val="-2"/>
          <w:sz w:val="18"/>
        </w:rPr>
        <w:t> </w:t>
      </w:r>
      <w:r>
        <w:rPr>
          <w:sz w:val="18"/>
        </w:rPr>
        <w:t>percentuais com</w:t>
      </w:r>
      <w:r>
        <w:rPr>
          <w:spacing w:val="-1"/>
          <w:sz w:val="18"/>
        </w:rPr>
        <w:t> </w:t>
      </w:r>
      <w:r>
        <w:rPr>
          <w:sz w:val="18"/>
        </w:rPr>
        <w:t>redução de</w:t>
      </w:r>
      <w:r>
        <w:rPr>
          <w:spacing w:val="-2"/>
          <w:sz w:val="18"/>
        </w:rPr>
        <w:t> </w:t>
      </w:r>
      <w:r>
        <w:rPr>
          <w:sz w:val="18"/>
        </w:rPr>
        <w:t>80%</w:t>
      </w:r>
      <w:r>
        <w:rPr>
          <w:spacing w:val="-1"/>
          <w:sz w:val="18"/>
        </w:rPr>
        <w:t> </w:t>
      </w:r>
      <w:r>
        <w:rPr>
          <w:sz w:val="18"/>
        </w:rPr>
        <w:t>para</w:t>
      </w:r>
      <w:r>
        <w:rPr>
          <w:spacing w:val="-2"/>
          <w:sz w:val="18"/>
        </w:rPr>
        <w:t> </w:t>
      </w:r>
      <w:r>
        <w:rPr>
          <w:sz w:val="18"/>
        </w:rPr>
        <w:t>os CAU/AC,</w:t>
      </w:r>
      <w:r>
        <w:rPr>
          <w:spacing w:val="-1"/>
          <w:sz w:val="18"/>
        </w:rPr>
        <w:t> </w:t>
      </w:r>
      <w:r>
        <w:rPr>
          <w:sz w:val="18"/>
        </w:rPr>
        <w:t>CAU/AM,</w:t>
      </w:r>
      <w:r>
        <w:rPr>
          <w:spacing w:val="-1"/>
          <w:sz w:val="18"/>
        </w:rPr>
        <w:t> </w:t>
      </w:r>
      <w:r>
        <w:rPr>
          <w:sz w:val="18"/>
        </w:rPr>
        <w:t>CAU/AP,</w:t>
      </w:r>
      <w:r>
        <w:rPr>
          <w:spacing w:val="-1"/>
          <w:sz w:val="18"/>
        </w:rPr>
        <w:t> </w:t>
      </w:r>
      <w:r>
        <w:rPr>
          <w:sz w:val="18"/>
        </w:rPr>
        <w:t>CAU/MA,</w:t>
      </w:r>
      <w:r>
        <w:rPr>
          <w:spacing w:val="-1"/>
          <w:sz w:val="18"/>
        </w:rPr>
        <w:t> </w:t>
      </w:r>
      <w:r>
        <w:rPr>
          <w:sz w:val="18"/>
        </w:rPr>
        <w:t>CAU/PI,</w:t>
      </w:r>
      <w:r>
        <w:rPr>
          <w:spacing w:val="-1"/>
          <w:sz w:val="18"/>
        </w:rPr>
        <w:t> </w:t>
      </w:r>
      <w:r>
        <w:rPr>
          <w:sz w:val="18"/>
        </w:rPr>
        <w:t>CAU/RO, CAU/RR,</w:t>
      </w:r>
      <w:r>
        <w:rPr>
          <w:spacing w:val="-1"/>
          <w:sz w:val="18"/>
        </w:rPr>
        <w:t> </w:t>
      </w:r>
      <w:r>
        <w:rPr>
          <w:sz w:val="18"/>
        </w:rPr>
        <w:t>CAU/SE,</w:t>
      </w:r>
      <w:r>
        <w:rPr>
          <w:spacing w:val="-1"/>
          <w:sz w:val="18"/>
        </w:rPr>
        <w:t> </w:t>
      </w:r>
      <w:r>
        <w:rPr>
          <w:sz w:val="18"/>
        </w:rPr>
        <w:t>CAU/TO</w:t>
      </w:r>
      <w:r>
        <w:rPr>
          <w:spacing w:val="-1"/>
          <w:sz w:val="18"/>
        </w:rPr>
        <w:t> </w:t>
      </w:r>
      <w:r>
        <w:rPr>
          <w:sz w:val="18"/>
        </w:rPr>
        <w:t>e</w:t>
      </w:r>
      <w:r>
        <w:rPr>
          <w:spacing w:val="-2"/>
          <w:sz w:val="18"/>
        </w:rPr>
        <w:t> </w:t>
      </w:r>
      <w:r>
        <w:rPr>
          <w:sz w:val="18"/>
        </w:rPr>
        <w:t>de</w:t>
      </w:r>
      <w:r>
        <w:rPr>
          <w:spacing w:val="-2"/>
          <w:sz w:val="18"/>
        </w:rPr>
        <w:t> </w:t>
      </w:r>
      <w:r>
        <w:rPr>
          <w:sz w:val="18"/>
        </w:rPr>
        <w:t>50%</w:t>
      </w:r>
      <w:r>
        <w:rPr>
          <w:spacing w:val="-1"/>
          <w:sz w:val="18"/>
        </w:rPr>
        <w:t> </w:t>
      </w:r>
      <w:r>
        <w:rPr>
          <w:sz w:val="18"/>
        </w:rPr>
        <w:t>para</w:t>
      </w:r>
      <w:r>
        <w:rPr>
          <w:spacing w:val="-2"/>
          <w:sz w:val="18"/>
        </w:rPr>
        <w:t> </w:t>
      </w:r>
      <w:r>
        <w:rPr>
          <w:sz w:val="18"/>
        </w:rPr>
        <w:t>os</w:t>
      </w:r>
      <w:r>
        <w:rPr>
          <w:spacing w:val="-2"/>
          <w:sz w:val="18"/>
        </w:rPr>
        <w:t> </w:t>
      </w:r>
      <w:r>
        <w:rPr>
          <w:sz w:val="18"/>
        </w:rPr>
        <w:t>CAU/AL,</w:t>
      </w:r>
      <w:r>
        <w:rPr>
          <w:spacing w:val="-1"/>
          <w:sz w:val="18"/>
        </w:rPr>
        <w:t> </w:t>
      </w:r>
      <w:r>
        <w:rPr>
          <w:sz w:val="18"/>
        </w:rPr>
        <w:t>CAU/BA,</w:t>
      </w:r>
      <w:r>
        <w:rPr>
          <w:spacing w:val="-1"/>
          <w:sz w:val="18"/>
        </w:rPr>
        <w:t> </w:t>
      </w:r>
      <w:r>
        <w:rPr>
          <w:sz w:val="18"/>
        </w:rPr>
        <w:t>CAU/CE,</w:t>
      </w:r>
      <w:r>
        <w:rPr>
          <w:spacing w:val="-1"/>
          <w:sz w:val="18"/>
        </w:rPr>
        <w:t> </w:t>
      </w:r>
      <w:r>
        <w:rPr>
          <w:sz w:val="18"/>
        </w:rPr>
        <w:t>CAU/DF,</w:t>
      </w:r>
      <w:r>
        <w:rPr>
          <w:spacing w:val="-1"/>
          <w:sz w:val="18"/>
        </w:rPr>
        <w:t> </w:t>
      </w:r>
      <w:r>
        <w:rPr>
          <w:sz w:val="18"/>
        </w:rPr>
        <w:t>CAU/ES,</w:t>
      </w:r>
      <w:r>
        <w:rPr>
          <w:spacing w:val="-1"/>
          <w:sz w:val="18"/>
        </w:rPr>
        <w:t> </w:t>
      </w:r>
      <w:r>
        <w:rPr>
          <w:sz w:val="18"/>
        </w:rPr>
        <w:t>CAU/GO,</w:t>
      </w:r>
      <w:r>
        <w:rPr>
          <w:spacing w:val="-1"/>
          <w:sz w:val="18"/>
        </w:rPr>
        <w:t> </w:t>
      </w:r>
      <w:r>
        <w:rPr>
          <w:sz w:val="18"/>
        </w:rPr>
        <w:t>CAU/MS,</w:t>
      </w:r>
      <w:r>
        <w:rPr>
          <w:spacing w:val="-1"/>
          <w:sz w:val="18"/>
        </w:rPr>
        <w:t> </w:t>
      </w:r>
      <w:r>
        <w:rPr>
          <w:sz w:val="18"/>
        </w:rPr>
        <w:t>CAU/MT,</w:t>
      </w:r>
      <w:r>
        <w:rPr>
          <w:spacing w:val="-1"/>
          <w:sz w:val="18"/>
        </w:rPr>
        <w:t> </w:t>
      </w:r>
      <w:r>
        <w:rPr>
          <w:sz w:val="18"/>
        </w:rPr>
        <w:t>CAU/PA,</w:t>
      </w:r>
      <w:r>
        <w:rPr>
          <w:spacing w:val="-1"/>
          <w:sz w:val="18"/>
        </w:rPr>
        <w:t> </w:t>
      </w:r>
      <w:r>
        <w:rPr>
          <w:sz w:val="18"/>
        </w:rPr>
        <w:t>CAU/PB,</w:t>
      </w:r>
      <w:r>
        <w:rPr>
          <w:spacing w:val="-1"/>
          <w:sz w:val="18"/>
        </w:rPr>
        <w:t> </w:t>
      </w:r>
      <w:r>
        <w:rPr>
          <w:sz w:val="18"/>
        </w:rPr>
        <w:t>CAU/PE,</w:t>
      </w:r>
      <w:r>
        <w:rPr>
          <w:spacing w:val="-1"/>
          <w:sz w:val="18"/>
        </w:rPr>
        <w:t> </w:t>
      </w:r>
      <w:r>
        <w:rPr>
          <w:sz w:val="18"/>
        </w:rPr>
        <w:t>CAU/RN,</w:t>
      </w:r>
      <w:r>
        <w:rPr>
          <w:spacing w:val="-1"/>
          <w:sz w:val="18"/>
        </w:rPr>
        <w:t> </w:t>
      </w:r>
      <w:r>
        <w:rPr>
          <w:sz w:val="18"/>
        </w:rPr>
        <w:t>sendo</w:t>
      </w:r>
      <w:r>
        <w:rPr>
          <w:spacing w:val="-1"/>
          <w:sz w:val="18"/>
        </w:rPr>
        <w:t> </w:t>
      </w:r>
      <w:r>
        <w:rPr>
          <w:sz w:val="18"/>
        </w:rPr>
        <w:t>a diferença</w:t>
      </w:r>
      <w:r>
        <w:rPr>
          <w:spacing w:val="-2"/>
          <w:sz w:val="18"/>
        </w:rPr>
        <w:t> </w:t>
      </w:r>
      <w:r>
        <w:rPr>
          <w:sz w:val="18"/>
        </w:rPr>
        <w:t>assumida</w:t>
      </w:r>
      <w:r>
        <w:rPr>
          <w:spacing w:val="-2"/>
          <w:sz w:val="18"/>
        </w:rPr>
        <w:t> </w:t>
      </w:r>
      <w:r>
        <w:rPr>
          <w:sz w:val="18"/>
        </w:rPr>
        <w:t>pelo</w:t>
      </w:r>
      <w:r>
        <w:rPr>
          <w:spacing w:val="-1"/>
          <w:sz w:val="18"/>
        </w:rPr>
        <w:t> </w:t>
      </w:r>
      <w:r>
        <w:rPr>
          <w:sz w:val="18"/>
        </w:rPr>
        <w:t>CAU/BR, com</w:t>
      </w:r>
      <w:r>
        <w:rPr>
          <w:spacing w:val="-1"/>
          <w:sz w:val="18"/>
        </w:rPr>
        <w:t> </w:t>
      </w:r>
      <w:r>
        <w:rPr>
          <w:sz w:val="18"/>
        </w:rPr>
        <w:t>a utilização de recursos de seu superávit financeiro contabilizado no balanço patrimonial de 31 de dezembro de 2019;</w:t>
      </w:r>
    </w:p>
    <w:p>
      <w:pPr>
        <w:spacing w:before="0"/>
        <w:ind w:left="1276" w:right="705" w:firstLine="0"/>
        <w:jc w:val="both"/>
        <w:rPr>
          <w:sz w:val="18"/>
        </w:rPr>
      </w:pPr>
      <w:r>
        <w:rPr>
          <w:sz w:val="18"/>
        </w:rPr>
        <w:t>** Na reprogramação 2020, para os</w:t>
      </w:r>
      <w:r>
        <w:rPr>
          <w:spacing w:val="-1"/>
          <w:sz w:val="18"/>
        </w:rPr>
        <w:t> </w:t>
      </w:r>
      <w:r>
        <w:rPr>
          <w:sz w:val="18"/>
        </w:rPr>
        <w:t>aportes de CSC dos CAU/UF foram considerados apenas os percentuais com redução de 80%, sendo a diferença (R$ 1.388.976,00) assumida pelo CAU/BR juntamente com</w:t>
      </w:r>
      <w:r>
        <w:rPr>
          <w:spacing w:val="-2"/>
          <w:sz w:val="18"/>
        </w:rPr>
        <w:t> </w:t>
      </w:r>
      <w:r>
        <w:rPr>
          <w:sz w:val="18"/>
        </w:rPr>
        <w:t>seu</w:t>
      </w:r>
      <w:r>
        <w:rPr>
          <w:spacing w:val="-3"/>
          <w:sz w:val="18"/>
        </w:rPr>
        <w:t> </w:t>
      </w:r>
      <w:r>
        <w:rPr>
          <w:sz w:val="18"/>
        </w:rPr>
        <w:t>valor</w:t>
      </w:r>
      <w:r>
        <w:rPr>
          <w:spacing w:val="-5"/>
          <w:sz w:val="18"/>
        </w:rPr>
        <w:t> </w:t>
      </w:r>
      <w:r>
        <w:rPr>
          <w:sz w:val="18"/>
        </w:rPr>
        <w:t>do</w:t>
      </w:r>
      <w:r>
        <w:rPr>
          <w:spacing w:val="-1"/>
          <w:sz w:val="18"/>
        </w:rPr>
        <w:t> </w:t>
      </w:r>
      <w:r>
        <w:rPr>
          <w:sz w:val="18"/>
        </w:rPr>
        <w:t>aporte</w:t>
      </w:r>
      <w:r>
        <w:rPr>
          <w:spacing w:val="-3"/>
          <w:sz w:val="18"/>
        </w:rPr>
        <w:t> </w:t>
      </w:r>
      <w:r>
        <w:rPr>
          <w:sz w:val="18"/>
        </w:rPr>
        <w:t>de</w:t>
      </w:r>
      <w:r>
        <w:rPr>
          <w:spacing w:val="-3"/>
          <w:sz w:val="18"/>
        </w:rPr>
        <w:t> </w:t>
      </w:r>
      <w:r>
        <w:rPr>
          <w:sz w:val="18"/>
        </w:rPr>
        <w:t>R$</w:t>
      </w:r>
      <w:r>
        <w:rPr>
          <w:spacing w:val="-5"/>
          <w:sz w:val="18"/>
        </w:rPr>
        <w:t> </w:t>
      </w:r>
      <w:r>
        <w:rPr>
          <w:sz w:val="18"/>
        </w:rPr>
        <w:t>1.568.138,99,</w:t>
      </w:r>
      <w:r>
        <w:rPr>
          <w:spacing w:val="-1"/>
          <w:sz w:val="18"/>
        </w:rPr>
        <w:t> </w:t>
      </w:r>
      <w:r>
        <w:rPr>
          <w:sz w:val="18"/>
        </w:rPr>
        <w:t>referente</w:t>
      </w:r>
      <w:r>
        <w:rPr>
          <w:spacing w:val="-4"/>
          <w:sz w:val="18"/>
        </w:rPr>
        <w:t> </w:t>
      </w:r>
      <w:r>
        <w:rPr>
          <w:sz w:val="18"/>
        </w:rPr>
        <w:t>as</w:t>
      </w:r>
      <w:r>
        <w:rPr>
          <w:spacing w:val="-3"/>
          <w:sz w:val="18"/>
        </w:rPr>
        <w:t> </w:t>
      </w:r>
      <w:r>
        <w:rPr>
          <w:sz w:val="18"/>
        </w:rPr>
        <w:t>parcelas</w:t>
      </w:r>
      <w:r>
        <w:rPr>
          <w:spacing w:val="-1"/>
          <w:sz w:val="18"/>
        </w:rPr>
        <w:t> </w:t>
      </w:r>
      <w:r>
        <w:rPr>
          <w:sz w:val="18"/>
        </w:rPr>
        <w:t>previstas</w:t>
      </w:r>
      <w:r>
        <w:rPr>
          <w:spacing w:val="-3"/>
          <w:sz w:val="18"/>
        </w:rPr>
        <w:t> </w:t>
      </w:r>
      <w:r>
        <w:rPr>
          <w:sz w:val="18"/>
        </w:rPr>
        <w:t>para</w:t>
      </w:r>
      <w:r>
        <w:rPr>
          <w:spacing w:val="-3"/>
          <w:sz w:val="18"/>
        </w:rPr>
        <w:t> </w:t>
      </w:r>
      <w:r>
        <w:rPr>
          <w:sz w:val="18"/>
        </w:rPr>
        <w:t>os</w:t>
      </w:r>
      <w:r>
        <w:rPr>
          <w:spacing w:val="-3"/>
          <w:sz w:val="18"/>
        </w:rPr>
        <w:t> </w:t>
      </w:r>
      <w:r>
        <w:rPr>
          <w:sz w:val="18"/>
        </w:rPr>
        <w:t>meses</w:t>
      </w:r>
      <w:r>
        <w:rPr>
          <w:spacing w:val="-3"/>
          <w:sz w:val="18"/>
        </w:rPr>
        <w:t> </w:t>
      </w:r>
      <w:r>
        <w:rPr>
          <w:sz w:val="18"/>
        </w:rPr>
        <w:t>de</w:t>
      </w:r>
      <w:r>
        <w:rPr>
          <w:spacing w:val="-3"/>
          <w:sz w:val="18"/>
        </w:rPr>
        <w:t> </w:t>
      </w:r>
      <w:r>
        <w:rPr>
          <w:sz w:val="18"/>
        </w:rPr>
        <w:t>junho</w:t>
      </w:r>
      <w:r>
        <w:rPr>
          <w:spacing w:val="-2"/>
          <w:sz w:val="18"/>
        </w:rPr>
        <w:t> </w:t>
      </w:r>
      <w:r>
        <w:rPr>
          <w:sz w:val="18"/>
        </w:rPr>
        <w:t>a</w:t>
      </w:r>
      <w:r>
        <w:rPr>
          <w:spacing w:val="-5"/>
          <w:sz w:val="18"/>
        </w:rPr>
        <w:t> </w:t>
      </w:r>
      <w:r>
        <w:rPr>
          <w:sz w:val="18"/>
        </w:rPr>
        <w:t>dezembro</w:t>
      </w:r>
      <w:r>
        <w:rPr>
          <w:spacing w:val="-2"/>
          <w:sz w:val="18"/>
        </w:rPr>
        <w:t> </w:t>
      </w:r>
      <w:r>
        <w:rPr>
          <w:sz w:val="18"/>
        </w:rPr>
        <w:t>de</w:t>
      </w:r>
      <w:r>
        <w:rPr>
          <w:spacing w:val="-3"/>
          <w:sz w:val="18"/>
        </w:rPr>
        <w:t> </w:t>
      </w:r>
      <w:r>
        <w:rPr>
          <w:sz w:val="18"/>
        </w:rPr>
        <w:t>2020,</w:t>
      </w:r>
      <w:r>
        <w:rPr>
          <w:spacing w:val="-2"/>
          <w:sz w:val="18"/>
        </w:rPr>
        <w:t> </w:t>
      </w:r>
      <w:r>
        <w:rPr>
          <w:sz w:val="18"/>
        </w:rPr>
        <w:t>com</w:t>
      </w:r>
      <w:r>
        <w:rPr>
          <w:spacing w:val="-2"/>
          <w:sz w:val="18"/>
        </w:rPr>
        <w:t> </w:t>
      </w:r>
      <w:r>
        <w:rPr>
          <w:sz w:val="18"/>
        </w:rPr>
        <w:t>a</w:t>
      </w:r>
      <w:r>
        <w:rPr>
          <w:spacing w:val="-4"/>
          <w:sz w:val="18"/>
        </w:rPr>
        <w:t> </w:t>
      </w:r>
      <w:r>
        <w:rPr>
          <w:sz w:val="18"/>
        </w:rPr>
        <w:t>utilização</w:t>
      </w:r>
      <w:r>
        <w:rPr>
          <w:spacing w:val="-4"/>
          <w:sz w:val="18"/>
        </w:rPr>
        <w:t> </w:t>
      </w:r>
      <w:r>
        <w:rPr>
          <w:sz w:val="18"/>
        </w:rPr>
        <w:t>de</w:t>
      </w:r>
      <w:r>
        <w:rPr>
          <w:spacing w:val="-3"/>
          <w:sz w:val="18"/>
        </w:rPr>
        <w:t> </w:t>
      </w:r>
      <w:r>
        <w:rPr>
          <w:sz w:val="18"/>
        </w:rPr>
        <w:t>recursos</w:t>
      </w:r>
      <w:r>
        <w:rPr>
          <w:spacing w:val="-3"/>
          <w:sz w:val="18"/>
        </w:rPr>
        <w:t> </w:t>
      </w:r>
      <w:r>
        <w:rPr>
          <w:sz w:val="18"/>
        </w:rPr>
        <w:t>de</w:t>
      </w:r>
      <w:r>
        <w:rPr>
          <w:spacing w:val="-3"/>
          <w:sz w:val="18"/>
        </w:rPr>
        <w:t> </w:t>
      </w:r>
      <w:r>
        <w:rPr>
          <w:sz w:val="18"/>
        </w:rPr>
        <w:t>seu</w:t>
      </w:r>
      <w:r>
        <w:rPr>
          <w:spacing w:val="-3"/>
          <w:sz w:val="18"/>
        </w:rPr>
        <w:t> </w:t>
      </w:r>
      <w:r>
        <w:rPr>
          <w:sz w:val="18"/>
        </w:rPr>
        <w:t>superávit</w:t>
      </w:r>
      <w:r>
        <w:rPr>
          <w:spacing w:val="-2"/>
          <w:sz w:val="18"/>
        </w:rPr>
        <w:t> </w:t>
      </w:r>
      <w:r>
        <w:rPr>
          <w:sz w:val="18"/>
        </w:rPr>
        <w:t>financeiro</w:t>
      </w:r>
      <w:r>
        <w:rPr>
          <w:spacing w:val="-2"/>
          <w:sz w:val="18"/>
        </w:rPr>
        <w:t> </w:t>
      </w:r>
      <w:r>
        <w:rPr>
          <w:sz w:val="18"/>
        </w:rPr>
        <w:t>contabilizado</w:t>
      </w:r>
      <w:r>
        <w:rPr>
          <w:spacing w:val="-2"/>
          <w:sz w:val="18"/>
        </w:rPr>
        <w:t> </w:t>
      </w:r>
      <w:r>
        <w:rPr>
          <w:sz w:val="18"/>
        </w:rPr>
        <w:t>no</w:t>
      </w:r>
      <w:r>
        <w:rPr>
          <w:spacing w:val="-2"/>
          <w:sz w:val="18"/>
        </w:rPr>
        <w:t> </w:t>
      </w:r>
      <w:r>
        <w:rPr>
          <w:sz w:val="18"/>
        </w:rPr>
        <w:t>balanço patrimonial de 31 de dezembro de 2019 (DPOBR Nº 0102-10/2020, de 19 de junho de 2020).</w:t>
      </w:r>
    </w:p>
    <w:p>
      <w:pPr>
        <w:spacing w:after="0"/>
        <w:jc w:val="both"/>
        <w:rPr>
          <w:sz w:val="18"/>
        </w:rPr>
        <w:sectPr>
          <w:headerReference w:type="default" r:id="rId50"/>
          <w:footerReference w:type="default" r:id="rId51"/>
          <w:pgSz w:w="16840" w:h="11910" w:orient="landscape"/>
          <w:pgMar w:header="0" w:footer="261" w:top="680" w:bottom="460" w:left="0" w:right="0"/>
        </w:sectPr>
      </w:pPr>
    </w:p>
    <w:p>
      <w:pPr>
        <w:pStyle w:val="Heading3"/>
        <w:numPr>
          <w:ilvl w:val="0"/>
          <w:numId w:val="3"/>
        </w:numPr>
        <w:tabs>
          <w:tab w:pos="398" w:val="left" w:leader="none"/>
        </w:tabs>
        <w:spacing w:line="240" w:lineRule="auto" w:before="17" w:after="0"/>
        <w:ind w:left="397" w:right="0" w:hanging="280"/>
        <w:jc w:val="left"/>
      </w:pPr>
      <w:bookmarkStart w:name="_bookmark19" w:id="20"/>
      <w:bookmarkEnd w:id="20"/>
      <w:r>
        <w:rPr>
          <w:color w:val="006666"/>
          <w:spacing w:val="-2"/>
        </w:rPr>
        <w:t>ANE</w:t>
      </w:r>
      <w:r>
        <w:rPr>
          <w:color w:val="006666"/>
          <w:spacing w:val="-2"/>
        </w:rPr>
        <w:t>XOS</w:t>
      </w:r>
    </w:p>
    <w:p>
      <w:pPr>
        <w:pStyle w:val="BodyText"/>
        <w:rPr>
          <w:b/>
          <w:sz w:val="28"/>
        </w:rPr>
      </w:pPr>
    </w:p>
    <w:p>
      <w:pPr>
        <w:pStyle w:val="BodyText"/>
        <w:rPr>
          <w:b/>
          <w:sz w:val="28"/>
        </w:rPr>
      </w:pPr>
    </w:p>
    <w:p>
      <w:pPr>
        <w:pStyle w:val="BodyText"/>
        <w:tabs>
          <w:tab w:pos="2104" w:val="left" w:leader="none"/>
        </w:tabs>
        <w:spacing w:line="360" w:lineRule="auto" w:before="172"/>
        <w:ind w:left="2104" w:right="113" w:hanging="1986"/>
      </w:pPr>
      <w:r>
        <w:rPr/>
        <w:t>Anexo 1</w:t>
        <w:tab/>
        <w:t>Demonstrativo Comparativo da Reprogramação do Plano de Ação CAU 2020 (Programação 2020 X Reprogramação 2020).</w:t>
      </w:r>
    </w:p>
    <w:p>
      <w:pPr>
        <w:pStyle w:val="BodyText"/>
        <w:tabs>
          <w:tab w:pos="2104" w:val="left" w:leader="none"/>
        </w:tabs>
        <w:spacing w:line="491" w:lineRule="auto" w:before="160"/>
        <w:ind w:left="118" w:right="1680"/>
      </w:pPr>
      <w:r>
        <w:rPr/>
        <w:t>Anexo 2</w:t>
        <w:tab/>
        <w:t>Demonstrativo das Fontes de Receitas dos CAU/UF e CAU/BR. Anexo 3</w:t>
        <w:tab/>
        <w:t>Demonstrativo</w:t>
      </w:r>
      <w:r>
        <w:rPr>
          <w:spacing w:val="-7"/>
        </w:rPr>
        <w:t> </w:t>
      </w:r>
      <w:r>
        <w:rPr/>
        <w:t>das</w:t>
      </w:r>
      <w:r>
        <w:rPr>
          <w:spacing w:val="-6"/>
        </w:rPr>
        <w:t> </w:t>
      </w:r>
      <w:r>
        <w:rPr/>
        <w:t>Aplicações</w:t>
      </w:r>
      <w:r>
        <w:rPr>
          <w:spacing w:val="-5"/>
        </w:rPr>
        <w:t> </w:t>
      </w:r>
      <w:r>
        <w:rPr/>
        <w:t>Totais</w:t>
      </w:r>
      <w:r>
        <w:rPr>
          <w:spacing w:val="-6"/>
        </w:rPr>
        <w:t> </w:t>
      </w:r>
      <w:r>
        <w:rPr/>
        <w:t>por</w:t>
      </w:r>
      <w:r>
        <w:rPr>
          <w:spacing w:val="-5"/>
        </w:rPr>
        <w:t> </w:t>
      </w:r>
      <w:r>
        <w:rPr/>
        <w:t>Iniciativa</w:t>
      </w:r>
      <w:r>
        <w:rPr>
          <w:spacing w:val="-6"/>
        </w:rPr>
        <w:t> </w:t>
      </w:r>
      <w:r>
        <w:rPr/>
        <w:t>Estratégica.</w:t>
      </w:r>
    </w:p>
    <w:p>
      <w:pPr>
        <w:pStyle w:val="BodyText"/>
        <w:tabs>
          <w:tab w:pos="2104" w:val="left" w:leader="none"/>
        </w:tabs>
        <w:spacing w:line="360" w:lineRule="auto"/>
        <w:ind w:left="2104" w:right="113" w:hanging="1986"/>
      </w:pPr>
      <w:r>
        <w:rPr/>
        <w:t>Anexo 3.1</w:t>
        <w:tab/>
        <w:t>Demonstrativo</w:t>
      </w:r>
      <w:r>
        <w:rPr>
          <w:spacing w:val="40"/>
        </w:rPr>
        <w:t> </w:t>
      </w:r>
      <w:r>
        <w:rPr/>
        <w:t>das</w:t>
      </w:r>
      <w:r>
        <w:rPr>
          <w:spacing w:val="40"/>
        </w:rPr>
        <w:t> </w:t>
      </w:r>
      <w:r>
        <w:rPr/>
        <w:t>Aplicações</w:t>
      </w:r>
      <w:r>
        <w:rPr>
          <w:spacing w:val="80"/>
        </w:rPr>
        <w:t> </w:t>
      </w:r>
      <w:r>
        <w:rPr/>
        <w:t>por</w:t>
      </w:r>
      <w:r>
        <w:rPr>
          <w:spacing w:val="80"/>
        </w:rPr>
        <w:t> </w:t>
      </w:r>
      <w:r>
        <w:rPr/>
        <w:t>Iniciativa</w:t>
      </w:r>
      <w:r>
        <w:rPr>
          <w:spacing w:val="40"/>
        </w:rPr>
        <w:t> </w:t>
      </w:r>
      <w:r>
        <w:rPr/>
        <w:t>Estratégica</w:t>
      </w:r>
      <w:r>
        <w:rPr>
          <w:spacing w:val="40"/>
        </w:rPr>
        <w:t> </w:t>
      </w:r>
      <w:r>
        <w:rPr/>
        <w:t>da</w:t>
      </w:r>
      <w:r>
        <w:rPr>
          <w:spacing w:val="40"/>
        </w:rPr>
        <w:t> </w:t>
      </w:r>
      <w:r>
        <w:rPr/>
        <w:t>Programação</w:t>
      </w:r>
      <w:r>
        <w:rPr>
          <w:spacing w:val="40"/>
        </w:rPr>
        <w:t> </w:t>
      </w:r>
      <w:r>
        <w:rPr/>
        <w:t>Operacional, Fundo de Apoio, Contribuição CSC e Reserva de Contingência.</w:t>
      </w:r>
    </w:p>
    <w:p>
      <w:pPr>
        <w:pStyle w:val="BodyText"/>
        <w:tabs>
          <w:tab w:pos="2104" w:val="left" w:leader="none"/>
        </w:tabs>
        <w:spacing w:line="360" w:lineRule="auto" w:before="160"/>
        <w:ind w:left="2104" w:right="113" w:hanging="1986"/>
      </w:pPr>
      <w:r>
        <w:rPr/>
        <w:t>Anexo 4</w:t>
        <w:tab/>
        <w:t>Demonstrativo</w:t>
      </w:r>
      <w:r>
        <w:rPr>
          <w:spacing w:val="40"/>
        </w:rPr>
        <w:t> </w:t>
      </w:r>
      <w:r>
        <w:rPr/>
        <w:t>das</w:t>
      </w:r>
      <w:r>
        <w:rPr>
          <w:spacing w:val="40"/>
        </w:rPr>
        <w:t> </w:t>
      </w:r>
      <w:r>
        <w:rPr/>
        <w:t>Aplicações</w:t>
      </w:r>
      <w:r>
        <w:rPr>
          <w:spacing w:val="40"/>
        </w:rPr>
        <w:t> </w:t>
      </w:r>
      <w:r>
        <w:rPr/>
        <w:t>por</w:t>
      </w:r>
      <w:r>
        <w:rPr>
          <w:spacing w:val="40"/>
        </w:rPr>
        <w:t> </w:t>
      </w:r>
      <w:r>
        <w:rPr/>
        <w:t>Elementos</w:t>
      </w:r>
      <w:r>
        <w:rPr>
          <w:spacing w:val="40"/>
        </w:rPr>
        <w:t> </w:t>
      </w:r>
      <w:r>
        <w:rPr/>
        <w:t>de</w:t>
      </w:r>
      <w:r>
        <w:rPr>
          <w:spacing w:val="40"/>
        </w:rPr>
        <w:t> </w:t>
      </w:r>
      <w:r>
        <w:rPr/>
        <w:t>Despesas</w:t>
      </w:r>
      <w:r>
        <w:rPr>
          <w:spacing w:val="40"/>
        </w:rPr>
        <w:t> </w:t>
      </w:r>
      <w:r>
        <w:rPr/>
        <w:t>dos</w:t>
      </w:r>
      <w:r>
        <w:rPr>
          <w:spacing w:val="40"/>
        </w:rPr>
        <w:t> </w:t>
      </w:r>
      <w:r>
        <w:rPr/>
        <w:t>CAU/UF</w:t>
      </w:r>
      <w:r>
        <w:rPr>
          <w:spacing w:val="40"/>
        </w:rPr>
        <w:t> </w:t>
      </w:r>
      <w:r>
        <w:rPr/>
        <w:t>e </w:t>
      </w:r>
      <w:r>
        <w:rPr>
          <w:spacing w:val="-2"/>
        </w:rPr>
        <w:t>CAU/BR.</w:t>
      </w:r>
    </w:p>
    <w:p>
      <w:pPr>
        <w:pStyle w:val="BodyText"/>
        <w:tabs>
          <w:tab w:pos="2104" w:val="left" w:leader="none"/>
        </w:tabs>
        <w:spacing w:line="360" w:lineRule="auto" w:before="160"/>
        <w:ind w:left="2104" w:right="107" w:hanging="1986"/>
      </w:pPr>
      <w:r>
        <w:rPr/>
        <w:t>Anexo 5</w:t>
        <w:tab/>
        <w:t>Demonstrativo</w:t>
      </w:r>
      <w:r>
        <w:rPr>
          <w:spacing w:val="-11"/>
        </w:rPr>
        <w:t> </w:t>
      </w:r>
      <w:r>
        <w:rPr/>
        <w:t>Comparativo</w:t>
      </w:r>
      <w:r>
        <w:rPr>
          <w:spacing w:val="-11"/>
        </w:rPr>
        <w:t> </w:t>
      </w:r>
      <w:r>
        <w:rPr/>
        <w:t>dos</w:t>
      </w:r>
      <w:r>
        <w:rPr>
          <w:spacing w:val="-11"/>
        </w:rPr>
        <w:t> </w:t>
      </w:r>
      <w:r>
        <w:rPr/>
        <w:t>Limites</w:t>
      </w:r>
      <w:r>
        <w:rPr>
          <w:spacing w:val="-14"/>
        </w:rPr>
        <w:t> </w:t>
      </w:r>
      <w:r>
        <w:rPr/>
        <w:t>de</w:t>
      </w:r>
      <w:r>
        <w:rPr>
          <w:spacing w:val="-12"/>
        </w:rPr>
        <w:t> </w:t>
      </w:r>
      <w:r>
        <w:rPr/>
        <w:t>Destinação</w:t>
      </w:r>
      <w:r>
        <w:rPr>
          <w:spacing w:val="-11"/>
        </w:rPr>
        <w:t> </w:t>
      </w:r>
      <w:r>
        <w:rPr/>
        <w:t>Estratégica</w:t>
      </w:r>
      <w:r>
        <w:rPr>
          <w:spacing w:val="-12"/>
        </w:rPr>
        <w:t> </w:t>
      </w:r>
      <w:r>
        <w:rPr/>
        <w:t>de</w:t>
      </w:r>
      <w:r>
        <w:rPr>
          <w:spacing w:val="-14"/>
        </w:rPr>
        <w:t> </w:t>
      </w:r>
      <w:r>
        <w:rPr/>
        <w:t>Recursos dos CAU/UF e CAU/BR (Receitas Correntes X Despesas com Pessoal).</w:t>
      </w:r>
    </w:p>
    <w:p>
      <w:pPr>
        <w:pStyle w:val="BodyText"/>
        <w:tabs>
          <w:tab w:pos="2104" w:val="left" w:leader="none"/>
        </w:tabs>
        <w:spacing w:line="362" w:lineRule="auto" w:before="158"/>
        <w:ind w:left="2104" w:right="107" w:hanging="1986"/>
      </w:pPr>
      <w:r>
        <w:rPr/>
        <w:t>Anexo 6</w:t>
        <w:tab/>
        <w:t>Demonstrativo</w:t>
      </w:r>
      <w:r>
        <w:rPr>
          <w:spacing w:val="-3"/>
        </w:rPr>
        <w:t> </w:t>
      </w:r>
      <w:r>
        <w:rPr/>
        <w:t>dos</w:t>
      </w:r>
      <w:r>
        <w:rPr>
          <w:spacing w:val="-1"/>
        </w:rPr>
        <w:t> </w:t>
      </w:r>
      <w:r>
        <w:rPr/>
        <w:t>Limites</w:t>
      </w:r>
      <w:r>
        <w:rPr>
          <w:spacing w:val="-1"/>
        </w:rPr>
        <w:t> </w:t>
      </w:r>
      <w:r>
        <w:rPr/>
        <w:t>de</w:t>
      </w:r>
      <w:r>
        <w:rPr>
          <w:spacing w:val="-3"/>
        </w:rPr>
        <w:t> </w:t>
      </w:r>
      <w:r>
        <w:rPr/>
        <w:t>Destinação</w:t>
      </w:r>
      <w:r>
        <w:rPr>
          <w:spacing w:val="-3"/>
        </w:rPr>
        <w:t> </w:t>
      </w:r>
      <w:r>
        <w:rPr/>
        <w:t>Estratégica</w:t>
      </w:r>
      <w:r>
        <w:rPr>
          <w:spacing w:val="-1"/>
        </w:rPr>
        <w:t> </w:t>
      </w:r>
      <w:r>
        <w:rPr/>
        <w:t>de</w:t>
      </w:r>
      <w:r>
        <w:rPr>
          <w:spacing w:val="-1"/>
        </w:rPr>
        <w:t> </w:t>
      </w:r>
      <w:r>
        <w:rPr/>
        <w:t>Recursos dos CAU/UF e CAU/BR (demais destinações).</w:t>
      </w:r>
    </w:p>
    <w:p>
      <w:pPr>
        <w:pStyle w:val="BodyText"/>
        <w:tabs>
          <w:tab w:pos="2104" w:val="left" w:leader="none"/>
        </w:tabs>
        <w:spacing w:line="360" w:lineRule="auto" w:before="155"/>
        <w:ind w:left="2104" w:right="113" w:hanging="1986"/>
      </w:pPr>
      <w:r>
        <w:rPr/>
        <w:t>Anexo 7</w:t>
        <w:tab/>
        <w:t>Reprogramações do Plano de Ação e Orçamento do CAU 2020 dos CAU/UF e CAU/BR (Links para acesso no Portal Transparência).</w:t>
      </w:r>
    </w:p>
    <w:p>
      <w:pPr>
        <w:spacing w:after="0" w:line="360" w:lineRule="auto"/>
        <w:sectPr>
          <w:headerReference w:type="default" r:id="rId54"/>
          <w:footerReference w:type="default" r:id="rId55"/>
          <w:pgSz w:w="11910" w:h="16840"/>
          <w:pgMar w:header="688" w:footer="261" w:top="1560" w:bottom="460" w:left="1300" w:right="740"/>
          <w:pgNumType w:start="25"/>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pPr>
      <w:r>
        <w:rPr>
          <w:color w:val="008080"/>
        </w:rPr>
        <w:t>ANEXO </w:t>
      </w:r>
      <w:r>
        <w:rPr>
          <w:color w:val="008080"/>
          <w:spacing w:val="-10"/>
        </w:rPr>
        <w:t>1</w:t>
      </w:r>
    </w:p>
    <w:p>
      <w:pPr>
        <w:pStyle w:val="BodyText"/>
        <w:rPr>
          <w:b/>
          <w:sz w:val="48"/>
        </w:rPr>
      </w:pPr>
    </w:p>
    <w:p>
      <w:pPr>
        <w:pStyle w:val="BodyText"/>
        <w:rPr>
          <w:b/>
          <w:sz w:val="48"/>
        </w:rPr>
      </w:pPr>
    </w:p>
    <w:p>
      <w:pPr>
        <w:pStyle w:val="Heading2"/>
        <w:spacing w:line="424" w:lineRule="auto"/>
        <w:ind w:left="553" w:right="547" w:firstLine="1"/>
      </w:pPr>
      <w:r>
        <w:rPr>
          <w:color w:val="008080"/>
        </w:rPr>
        <w:t>Demonstrativo Comparativo da Reprogramação</w:t>
      </w:r>
      <w:r>
        <w:rPr>
          <w:color w:val="008080"/>
          <w:spacing w:val="-5"/>
        </w:rPr>
        <w:t> </w:t>
      </w:r>
      <w:r>
        <w:rPr>
          <w:color w:val="008080"/>
        </w:rPr>
        <w:t>do</w:t>
      </w:r>
      <w:r>
        <w:rPr>
          <w:color w:val="008080"/>
          <w:spacing w:val="-7"/>
        </w:rPr>
        <w:t> </w:t>
      </w:r>
      <w:r>
        <w:rPr>
          <w:color w:val="008080"/>
        </w:rPr>
        <w:t>Plano</w:t>
      </w:r>
      <w:r>
        <w:rPr>
          <w:color w:val="008080"/>
          <w:spacing w:val="-7"/>
        </w:rPr>
        <w:t> </w:t>
      </w:r>
      <w:r>
        <w:rPr>
          <w:color w:val="008080"/>
        </w:rPr>
        <w:t>de</w:t>
      </w:r>
      <w:r>
        <w:rPr>
          <w:color w:val="008080"/>
          <w:spacing w:val="-8"/>
        </w:rPr>
        <w:t> </w:t>
      </w:r>
      <w:r>
        <w:rPr>
          <w:color w:val="008080"/>
        </w:rPr>
        <w:t>Ação</w:t>
      </w:r>
      <w:r>
        <w:rPr>
          <w:color w:val="008080"/>
          <w:spacing w:val="-7"/>
        </w:rPr>
        <w:t> </w:t>
      </w:r>
      <w:r>
        <w:rPr>
          <w:color w:val="008080"/>
        </w:rPr>
        <w:t>CAU</w:t>
      </w:r>
      <w:r>
        <w:rPr>
          <w:color w:val="008080"/>
          <w:spacing w:val="-7"/>
        </w:rPr>
        <w:t> </w:t>
      </w:r>
      <w:r>
        <w:rPr>
          <w:color w:val="008080"/>
        </w:rPr>
        <w:t>2020 (Programação</w:t>
      </w:r>
      <w:r>
        <w:rPr>
          <w:color w:val="008080"/>
          <w:spacing w:val="-4"/>
        </w:rPr>
        <w:t> </w:t>
      </w:r>
      <w:r>
        <w:rPr>
          <w:color w:val="008080"/>
        </w:rPr>
        <w:t>2020</w:t>
      </w:r>
      <w:r>
        <w:rPr>
          <w:color w:val="008080"/>
          <w:spacing w:val="-5"/>
        </w:rPr>
        <w:t> </w:t>
      </w:r>
      <w:r>
        <w:rPr>
          <w:color w:val="008080"/>
        </w:rPr>
        <w:t>X</w:t>
      </w:r>
      <w:r>
        <w:rPr>
          <w:color w:val="008080"/>
          <w:spacing w:val="-1"/>
        </w:rPr>
        <w:t> </w:t>
      </w:r>
      <w:r>
        <w:rPr>
          <w:color w:val="008080"/>
        </w:rPr>
        <w:t>Reprogramação</w:t>
      </w:r>
      <w:r>
        <w:rPr>
          <w:color w:val="008080"/>
          <w:spacing w:val="-2"/>
        </w:rPr>
        <w:t> 2020)</w:t>
      </w:r>
    </w:p>
    <w:p>
      <w:pPr>
        <w:spacing w:after="0" w:line="424" w:lineRule="auto"/>
        <w:sectPr>
          <w:pgSz w:w="11910" w:h="16840"/>
          <w:pgMar w:header="688" w:footer="261" w:top="1560" w:bottom="460" w:left="1300" w:right="740"/>
        </w:sectPr>
      </w:pPr>
    </w:p>
    <w:p>
      <w:pPr>
        <w:pStyle w:val="Heading5"/>
        <w:spacing w:before="17"/>
        <w:ind w:right="119"/>
      </w:pPr>
      <w:bookmarkStart w:name="_bookmark20" w:id="21"/>
      <w:bookmarkEnd w:id="21"/>
      <w:r>
        <w:rPr>
          <w:b w:val="0"/>
        </w:rPr>
      </w:r>
      <w:r>
        <w:rPr/>
        <w:t>Anexo</w:t>
      </w:r>
      <w:r>
        <w:rPr>
          <w:spacing w:val="-2"/>
        </w:rPr>
        <w:t> </w:t>
      </w:r>
      <w:r>
        <w:rPr/>
        <w:t>1.</w:t>
      </w:r>
      <w:r>
        <w:rPr>
          <w:spacing w:val="-2"/>
        </w:rPr>
        <w:t> </w:t>
      </w:r>
      <w:r>
        <w:rPr/>
        <w:t>Demonstrativo</w:t>
      </w:r>
      <w:r>
        <w:rPr>
          <w:spacing w:val="-5"/>
        </w:rPr>
        <w:t> </w:t>
      </w:r>
      <w:r>
        <w:rPr/>
        <w:t>Comparativo</w:t>
      </w:r>
      <w:r>
        <w:rPr>
          <w:spacing w:val="-5"/>
        </w:rPr>
        <w:t> </w:t>
      </w:r>
      <w:r>
        <w:rPr/>
        <w:t>da</w:t>
      </w:r>
      <w:r>
        <w:rPr>
          <w:spacing w:val="-4"/>
        </w:rPr>
        <w:t> </w:t>
      </w:r>
      <w:r>
        <w:rPr/>
        <w:t>Reprogramação</w:t>
      </w:r>
      <w:r>
        <w:rPr>
          <w:spacing w:val="-3"/>
        </w:rPr>
        <w:t> </w:t>
      </w:r>
      <w:r>
        <w:rPr/>
        <w:t>do</w:t>
      </w:r>
      <w:r>
        <w:rPr>
          <w:spacing w:val="-2"/>
        </w:rPr>
        <w:t> </w:t>
      </w:r>
      <w:r>
        <w:rPr/>
        <w:t>Plano</w:t>
      </w:r>
      <w:r>
        <w:rPr>
          <w:spacing w:val="-5"/>
        </w:rPr>
        <w:t> </w:t>
      </w:r>
      <w:r>
        <w:rPr/>
        <w:t>de</w:t>
      </w:r>
      <w:r>
        <w:rPr>
          <w:spacing w:val="-4"/>
        </w:rPr>
        <w:t> </w:t>
      </w:r>
      <w:r>
        <w:rPr/>
        <w:t>Ação</w:t>
      </w:r>
      <w:r>
        <w:rPr>
          <w:spacing w:val="-2"/>
        </w:rPr>
        <w:t> </w:t>
      </w:r>
      <w:r>
        <w:rPr/>
        <w:t>CAU</w:t>
      </w:r>
      <w:r>
        <w:rPr>
          <w:spacing w:val="-2"/>
        </w:rPr>
        <w:t> </w:t>
      </w:r>
      <w:r>
        <w:rPr>
          <w:spacing w:val="-4"/>
        </w:rPr>
        <w:t>2020</w:t>
      </w:r>
    </w:p>
    <w:p>
      <w:pPr>
        <w:spacing w:before="0"/>
        <w:ind w:left="0" w:right="109" w:firstLine="0"/>
        <w:jc w:val="right"/>
        <w:rPr>
          <w:b/>
          <w:sz w:val="24"/>
        </w:rPr>
      </w:pPr>
      <w:r>
        <w:rPr>
          <w:b/>
          <w:sz w:val="24"/>
        </w:rPr>
        <w:t>(Programação</w:t>
      </w:r>
      <w:r>
        <w:rPr>
          <w:b/>
          <w:spacing w:val="-4"/>
          <w:sz w:val="24"/>
        </w:rPr>
        <w:t> </w:t>
      </w:r>
      <w:r>
        <w:rPr>
          <w:b/>
          <w:sz w:val="24"/>
        </w:rPr>
        <w:t>2020</w:t>
      </w:r>
      <w:r>
        <w:rPr>
          <w:b/>
          <w:spacing w:val="-2"/>
          <w:sz w:val="24"/>
        </w:rPr>
        <w:t> </w:t>
      </w:r>
      <w:r>
        <w:rPr>
          <w:b/>
          <w:sz w:val="24"/>
        </w:rPr>
        <w:t>X</w:t>
      </w:r>
      <w:r>
        <w:rPr>
          <w:b/>
          <w:spacing w:val="-3"/>
          <w:sz w:val="24"/>
        </w:rPr>
        <w:t> </w:t>
      </w:r>
      <w:r>
        <w:rPr>
          <w:b/>
          <w:sz w:val="24"/>
        </w:rPr>
        <w:t>Reprogramação</w:t>
      </w:r>
      <w:r>
        <w:rPr>
          <w:b/>
          <w:spacing w:val="-3"/>
          <w:sz w:val="24"/>
        </w:rPr>
        <w:t> </w:t>
      </w:r>
      <w:r>
        <w:rPr>
          <w:b/>
          <w:spacing w:val="-4"/>
          <w:sz w:val="24"/>
        </w:rPr>
        <w:t>2020)</w:t>
      </w:r>
    </w:p>
    <w:p>
      <w:pPr>
        <w:pStyle w:val="BodyText"/>
        <w:ind w:left="118"/>
        <w:rPr>
          <w:sz w:val="20"/>
        </w:rPr>
      </w:pPr>
      <w:r>
        <w:rPr>
          <w:sz w:val="20"/>
        </w:rPr>
        <w:drawing>
          <wp:inline distT="0" distB="0" distL="0" distR="0">
            <wp:extent cx="6008562" cy="7341870"/>
            <wp:effectExtent l="0" t="0" r="0" b="0"/>
            <wp:docPr id="27" name="image46.jpeg"/>
            <wp:cNvGraphicFramePr>
              <a:graphicFrameLocks noChangeAspect="1"/>
            </wp:cNvGraphicFramePr>
            <a:graphic>
              <a:graphicData uri="http://schemas.openxmlformats.org/drawingml/2006/picture">
                <pic:pic>
                  <pic:nvPicPr>
                    <pic:cNvPr id="28" name="image46.jpeg"/>
                    <pic:cNvPicPr/>
                  </pic:nvPicPr>
                  <pic:blipFill>
                    <a:blip r:embed="rId56" cstate="print"/>
                    <a:stretch>
                      <a:fillRect/>
                    </a:stretch>
                  </pic:blipFill>
                  <pic:spPr>
                    <a:xfrm>
                      <a:off x="0" y="0"/>
                      <a:ext cx="6008562" cy="7341870"/>
                    </a:xfrm>
                    <a:prstGeom prst="rect">
                      <a:avLst/>
                    </a:prstGeom>
                  </pic:spPr>
                </pic:pic>
              </a:graphicData>
            </a:graphic>
          </wp:inline>
        </w:drawing>
      </w:r>
      <w:r>
        <w:rPr>
          <w:sz w:val="20"/>
        </w:rPr>
      </w:r>
    </w:p>
    <w:p>
      <w:pPr>
        <w:pStyle w:val="BodyText"/>
        <w:spacing w:before="10"/>
        <w:rPr>
          <w:b/>
          <w:sz w:val="18"/>
        </w:rPr>
      </w:pPr>
    </w:p>
    <w:p>
      <w:pPr>
        <w:spacing w:before="0"/>
        <w:ind w:left="118" w:right="105" w:firstLine="0"/>
        <w:jc w:val="both"/>
        <w:rPr>
          <w:sz w:val="18"/>
        </w:rPr>
      </w:pPr>
      <w:r>
        <w:rPr>
          <w:sz w:val="18"/>
        </w:rPr>
        <w:t>*</w:t>
      </w:r>
      <w:r>
        <w:rPr>
          <w:spacing w:val="40"/>
          <w:sz w:val="18"/>
        </w:rPr>
        <w:t> </w:t>
      </w:r>
      <w:r>
        <w:rPr>
          <w:sz w:val="18"/>
        </w:rPr>
        <w:t>Os</w:t>
      </w:r>
      <w:r>
        <w:rPr>
          <w:spacing w:val="-1"/>
          <w:sz w:val="18"/>
        </w:rPr>
        <w:t> </w:t>
      </w:r>
      <w:r>
        <w:rPr>
          <w:sz w:val="18"/>
        </w:rPr>
        <w:t>dados</w:t>
      </w:r>
      <w:r>
        <w:rPr>
          <w:spacing w:val="-1"/>
          <w:sz w:val="18"/>
        </w:rPr>
        <w:t> </w:t>
      </w:r>
      <w:r>
        <w:rPr>
          <w:sz w:val="18"/>
        </w:rPr>
        <w:t>dos</w:t>
      </w:r>
      <w:r>
        <w:rPr>
          <w:spacing w:val="-1"/>
          <w:sz w:val="18"/>
        </w:rPr>
        <w:t> </w:t>
      </w:r>
      <w:r>
        <w:rPr>
          <w:sz w:val="18"/>
        </w:rPr>
        <w:t>CAU/PI e</w:t>
      </w:r>
      <w:r>
        <w:rPr>
          <w:spacing w:val="-1"/>
          <w:sz w:val="18"/>
        </w:rPr>
        <w:t> </w:t>
      </w:r>
      <w:r>
        <w:rPr>
          <w:sz w:val="18"/>
        </w:rPr>
        <w:t>CAU/DF, no tocante</w:t>
      </w:r>
      <w:r>
        <w:rPr>
          <w:spacing w:val="-1"/>
          <w:sz w:val="18"/>
        </w:rPr>
        <w:t> </w:t>
      </w:r>
      <w:r>
        <w:rPr>
          <w:sz w:val="18"/>
        </w:rPr>
        <w:t>à Programação 2020, estão em conformidade</w:t>
      </w:r>
      <w:r>
        <w:rPr>
          <w:spacing w:val="-1"/>
          <w:sz w:val="18"/>
        </w:rPr>
        <w:t> </w:t>
      </w:r>
      <w:r>
        <w:rPr>
          <w:sz w:val="18"/>
        </w:rPr>
        <w:t>com as</w:t>
      </w:r>
      <w:r>
        <w:rPr>
          <w:spacing w:val="-1"/>
          <w:sz w:val="18"/>
        </w:rPr>
        <w:t> </w:t>
      </w:r>
      <w:r>
        <w:rPr>
          <w:sz w:val="18"/>
        </w:rPr>
        <w:t>propostas</w:t>
      </w:r>
      <w:r>
        <w:rPr>
          <w:spacing w:val="-1"/>
          <w:sz w:val="18"/>
        </w:rPr>
        <w:t> </w:t>
      </w:r>
      <w:r>
        <w:rPr>
          <w:sz w:val="18"/>
        </w:rPr>
        <w:t>das</w:t>
      </w:r>
      <w:r>
        <w:rPr>
          <w:spacing w:val="-1"/>
          <w:sz w:val="18"/>
        </w:rPr>
        <w:t> </w:t>
      </w:r>
      <w:r>
        <w:rPr>
          <w:sz w:val="18"/>
        </w:rPr>
        <w:t>Reprogramações Extraordinárias aprovadas para esses CAU/UF, uma vez que ocorreram em data anterior à Reprogramação Ordinária e para os CAU/AM, CAU/AL, CAU/CE, CAU/ES, CAU/RN constam as informações da Reprogramação Ordinária aprovada em agosto/20. Na Reprogramação 2020, constam aprovados fora do fluxo da Reprogramação Ordinária aprovada em agosto, o CAU/PA aprovado na 104ª</w:t>
      </w:r>
      <w:r>
        <w:rPr>
          <w:spacing w:val="-1"/>
          <w:sz w:val="18"/>
        </w:rPr>
        <w:t> </w:t>
      </w:r>
      <w:r>
        <w:rPr>
          <w:sz w:val="18"/>
        </w:rPr>
        <w:t>Reunião Plenária Ordinária, de</w:t>
      </w:r>
      <w:r>
        <w:rPr>
          <w:spacing w:val="-1"/>
          <w:sz w:val="18"/>
        </w:rPr>
        <w:t> </w:t>
      </w:r>
      <w:r>
        <w:rPr>
          <w:sz w:val="18"/>
        </w:rPr>
        <w:t>24 de</w:t>
      </w:r>
      <w:r>
        <w:rPr>
          <w:spacing w:val="-1"/>
          <w:sz w:val="18"/>
        </w:rPr>
        <w:t> </w:t>
      </w:r>
      <w:r>
        <w:rPr>
          <w:sz w:val="18"/>
        </w:rPr>
        <w:t>setembro de</w:t>
      </w:r>
      <w:r>
        <w:rPr>
          <w:spacing w:val="-1"/>
          <w:sz w:val="18"/>
        </w:rPr>
        <w:t> </w:t>
      </w:r>
      <w:r>
        <w:rPr>
          <w:sz w:val="18"/>
        </w:rPr>
        <w:t>2020,</w:t>
      </w:r>
      <w:r>
        <w:rPr>
          <w:spacing w:val="40"/>
          <w:sz w:val="18"/>
        </w:rPr>
        <w:t> </w:t>
      </w:r>
      <w:r>
        <w:rPr>
          <w:sz w:val="18"/>
        </w:rPr>
        <w:t>o CAU/MA, na 105ª</w:t>
      </w:r>
      <w:r>
        <w:rPr>
          <w:spacing w:val="-1"/>
          <w:sz w:val="18"/>
        </w:rPr>
        <w:t> </w:t>
      </w:r>
      <w:r>
        <w:rPr>
          <w:sz w:val="18"/>
        </w:rPr>
        <w:t>Reunião Plenária Ordinária, de</w:t>
      </w:r>
      <w:r>
        <w:rPr>
          <w:spacing w:val="-1"/>
          <w:sz w:val="18"/>
        </w:rPr>
        <w:t> </w:t>
      </w:r>
      <w:r>
        <w:rPr>
          <w:sz w:val="18"/>
        </w:rPr>
        <w:t>23 de</w:t>
      </w:r>
      <w:r>
        <w:rPr>
          <w:spacing w:val="-1"/>
          <w:sz w:val="18"/>
        </w:rPr>
        <w:t> </w:t>
      </w:r>
      <w:r>
        <w:rPr>
          <w:sz w:val="18"/>
        </w:rPr>
        <w:t>outubro de 2020 e as Reprogramações Extraordinárias dos CAU/AM, CAU/AL, CAU/CE, CAU/ES, CAU/RN, aprovadas na Reunião Plenária Ordinária n° 106, de 19 de novembro de 2020.</w:t>
      </w:r>
    </w:p>
    <w:p>
      <w:pPr>
        <w:spacing w:after="0"/>
        <w:jc w:val="both"/>
        <w:rPr>
          <w:sz w:val="18"/>
        </w:rPr>
        <w:sectPr>
          <w:pgSz w:w="11910" w:h="16840"/>
          <w:pgMar w:header="688" w:footer="261" w:top="1560" w:bottom="460" w:left="130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Heading1"/>
      </w:pPr>
      <w:r>
        <w:rPr>
          <w:color w:val="008080"/>
        </w:rPr>
        <w:t>ANEXO </w:t>
      </w:r>
      <w:r>
        <w:rPr>
          <w:color w:val="008080"/>
          <w:spacing w:val="-10"/>
        </w:rPr>
        <w:t>2</w:t>
      </w:r>
    </w:p>
    <w:p>
      <w:pPr>
        <w:pStyle w:val="BodyText"/>
        <w:rPr>
          <w:b/>
          <w:sz w:val="48"/>
        </w:rPr>
      </w:pPr>
    </w:p>
    <w:p>
      <w:pPr>
        <w:pStyle w:val="BodyText"/>
        <w:rPr>
          <w:b/>
          <w:sz w:val="48"/>
        </w:rPr>
      </w:pPr>
    </w:p>
    <w:p>
      <w:pPr>
        <w:pStyle w:val="Heading2"/>
        <w:spacing w:line="360" w:lineRule="auto"/>
        <w:ind w:left="678" w:right="669"/>
      </w:pPr>
      <w:r>
        <w:rPr>
          <w:color w:val="008080"/>
        </w:rPr>
        <w:t>Demonstrativo</w:t>
      </w:r>
      <w:r>
        <w:rPr>
          <w:color w:val="008080"/>
          <w:spacing w:val="-8"/>
        </w:rPr>
        <w:t> </w:t>
      </w:r>
      <w:r>
        <w:rPr>
          <w:color w:val="008080"/>
        </w:rPr>
        <w:t>Comparativo</w:t>
      </w:r>
      <w:r>
        <w:rPr>
          <w:color w:val="008080"/>
          <w:spacing w:val="-8"/>
        </w:rPr>
        <w:t> </w:t>
      </w:r>
      <w:r>
        <w:rPr>
          <w:color w:val="008080"/>
        </w:rPr>
        <w:t>das</w:t>
      </w:r>
      <w:r>
        <w:rPr>
          <w:color w:val="008080"/>
          <w:spacing w:val="-8"/>
        </w:rPr>
        <w:t> </w:t>
      </w:r>
      <w:r>
        <w:rPr>
          <w:color w:val="008080"/>
        </w:rPr>
        <w:t>Fontes</w:t>
      </w:r>
      <w:r>
        <w:rPr>
          <w:color w:val="008080"/>
          <w:spacing w:val="-8"/>
        </w:rPr>
        <w:t> </w:t>
      </w:r>
      <w:r>
        <w:rPr>
          <w:color w:val="008080"/>
        </w:rPr>
        <w:t>de Receitas dos CAU/UF e CAU/BR.</w:t>
      </w:r>
    </w:p>
    <w:p>
      <w:pPr>
        <w:spacing w:after="0" w:line="360" w:lineRule="auto"/>
        <w:sectPr>
          <w:pgSz w:w="11910" w:h="16840"/>
          <w:pgMar w:header="688" w:footer="261" w:top="1560" w:bottom="460" w:left="1300" w:right="740"/>
        </w:sectPr>
      </w:pPr>
    </w:p>
    <w:p>
      <w:pPr>
        <w:pStyle w:val="BodyText"/>
        <w:rPr>
          <w:b/>
          <w:sz w:val="20"/>
        </w:rPr>
      </w:pPr>
    </w:p>
    <w:p>
      <w:pPr>
        <w:pStyle w:val="BodyText"/>
        <w:rPr>
          <w:b/>
          <w:sz w:val="20"/>
        </w:rPr>
      </w:pPr>
    </w:p>
    <w:p>
      <w:pPr>
        <w:pStyle w:val="BodyText"/>
        <w:rPr>
          <w:b/>
          <w:sz w:val="20"/>
        </w:rPr>
      </w:pPr>
    </w:p>
    <w:p>
      <w:pPr>
        <w:pStyle w:val="Heading5"/>
        <w:spacing w:before="177"/>
        <w:ind w:left="7765"/>
        <w:jc w:val="left"/>
      </w:pPr>
      <w:r>
        <w:rPr/>
        <w:drawing>
          <wp:anchor distT="0" distB="0" distL="0" distR="0" allowOverlap="1" layoutInCell="1" locked="0" behindDoc="0" simplePos="0" relativeHeight="15732736">
            <wp:simplePos x="0" y="0"/>
            <wp:positionH relativeFrom="page">
              <wp:posOffset>0</wp:posOffset>
            </wp:positionH>
            <wp:positionV relativeFrom="paragraph">
              <wp:posOffset>-464309</wp:posOffset>
            </wp:positionV>
            <wp:extent cx="10692383" cy="565348"/>
            <wp:effectExtent l="0" t="0" r="0" b="0"/>
            <wp:wrapNone/>
            <wp:docPr id="29" name="image47.jpeg"/>
            <wp:cNvGraphicFramePr>
              <a:graphicFrameLocks noChangeAspect="1"/>
            </wp:cNvGraphicFramePr>
            <a:graphic>
              <a:graphicData uri="http://schemas.openxmlformats.org/drawingml/2006/picture">
                <pic:pic>
                  <pic:nvPicPr>
                    <pic:cNvPr id="30" name="image47.jpeg"/>
                    <pic:cNvPicPr/>
                  </pic:nvPicPr>
                  <pic:blipFill>
                    <a:blip r:embed="rId59" cstate="print"/>
                    <a:stretch>
                      <a:fillRect/>
                    </a:stretch>
                  </pic:blipFill>
                  <pic:spPr>
                    <a:xfrm>
                      <a:off x="0" y="0"/>
                      <a:ext cx="10692383" cy="565348"/>
                    </a:xfrm>
                    <a:prstGeom prst="rect">
                      <a:avLst/>
                    </a:prstGeom>
                  </pic:spPr>
                </pic:pic>
              </a:graphicData>
            </a:graphic>
          </wp:anchor>
        </w:drawing>
      </w:r>
      <w:bookmarkStart w:name="_bookmark21" w:id="22"/>
      <w:bookmarkEnd w:id="22"/>
      <w:r>
        <w:rPr>
          <w:b w:val="0"/>
        </w:rPr>
      </w:r>
      <w:r>
        <w:rPr/>
        <w:t>Anexo</w:t>
      </w:r>
      <w:r>
        <w:rPr>
          <w:spacing w:val="-4"/>
        </w:rPr>
        <w:t> </w:t>
      </w:r>
      <w:r>
        <w:rPr/>
        <w:t>2.</w:t>
      </w:r>
      <w:r>
        <w:rPr>
          <w:spacing w:val="-2"/>
        </w:rPr>
        <w:t> </w:t>
      </w:r>
      <w:r>
        <w:rPr/>
        <w:t>Demonstrativo</w:t>
      </w:r>
      <w:r>
        <w:rPr>
          <w:spacing w:val="-5"/>
        </w:rPr>
        <w:t> </w:t>
      </w:r>
      <w:r>
        <w:rPr/>
        <w:t>Comparativo</w:t>
      </w:r>
      <w:r>
        <w:rPr>
          <w:spacing w:val="-5"/>
        </w:rPr>
        <w:t> </w:t>
      </w:r>
      <w:r>
        <w:rPr/>
        <w:t>das</w:t>
      </w:r>
      <w:r>
        <w:rPr>
          <w:spacing w:val="-2"/>
        </w:rPr>
        <w:t> </w:t>
      </w:r>
      <w:r>
        <w:rPr/>
        <w:t>Fontes</w:t>
      </w:r>
      <w:r>
        <w:rPr>
          <w:spacing w:val="-3"/>
        </w:rPr>
        <w:t> </w:t>
      </w:r>
      <w:r>
        <w:rPr/>
        <w:t>de</w:t>
      </w:r>
      <w:r>
        <w:rPr>
          <w:spacing w:val="-4"/>
        </w:rPr>
        <w:t> </w:t>
      </w:r>
      <w:r>
        <w:rPr/>
        <w:t>Receitas</w:t>
      </w:r>
      <w:r>
        <w:rPr>
          <w:spacing w:val="5"/>
        </w:rPr>
        <w:t> </w:t>
      </w:r>
      <w:r>
        <w:rPr/>
        <w:t>dos</w:t>
      </w:r>
      <w:r>
        <w:rPr>
          <w:spacing w:val="-2"/>
        </w:rPr>
        <w:t> </w:t>
      </w:r>
      <w:r>
        <w:rPr/>
        <w:t>CAU/UF</w:t>
      </w:r>
      <w:r>
        <w:rPr>
          <w:spacing w:val="-3"/>
        </w:rPr>
        <w:t> </w:t>
      </w:r>
      <w:r>
        <w:rPr/>
        <w:t>e</w:t>
      </w:r>
      <w:r>
        <w:rPr>
          <w:spacing w:val="-3"/>
        </w:rPr>
        <w:t> </w:t>
      </w:r>
      <w:r>
        <w:rPr>
          <w:spacing w:val="-2"/>
        </w:rPr>
        <w:t>CAU/BR</w:t>
      </w:r>
    </w:p>
    <w:p>
      <w:pPr>
        <w:pStyle w:val="BodyText"/>
        <w:ind w:left="709"/>
        <w:rPr>
          <w:sz w:val="20"/>
        </w:rPr>
      </w:pPr>
      <w:r>
        <w:rPr>
          <w:sz w:val="20"/>
        </w:rPr>
        <w:drawing>
          <wp:inline distT="0" distB="0" distL="0" distR="0">
            <wp:extent cx="9804554" cy="5024628"/>
            <wp:effectExtent l="0" t="0" r="0" b="0"/>
            <wp:docPr id="31" name="image48.jpeg"/>
            <wp:cNvGraphicFramePr>
              <a:graphicFrameLocks noChangeAspect="1"/>
            </wp:cNvGraphicFramePr>
            <a:graphic>
              <a:graphicData uri="http://schemas.openxmlformats.org/drawingml/2006/picture">
                <pic:pic>
                  <pic:nvPicPr>
                    <pic:cNvPr id="32" name="image48.jpeg"/>
                    <pic:cNvPicPr/>
                  </pic:nvPicPr>
                  <pic:blipFill>
                    <a:blip r:embed="rId60" cstate="print"/>
                    <a:stretch>
                      <a:fillRect/>
                    </a:stretch>
                  </pic:blipFill>
                  <pic:spPr>
                    <a:xfrm>
                      <a:off x="0" y="0"/>
                      <a:ext cx="9804554" cy="5024628"/>
                    </a:xfrm>
                    <a:prstGeom prst="rect">
                      <a:avLst/>
                    </a:prstGeom>
                  </pic:spPr>
                </pic:pic>
              </a:graphicData>
            </a:graphic>
          </wp:inline>
        </w:drawing>
      </w:r>
      <w:r>
        <w:rPr>
          <w:sz w:val="20"/>
        </w:rPr>
      </w:r>
    </w:p>
    <w:p>
      <w:pPr>
        <w:spacing w:before="8"/>
        <w:ind w:left="710" w:right="701" w:firstLine="0"/>
        <w:jc w:val="both"/>
        <w:rPr>
          <w:sz w:val="18"/>
        </w:rPr>
      </w:pPr>
      <w:r>
        <w:rPr>
          <w:sz w:val="18"/>
        </w:rPr>
        <w:t>*</w:t>
      </w:r>
      <w:r>
        <w:rPr>
          <w:spacing w:val="37"/>
          <w:sz w:val="18"/>
        </w:rPr>
        <w:t> </w:t>
      </w:r>
      <w:r>
        <w:rPr>
          <w:sz w:val="18"/>
        </w:rPr>
        <w:t>Os</w:t>
      </w:r>
      <w:r>
        <w:rPr>
          <w:spacing w:val="-2"/>
          <w:sz w:val="18"/>
        </w:rPr>
        <w:t> </w:t>
      </w:r>
      <w:r>
        <w:rPr>
          <w:sz w:val="18"/>
        </w:rPr>
        <w:t>dados</w:t>
      </w:r>
      <w:r>
        <w:rPr>
          <w:spacing w:val="-2"/>
          <w:sz w:val="18"/>
        </w:rPr>
        <w:t> </w:t>
      </w:r>
      <w:r>
        <w:rPr>
          <w:sz w:val="18"/>
        </w:rPr>
        <w:t>dos</w:t>
      </w:r>
      <w:r>
        <w:rPr>
          <w:spacing w:val="-2"/>
          <w:sz w:val="18"/>
        </w:rPr>
        <w:t> </w:t>
      </w:r>
      <w:r>
        <w:rPr>
          <w:sz w:val="18"/>
        </w:rPr>
        <w:t>CAU/PI</w:t>
      </w:r>
      <w:r>
        <w:rPr>
          <w:spacing w:val="-1"/>
          <w:sz w:val="18"/>
        </w:rPr>
        <w:t> </w:t>
      </w:r>
      <w:r>
        <w:rPr>
          <w:sz w:val="18"/>
        </w:rPr>
        <w:t>e</w:t>
      </w:r>
      <w:r>
        <w:rPr>
          <w:spacing w:val="-2"/>
          <w:sz w:val="18"/>
        </w:rPr>
        <w:t> </w:t>
      </w:r>
      <w:r>
        <w:rPr>
          <w:sz w:val="18"/>
        </w:rPr>
        <w:t>CAU/DF,</w:t>
      </w:r>
      <w:r>
        <w:rPr>
          <w:spacing w:val="-1"/>
          <w:sz w:val="18"/>
        </w:rPr>
        <w:t> </w:t>
      </w:r>
      <w:r>
        <w:rPr>
          <w:sz w:val="18"/>
        </w:rPr>
        <w:t>no</w:t>
      </w:r>
      <w:r>
        <w:rPr>
          <w:spacing w:val="-2"/>
          <w:sz w:val="18"/>
        </w:rPr>
        <w:t> </w:t>
      </w:r>
      <w:r>
        <w:rPr>
          <w:sz w:val="18"/>
        </w:rPr>
        <w:t>tocante</w:t>
      </w:r>
      <w:r>
        <w:rPr>
          <w:spacing w:val="-3"/>
          <w:sz w:val="18"/>
        </w:rPr>
        <w:t> </w:t>
      </w:r>
      <w:r>
        <w:rPr>
          <w:sz w:val="18"/>
        </w:rPr>
        <w:t>à</w:t>
      </w:r>
      <w:r>
        <w:rPr>
          <w:spacing w:val="-2"/>
          <w:sz w:val="18"/>
        </w:rPr>
        <w:t> </w:t>
      </w:r>
      <w:r>
        <w:rPr>
          <w:sz w:val="18"/>
        </w:rPr>
        <w:t>Programação</w:t>
      </w:r>
      <w:r>
        <w:rPr>
          <w:spacing w:val="-1"/>
          <w:sz w:val="18"/>
        </w:rPr>
        <w:t> </w:t>
      </w:r>
      <w:r>
        <w:rPr>
          <w:sz w:val="18"/>
        </w:rPr>
        <w:t>2020,</w:t>
      </w:r>
      <w:r>
        <w:rPr>
          <w:spacing w:val="-2"/>
          <w:sz w:val="18"/>
        </w:rPr>
        <w:t> </w:t>
      </w:r>
      <w:r>
        <w:rPr>
          <w:sz w:val="18"/>
        </w:rPr>
        <w:t>estão</w:t>
      </w:r>
      <w:r>
        <w:rPr>
          <w:spacing w:val="-1"/>
          <w:sz w:val="18"/>
        </w:rPr>
        <w:t> </w:t>
      </w:r>
      <w:r>
        <w:rPr>
          <w:sz w:val="18"/>
        </w:rPr>
        <w:t>em</w:t>
      </w:r>
      <w:r>
        <w:rPr>
          <w:spacing w:val="-2"/>
          <w:sz w:val="18"/>
        </w:rPr>
        <w:t> </w:t>
      </w:r>
      <w:r>
        <w:rPr>
          <w:sz w:val="18"/>
        </w:rPr>
        <w:t>conformidade</w:t>
      </w:r>
      <w:r>
        <w:rPr>
          <w:spacing w:val="-2"/>
          <w:sz w:val="18"/>
        </w:rPr>
        <w:t> </w:t>
      </w:r>
      <w:r>
        <w:rPr>
          <w:sz w:val="18"/>
        </w:rPr>
        <w:t>com</w:t>
      </w:r>
      <w:r>
        <w:rPr>
          <w:spacing w:val="-1"/>
          <w:sz w:val="18"/>
        </w:rPr>
        <w:t> </w:t>
      </w:r>
      <w:r>
        <w:rPr>
          <w:sz w:val="18"/>
        </w:rPr>
        <w:t>as</w:t>
      </w:r>
      <w:r>
        <w:rPr>
          <w:spacing w:val="-4"/>
          <w:sz w:val="18"/>
        </w:rPr>
        <w:t> </w:t>
      </w:r>
      <w:r>
        <w:rPr>
          <w:sz w:val="18"/>
        </w:rPr>
        <w:t>propostas</w:t>
      </w:r>
      <w:r>
        <w:rPr>
          <w:spacing w:val="-2"/>
          <w:sz w:val="18"/>
        </w:rPr>
        <w:t> </w:t>
      </w:r>
      <w:r>
        <w:rPr>
          <w:sz w:val="18"/>
        </w:rPr>
        <w:t>das</w:t>
      </w:r>
      <w:r>
        <w:rPr>
          <w:spacing w:val="-2"/>
          <w:sz w:val="18"/>
        </w:rPr>
        <w:t> </w:t>
      </w:r>
      <w:r>
        <w:rPr>
          <w:sz w:val="18"/>
        </w:rPr>
        <w:t>Reprogramações</w:t>
      </w:r>
      <w:r>
        <w:rPr>
          <w:spacing w:val="-2"/>
          <w:sz w:val="18"/>
        </w:rPr>
        <w:t> </w:t>
      </w:r>
      <w:r>
        <w:rPr>
          <w:sz w:val="18"/>
        </w:rPr>
        <w:t>Extraordinárias</w:t>
      </w:r>
      <w:r>
        <w:rPr>
          <w:spacing w:val="-2"/>
          <w:sz w:val="18"/>
        </w:rPr>
        <w:t> </w:t>
      </w:r>
      <w:r>
        <w:rPr>
          <w:sz w:val="18"/>
        </w:rPr>
        <w:t>aprovadas</w:t>
      </w:r>
      <w:r>
        <w:rPr>
          <w:spacing w:val="-3"/>
          <w:sz w:val="18"/>
        </w:rPr>
        <w:t> </w:t>
      </w:r>
      <w:r>
        <w:rPr>
          <w:sz w:val="18"/>
        </w:rPr>
        <w:t>para</w:t>
      </w:r>
      <w:r>
        <w:rPr>
          <w:spacing w:val="-2"/>
          <w:sz w:val="18"/>
        </w:rPr>
        <w:t> </w:t>
      </w:r>
      <w:r>
        <w:rPr>
          <w:sz w:val="18"/>
        </w:rPr>
        <w:t>esses</w:t>
      </w:r>
      <w:r>
        <w:rPr>
          <w:spacing w:val="-2"/>
          <w:sz w:val="18"/>
        </w:rPr>
        <w:t> </w:t>
      </w:r>
      <w:r>
        <w:rPr>
          <w:sz w:val="18"/>
        </w:rPr>
        <w:t>CAU/UF,</w:t>
      </w:r>
      <w:r>
        <w:rPr>
          <w:spacing w:val="-1"/>
          <w:sz w:val="18"/>
        </w:rPr>
        <w:t> </w:t>
      </w:r>
      <w:r>
        <w:rPr>
          <w:sz w:val="18"/>
        </w:rPr>
        <w:t>uma</w:t>
      </w:r>
      <w:r>
        <w:rPr>
          <w:spacing w:val="-2"/>
          <w:sz w:val="18"/>
        </w:rPr>
        <w:t> </w:t>
      </w:r>
      <w:r>
        <w:rPr>
          <w:sz w:val="18"/>
        </w:rPr>
        <w:t>vez</w:t>
      </w:r>
      <w:r>
        <w:rPr>
          <w:spacing w:val="-1"/>
          <w:sz w:val="18"/>
        </w:rPr>
        <w:t> </w:t>
      </w:r>
      <w:r>
        <w:rPr>
          <w:sz w:val="18"/>
        </w:rPr>
        <w:t>que</w:t>
      </w:r>
      <w:r>
        <w:rPr>
          <w:spacing w:val="-2"/>
          <w:sz w:val="18"/>
        </w:rPr>
        <w:t> </w:t>
      </w:r>
      <w:r>
        <w:rPr>
          <w:sz w:val="18"/>
        </w:rPr>
        <w:t>ocorreram</w:t>
      </w:r>
      <w:r>
        <w:rPr>
          <w:spacing w:val="-1"/>
          <w:sz w:val="18"/>
        </w:rPr>
        <w:t> </w:t>
      </w:r>
      <w:r>
        <w:rPr>
          <w:sz w:val="18"/>
        </w:rPr>
        <w:t>em</w:t>
      </w:r>
      <w:r>
        <w:rPr>
          <w:spacing w:val="-2"/>
          <w:sz w:val="18"/>
        </w:rPr>
        <w:t> </w:t>
      </w:r>
      <w:r>
        <w:rPr>
          <w:sz w:val="18"/>
        </w:rPr>
        <w:t>data anterior à Reprogramação Ordinária e para os CAU/AM, CAU/AL, CAU/CE, CAU/ES, CAU/RN constam as informações da Reprogramação Ordinária aprovada em agosto/20. Na Reprogramação 2020, constam aprovados fora do fluxo da Reprogramação Ordinária aprovada em agosto, o CAU/PA aprovado na 104ª Reunião Plenária Ordinária, de 24 de setembro de 2020,</w:t>
      </w:r>
      <w:r>
        <w:rPr>
          <w:spacing w:val="40"/>
          <w:sz w:val="18"/>
        </w:rPr>
        <w:t> </w:t>
      </w:r>
      <w:r>
        <w:rPr>
          <w:sz w:val="18"/>
        </w:rPr>
        <w:t>o CAU/MA, na 105ª Reunião Plenária Ordinária, de 23 de outubro de 2020 e as Reprogramações Extraordinárias dos CAU/AM, CAU/AL, CAU/CE, CAU/ES, CAU/RN, aprovadas na Reunião Plenária Ordinária n° 106, de 19 de novembro de 2020.</w:t>
      </w:r>
    </w:p>
    <w:p>
      <w:pPr>
        <w:spacing w:after="0"/>
        <w:jc w:val="both"/>
        <w:rPr>
          <w:sz w:val="18"/>
        </w:rPr>
        <w:sectPr>
          <w:headerReference w:type="default" r:id="rId57"/>
          <w:footerReference w:type="default" r:id="rId58"/>
          <w:pgSz w:w="16840" w:h="11910" w:orient="landscape"/>
          <w:pgMar w:header="0" w:footer="261" w:top="68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Heading1"/>
      </w:pPr>
      <w:r>
        <w:rPr>
          <w:color w:val="008080"/>
        </w:rPr>
        <w:t>ANEXO </w:t>
      </w:r>
      <w:r>
        <w:rPr>
          <w:color w:val="008080"/>
          <w:spacing w:val="-10"/>
        </w:rPr>
        <w:t>3</w:t>
      </w:r>
    </w:p>
    <w:p>
      <w:pPr>
        <w:pStyle w:val="BodyText"/>
        <w:rPr>
          <w:b/>
          <w:sz w:val="48"/>
        </w:rPr>
      </w:pPr>
    </w:p>
    <w:p>
      <w:pPr>
        <w:pStyle w:val="BodyText"/>
        <w:rPr>
          <w:b/>
          <w:sz w:val="48"/>
        </w:rPr>
      </w:pPr>
    </w:p>
    <w:p>
      <w:pPr>
        <w:pStyle w:val="Heading2"/>
        <w:spacing w:line="424" w:lineRule="auto"/>
        <w:ind w:left="1275" w:right="1268"/>
      </w:pPr>
      <w:r>
        <w:rPr>
          <w:color w:val="008080"/>
        </w:rPr>
        <w:t>Demonstrativo</w:t>
      </w:r>
      <w:r>
        <w:rPr>
          <w:color w:val="008080"/>
          <w:spacing w:val="-11"/>
        </w:rPr>
        <w:t> </w:t>
      </w:r>
      <w:r>
        <w:rPr>
          <w:color w:val="008080"/>
        </w:rPr>
        <w:t>das</w:t>
      </w:r>
      <w:r>
        <w:rPr>
          <w:color w:val="008080"/>
          <w:spacing w:val="-11"/>
        </w:rPr>
        <w:t> </w:t>
      </w:r>
      <w:r>
        <w:rPr>
          <w:color w:val="008080"/>
        </w:rPr>
        <w:t>Aplicações</w:t>
      </w:r>
      <w:r>
        <w:rPr>
          <w:color w:val="008080"/>
          <w:spacing w:val="-11"/>
        </w:rPr>
        <w:t> </w:t>
      </w:r>
      <w:r>
        <w:rPr>
          <w:color w:val="008080"/>
        </w:rPr>
        <w:t>Totais Por Iniciativa Estratégica.</w:t>
      </w:r>
    </w:p>
    <w:p>
      <w:pPr>
        <w:spacing w:after="0" w:line="424" w:lineRule="auto"/>
        <w:sectPr>
          <w:headerReference w:type="default" r:id="rId61"/>
          <w:footerReference w:type="default" r:id="rId62"/>
          <w:pgSz w:w="11910" w:h="16840"/>
          <w:pgMar w:header="687" w:footer="261" w:top="1560" w:bottom="460" w:left="1300" w:right="740"/>
          <w:pgNumType w:start="30"/>
        </w:sectPr>
      </w:pPr>
    </w:p>
    <w:p>
      <w:pPr>
        <w:pStyle w:val="Heading5"/>
        <w:spacing w:before="21"/>
        <w:ind w:left="2661"/>
        <w:jc w:val="left"/>
      </w:pPr>
      <w:bookmarkStart w:name="_bookmark22" w:id="23"/>
      <w:bookmarkEnd w:id="23"/>
      <w:r>
        <w:rPr>
          <w:b w:val="0"/>
        </w:rPr>
      </w:r>
      <w:r>
        <w:rPr/>
        <w:t>Anexo</w:t>
      </w:r>
      <w:r>
        <w:rPr>
          <w:spacing w:val="-5"/>
        </w:rPr>
        <w:t> </w:t>
      </w:r>
      <w:r>
        <w:rPr/>
        <w:t>3.</w:t>
      </w:r>
      <w:r>
        <w:rPr>
          <w:spacing w:val="-3"/>
        </w:rPr>
        <w:t> </w:t>
      </w:r>
      <w:r>
        <w:rPr/>
        <w:t>Demonstrativo</w:t>
      </w:r>
      <w:r>
        <w:rPr>
          <w:spacing w:val="-5"/>
        </w:rPr>
        <w:t> </w:t>
      </w:r>
      <w:r>
        <w:rPr/>
        <w:t>das</w:t>
      </w:r>
      <w:r>
        <w:rPr>
          <w:spacing w:val="-4"/>
        </w:rPr>
        <w:t> </w:t>
      </w:r>
      <w:r>
        <w:rPr/>
        <w:t>Aplicações</w:t>
      </w:r>
      <w:r>
        <w:rPr>
          <w:spacing w:val="-4"/>
        </w:rPr>
        <w:t> </w:t>
      </w:r>
      <w:r>
        <w:rPr/>
        <w:t>Totais</w:t>
      </w:r>
      <w:r>
        <w:rPr>
          <w:spacing w:val="-4"/>
        </w:rPr>
        <w:t> </w:t>
      </w:r>
      <w:r>
        <w:rPr/>
        <w:t>por</w:t>
      </w:r>
      <w:r>
        <w:rPr>
          <w:spacing w:val="-2"/>
        </w:rPr>
        <w:t> </w:t>
      </w:r>
      <w:r>
        <w:rPr/>
        <w:t>Iniciativa</w:t>
      </w:r>
      <w:r>
        <w:rPr>
          <w:spacing w:val="-5"/>
        </w:rPr>
        <w:t> </w:t>
      </w:r>
      <w:r>
        <w:rPr>
          <w:spacing w:val="-2"/>
        </w:rPr>
        <w:t>Estratégica</w:t>
      </w:r>
    </w:p>
    <w:p>
      <w:pPr>
        <w:pStyle w:val="BodyText"/>
        <w:ind w:left="118"/>
        <w:rPr>
          <w:sz w:val="20"/>
        </w:rPr>
      </w:pPr>
      <w:r>
        <w:rPr>
          <w:sz w:val="20"/>
        </w:rPr>
        <w:drawing>
          <wp:inline distT="0" distB="0" distL="0" distR="0">
            <wp:extent cx="6008417" cy="7406640"/>
            <wp:effectExtent l="0" t="0" r="0" b="0"/>
            <wp:docPr id="35" name="image50.png"/>
            <wp:cNvGraphicFramePr>
              <a:graphicFrameLocks noChangeAspect="1"/>
            </wp:cNvGraphicFramePr>
            <a:graphic>
              <a:graphicData uri="http://schemas.openxmlformats.org/drawingml/2006/picture">
                <pic:pic>
                  <pic:nvPicPr>
                    <pic:cNvPr id="36" name="image50.png"/>
                    <pic:cNvPicPr/>
                  </pic:nvPicPr>
                  <pic:blipFill>
                    <a:blip r:embed="rId63" cstate="print"/>
                    <a:stretch>
                      <a:fillRect/>
                    </a:stretch>
                  </pic:blipFill>
                  <pic:spPr>
                    <a:xfrm>
                      <a:off x="0" y="0"/>
                      <a:ext cx="6008417" cy="7406640"/>
                    </a:xfrm>
                    <a:prstGeom prst="rect">
                      <a:avLst/>
                    </a:prstGeom>
                  </pic:spPr>
                </pic:pic>
              </a:graphicData>
            </a:graphic>
          </wp:inline>
        </w:drawing>
      </w:r>
      <w:r>
        <w:rPr>
          <w:sz w:val="20"/>
        </w:rPr>
      </w:r>
    </w:p>
    <w:p>
      <w:pPr>
        <w:pStyle w:val="BodyText"/>
        <w:spacing w:before="9"/>
        <w:rPr>
          <w:b/>
          <w:sz w:val="17"/>
        </w:rPr>
      </w:pPr>
    </w:p>
    <w:p>
      <w:pPr>
        <w:spacing w:before="0"/>
        <w:ind w:left="118" w:right="103" w:firstLine="0"/>
        <w:jc w:val="both"/>
        <w:rPr>
          <w:sz w:val="18"/>
        </w:rPr>
      </w:pPr>
      <w:r>
        <w:rPr>
          <w:sz w:val="18"/>
        </w:rPr>
        <w:t>*Na</w:t>
      </w:r>
      <w:r>
        <w:rPr>
          <w:spacing w:val="-1"/>
          <w:sz w:val="18"/>
        </w:rPr>
        <w:t> </w:t>
      </w:r>
      <w:r>
        <w:rPr>
          <w:sz w:val="18"/>
        </w:rPr>
        <w:t>Reprogramação 2020,</w:t>
      </w:r>
      <w:r>
        <w:rPr>
          <w:spacing w:val="-3"/>
          <w:sz w:val="18"/>
        </w:rPr>
        <w:t> </w:t>
      </w:r>
      <w:r>
        <w:rPr>
          <w:sz w:val="18"/>
        </w:rPr>
        <w:t>constam</w:t>
      </w:r>
      <w:r>
        <w:rPr>
          <w:spacing w:val="-1"/>
          <w:sz w:val="18"/>
        </w:rPr>
        <w:t> </w:t>
      </w:r>
      <w:r>
        <w:rPr>
          <w:sz w:val="18"/>
        </w:rPr>
        <w:t>aprovados</w:t>
      </w:r>
      <w:r>
        <w:rPr>
          <w:spacing w:val="-2"/>
          <w:sz w:val="18"/>
        </w:rPr>
        <w:t> </w:t>
      </w:r>
      <w:r>
        <w:rPr>
          <w:sz w:val="18"/>
        </w:rPr>
        <w:t>fora</w:t>
      </w:r>
      <w:r>
        <w:rPr>
          <w:spacing w:val="-1"/>
          <w:sz w:val="18"/>
        </w:rPr>
        <w:t> </w:t>
      </w:r>
      <w:r>
        <w:rPr>
          <w:sz w:val="18"/>
        </w:rPr>
        <w:t>do</w:t>
      </w:r>
      <w:r>
        <w:rPr>
          <w:spacing w:val="-2"/>
          <w:sz w:val="18"/>
        </w:rPr>
        <w:t> </w:t>
      </w:r>
      <w:r>
        <w:rPr>
          <w:sz w:val="18"/>
        </w:rPr>
        <w:t>fluxo</w:t>
      </w:r>
      <w:r>
        <w:rPr>
          <w:spacing w:val="-2"/>
          <w:sz w:val="18"/>
        </w:rPr>
        <w:t> </w:t>
      </w:r>
      <w:r>
        <w:rPr>
          <w:sz w:val="18"/>
        </w:rPr>
        <w:t>da Reprogramação Ordinária</w:t>
      </w:r>
      <w:r>
        <w:rPr>
          <w:spacing w:val="-1"/>
          <w:sz w:val="18"/>
        </w:rPr>
        <w:t> </w:t>
      </w:r>
      <w:r>
        <w:rPr>
          <w:sz w:val="18"/>
        </w:rPr>
        <w:t>aprovada</w:t>
      </w:r>
      <w:r>
        <w:rPr>
          <w:spacing w:val="-1"/>
          <w:sz w:val="18"/>
        </w:rPr>
        <w:t> </w:t>
      </w:r>
      <w:r>
        <w:rPr>
          <w:sz w:val="18"/>
        </w:rPr>
        <w:t>em</w:t>
      </w:r>
      <w:r>
        <w:rPr>
          <w:spacing w:val="-1"/>
          <w:sz w:val="18"/>
        </w:rPr>
        <w:t> </w:t>
      </w:r>
      <w:r>
        <w:rPr>
          <w:sz w:val="18"/>
        </w:rPr>
        <w:t>agosto,</w:t>
      </w:r>
      <w:r>
        <w:rPr>
          <w:spacing w:val="-1"/>
          <w:sz w:val="18"/>
        </w:rPr>
        <w:t> </w:t>
      </w:r>
      <w:r>
        <w:rPr>
          <w:sz w:val="18"/>
        </w:rPr>
        <w:t>o</w:t>
      </w:r>
      <w:r>
        <w:rPr>
          <w:spacing w:val="-2"/>
          <w:sz w:val="18"/>
        </w:rPr>
        <w:t> </w:t>
      </w:r>
      <w:r>
        <w:rPr>
          <w:sz w:val="18"/>
        </w:rPr>
        <w:t>CAU/PA</w:t>
      </w:r>
      <w:r>
        <w:rPr>
          <w:spacing w:val="-2"/>
          <w:sz w:val="18"/>
        </w:rPr>
        <w:t> </w:t>
      </w:r>
      <w:r>
        <w:rPr>
          <w:sz w:val="18"/>
        </w:rPr>
        <w:t>aprovado na 104ª Reunião Plenária Ordinária, de 24 de setembro de 2020, o CAU/MA, na 105ª Reunião Plenária Ordinária, de 23 de outubro de 2020 e as Reprogramações Extraordinárias dos CAU/AM, CAU/AL, CAU/CE, CAU/ES, CAU/RN, aprovadas na Reunião Plenária Ordinária n° 106, de 19 de novembro de 2020.</w:t>
      </w:r>
    </w:p>
    <w:p>
      <w:pPr>
        <w:spacing w:after="0"/>
        <w:jc w:val="both"/>
        <w:rPr>
          <w:sz w:val="18"/>
        </w:rPr>
        <w:sectPr>
          <w:pgSz w:w="11910" w:h="16840"/>
          <w:pgMar w:header="687" w:footer="261" w:top="1560" w:bottom="460" w:left="1300" w:right="740"/>
        </w:sectPr>
      </w:pPr>
    </w:p>
    <w:p>
      <w:pPr>
        <w:pStyle w:val="Heading5"/>
        <w:spacing w:before="21"/>
        <w:ind w:right="118"/>
      </w:pPr>
      <w:bookmarkStart w:name="_bookmark23" w:id="24"/>
      <w:bookmarkEnd w:id="24"/>
      <w:r>
        <w:rPr>
          <w:b w:val="0"/>
        </w:rPr>
      </w:r>
      <w:r>
        <w:rPr/>
        <w:t>Anexo</w:t>
      </w:r>
      <w:r>
        <w:rPr>
          <w:spacing w:val="-6"/>
        </w:rPr>
        <w:t> </w:t>
      </w:r>
      <w:r>
        <w:rPr/>
        <w:t>3.1.</w:t>
      </w:r>
      <w:r>
        <w:rPr>
          <w:spacing w:val="-5"/>
        </w:rPr>
        <w:t> </w:t>
      </w:r>
      <w:r>
        <w:rPr/>
        <w:t>Demonstrativo</w:t>
      </w:r>
      <w:r>
        <w:rPr>
          <w:spacing w:val="-4"/>
        </w:rPr>
        <w:t> </w:t>
      </w:r>
      <w:r>
        <w:rPr/>
        <w:t>das</w:t>
      </w:r>
      <w:r>
        <w:rPr>
          <w:spacing w:val="-4"/>
        </w:rPr>
        <w:t> </w:t>
      </w:r>
      <w:r>
        <w:rPr/>
        <w:t>Aplicações</w:t>
      </w:r>
      <w:r>
        <w:rPr>
          <w:spacing w:val="-4"/>
        </w:rPr>
        <w:t> </w:t>
      </w:r>
      <w:r>
        <w:rPr/>
        <w:t>por</w:t>
      </w:r>
      <w:r>
        <w:rPr>
          <w:spacing w:val="-3"/>
        </w:rPr>
        <w:t> </w:t>
      </w:r>
      <w:r>
        <w:rPr/>
        <w:t>Iniciativa</w:t>
      </w:r>
      <w:r>
        <w:rPr>
          <w:spacing w:val="-6"/>
        </w:rPr>
        <w:t> </w:t>
      </w:r>
      <w:r>
        <w:rPr/>
        <w:t>Estratégica</w:t>
      </w:r>
      <w:r>
        <w:rPr>
          <w:spacing w:val="-5"/>
        </w:rPr>
        <w:t> </w:t>
      </w:r>
      <w:r>
        <w:rPr/>
        <w:t>da</w:t>
      </w:r>
      <w:r>
        <w:rPr>
          <w:spacing w:val="-5"/>
        </w:rPr>
        <w:t> </w:t>
      </w:r>
      <w:r>
        <w:rPr/>
        <w:t>Programação</w:t>
      </w:r>
      <w:r>
        <w:rPr>
          <w:spacing w:val="-4"/>
        </w:rPr>
        <w:t> </w:t>
      </w:r>
      <w:r>
        <w:rPr>
          <w:spacing w:val="-2"/>
        </w:rPr>
        <w:t>Operacional,</w:t>
      </w:r>
    </w:p>
    <w:p>
      <w:pPr>
        <w:spacing w:before="0"/>
        <w:ind w:left="0" w:right="112" w:firstLine="0"/>
        <w:jc w:val="right"/>
        <w:rPr>
          <w:b/>
          <w:sz w:val="24"/>
        </w:rPr>
      </w:pPr>
      <w:r>
        <w:rPr>
          <w:b/>
          <w:sz w:val="24"/>
        </w:rPr>
        <w:t>Fundo</w:t>
      </w:r>
      <w:r>
        <w:rPr>
          <w:b/>
          <w:spacing w:val="-6"/>
          <w:sz w:val="24"/>
        </w:rPr>
        <w:t> </w:t>
      </w:r>
      <w:r>
        <w:rPr>
          <w:b/>
          <w:sz w:val="24"/>
        </w:rPr>
        <w:t>de</w:t>
      </w:r>
      <w:r>
        <w:rPr>
          <w:b/>
          <w:spacing w:val="-5"/>
          <w:sz w:val="24"/>
        </w:rPr>
        <w:t> </w:t>
      </w:r>
      <w:r>
        <w:rPr>
          <w:b/>
          <w:sz w:val="24"/>
        </w:rPr>
        <w:t>Apoio,</w:t>
      </w:r>
      <w:r>
        <w:rPr>
          <w:b/>
          <w:spacing w:val="-1"/>
          <w:sz w:val="24"/>
        </w:rPr>
        <w:t> </w:t>
      </w:r>
      <w:r>
        <w:rPr>
          <w:b/>
          <w:sz w:val="24"/>
        </w:rPr>
        <w:t>Contribuição</w:t>
      </w:r>
      <w:r>
        <w:rPr>
          <w:b/>
          <w:spacing w:val="-3"/>
          <w:sz w:val="24"/>
        </w:rPr>
        <w:t> </w:t>
      </w:r>
      <w:r>
        <w:rPr>
          <w:b/>
          <w:sz w:val="24"/>
        </w:rPr>
        <w:t>CSC</w:t>
      </w:r>
      <w:r>
        <w:rPr>
          <w:b/>
          <w:spacing w:val="-2"/>
          <w:sz w:val="24"/>
        </w:rPr>
        <w:t> </w:t>
      </w:r>
      <w:r>
        <w:rPr>
          <w:b/>
          <w:sz w:val="24"/>
        </w:rPr>
        <w:t>e</w:t>
      </w:r>
      <w:r>
        <w:rPr>
          <w:b/>
          <w:spacing w:val="-3"/>
          <w:sz w:val="24"/>
        </w:rPr>
        <w:t> </w:t>
      </w:r>
      <w:r>
        <w:rPr>
          <w:b/>
          <w:sz w:val="24"/>
        </w:rPr>
        <w:t>Reserva</w:t>
      </w:r>
      <w:r>
        <w:rPr>
          <w:b/>
          <w:spacing w:val="-4"/>
          <w:sz w:val="24"/>
        </w:rPr>
        <w:t> </w:t>
      </w:r>
      <w:r>
        <w:rPr>
          <w:b/>
          <w:sz w:val="24"/>
        </w:rPr>
        <w:t>de</w:t>
      </w:r>
      <w:r>
        <w:rPr>
          <w:b/>
          <w:spacing w:val="-4"/>
          <w:sz w:val="24"/>
        </w:rPr>
        <w:t> </w:t>
      </w:r>
      <w:r>
        <w:rPr>
          <w:b/>
          <w:spacing w:val="-2"/>
          <w:sz w:val="24"/>
        </w:rPr>
        <w:t>Contingência</w:t>
      </w:r>
    </w:p>
    <w:p>
      <w:pPr>
        <w:pStyle w:val="BodyText"/>
        <w:ind w:left="118"/>
        <w:rPr>
          <w:sz w:val="20"/>
        </w:rPr>
      </w:pPr>
      <w:r>
        <w:rPr>
          <w:sz w:val="20"/>
        </w:rPr>
        <w:drawing>
          <wp:inline distT="0" distB="0" distL="0" distR="0">
            <wp:extent cx="6134063" cy="7170896"/>
            <wp:effectExtent l="0" t="0" r="0" b="0"/>
            <wp:docPr id="37" name="image51.jpeg"/>
            <wp:cNvGraphicFramePr>
              <a:graphicFrameLocks noChangeAspect="1"/>
            </wp:cNvGraphicFramePr>
            <a:graphic>
              <a:graphicData uri="http://schemas.openxmlformats.org/drawingml/2006/picture">
                <pic:pic>
                  <pic:nvPicPr>
                    <pic:cNvPr id="38" name="image51.jpeg"/>
                    <pic:cNvPicPr/>
                  </pic:nvPicPr>
                  <pic:blipFill>
                    <a:blip r:embed="rId64" cstate="print"/>
                    <a:stretch>
                      <a:fillRect/>
                    </a:stretch>
                  </pic:blipFill>
                  <pic:spPr>
                    <a:xfrm>
                      <a:off x="0" y="0"/>
                      <a:ext cx="6134063" cy="7170896"/>
                    </a:xfrm>
                    <a:prstGeom prst="rect">
                      <a:avLst/>
                    </a:prstGeom>
                  </pic:spPr>
                </pic:pic>
              </a:graphicData>
            </a:graphic>
          </wp:inline>
        </w:drawing>
      </w:r>
      <w:r>
        <w:rPr>
          <w:sz w:val="20"/>
        </w:rPr>
      </w:r>
    </w:p>
    <w:p>
      <w:pPr>
        <w:pStyle w:val="ListParagraph"/>
        <w:numPr>
          <w:ilvl w:val="0"/>
          <w:numId w:val="7"/>
        </w:numPr>
        <w:tabs>
          <w:tab w:pos="257" w:val="left" w:leader="none"/>
        </w:tabs>
        <w:spacing w:line="240" w:lineRule="auto" w:before="0" w:after="0"/>
        <w:ind w:left="118" w:right="106" w:firstLine="0"/>
        <w:jc w:val="both"/>
        <w:rPr>
          <w:sz w:val="18"/>
        </w:rPr>
      </w:pPr>
      <w:r>
        <w:rPr>
          <w:sz w:val="18"/>
        </w:rPr>
        <w:t>Na</w:t>
      </w:r>
      <w:r>
        <w:rPr>
          <w:spacing w:val="-5"/>
          <w:sz w:val="18"/>
        </w:rPr>
        <w:t> </w:t>
      </w:r>
      <w:r>
        <w:rPr>
          <w:sz w:val="18"/>
        </w:rPr>
        <w:t>Reprogramação</w:t>
      </w:r>
      <w:r>
        <w:rPr>
          <w:spacing w:val="-3"/>
          <w:sz w:val="18"/>
        </w:rPr>
        <w:t> </w:t>
      </w:r>
      <w:r>
        <w:rPr>
          <w:sz w:val="18"/>
        </w:rPr>
        <w:t>2020,</w:t>
      </w:r>
      <w:r>
        <w:rPr>
          <w:spacing w:val="-4"/>
          <w:sz w:val="18"/>
        </w:rPr>
        <w:t> </w:t>
      </w:r>
      <w:r>
        <w:rPr>
          <w:sz w:val="18"/>
        </w:rPr>
        <w:t>constam</w:t>
      </w:r>
      <w:r>
        <w:rPr>
          <w:spacing w:val="-5"/>
          <w:sz w:val="18"/>
        </w:rPr>
        <w:t> </w:t>
      </w:r>
      <w:r>
        <w:rPr>
          <w:sz w:val="18"/>
        </w:rPr>
        <w:t>aprovados</w:t>
      </w:r>
      <w:r>
        <w:rPr>
          <w:spacing w:val="-6"/>
          <w:sz w:val="18"/>
        </w:rPr>
        <w:t> </w:t>
      </w:r>
      <w:r>
        <w:rPr>
          <w:sz w:val="18"/>
        </w:rPr>
        <w:t>fora</w:t>
      </w:r>
      <w:r>
        <w:rPr>
          <w:spacing w:val="-5"/>
          <w:sz w:val="18"/>
        </w:rPr>
        <w:t> </w:t>
      </w:r>
      <w:r>
        <w:rPr>
          <w:sz w:val="18"/>
        </w:rPr>
        <w:t>do</w:t>
      </w:r>
      <w:r>
        <w:rPr>
          <w:spacing w:val="-4"/>
          <w:sz w:val="18"/>
        </w:rPr>
        <w:t> </w:t>
      </w:r>
      <w:r>
        <w:rPr>
          <w:sz w:val="18"/>
        </w:rPr>
        <w:t>fluxo</w:t>
      </w:r>
      <w:r>
        <w:rPr>
          <w:spacing w:val="-4"/>
          <w:sz w:val="18"/>
        </w:rPr>
        <w:t> </w:t>
      </w:r>
      <w:r>
        <w:rPr>
          <w:sz w:val="18"/>
        </w:rPr>
        <w:t>da</w:t>
      </w:r>
      <w:r>
        <w:rPr>
          <w:spacing w:val="-5"/>
          <w:sz w:val="18"/>
        </w:rPr>
        <w:t> </w:t>
      </w:r>
      <w:r>
        <w:rPr>
          <w:sz w:val="18"/>
        </w:rPr>
        <w:t>Reprogramação</w:t>
      </w:r>
      <w:r>
        <w:rPr>
          <w:spacing w:val="-4"/>
          <w:sz w:val="18"/>
        </w:rPr>
        <w:t> </w:t>
      </w:r>
      <w:r>
        <w:rPr>
          <w:sz w:val="18"/>
        </w:rPr>
        <w:t>Ordinária</w:t>
      </w:r>
      <w:r>
        <w:rPr>
          <w:spacing w:val="-5"/>
          <w:sz w:val="18"/>
        </w:rPr>
        <w:t> </w:t>
      </w:r>
      <w:r>
        <w:rPr>
          <w:sz w:val="18"/>
        </w:rPr>
        <w:t>aprovada</w:t>
      </w:r>
      <w:r>
        <w:rPr>
          <w:spacing w:val="-5"/>
          <w:sz w:val="18"/>
        </w:rPr>
        <w:t> </w:t>
      </w:r>
      <w:r>
        <w:rPr>
          <w:sz w:val="18"/>
        </w:rPr>
        <w:t>em</w:t>
      </w:r>
      <w:r>
        <w:rPr>
          <w:spacing w:val="-5"/>
          <w:sz w:val="18"/>
        </w:rPr>
        <w:t> </w:t>
      </w:r>
      <w:r>
        <w:rPr>
          <w:sz w:val="18"/>
        </w:rPr>
        <w:t>agosto,</w:t>
      </w:r>
      <w:r>
        <w:rPr>
          <w:spacing w:val="-2"/>
          <w:sz w:val="18"/>
        </w:rPr>
        <w:t> </w:t>
      </w:r>
      <w:r>
        <w:rPr>
          <w:sz w:val="18"/>
        </w:rPr>
        <w:t>o</w:t>
      </w:r>
      <w:r>
        <w:rPr>
          <w:spacing w:val="-4"/>
          <w:sz w:val="18"/>
        </w:rPr>
        <w:t> </w:t>
      </w:r>
      <w:r>
        <w:rPr>
          <w:sz w:val="18"/>
        </w:rPr>
        <w:t>CAU/PA</w:t>
      </w:r>
      <w:r>
        <w:rPr>
          <w:spacing w:val="-5"/>
          <w:sz w:val="18"/>
        </w:rPr>
        <w:t> </w:t>
      </w:r>
      <w:r>
        <w:rPr>
          <w:sz w:val="18"/>
        </w:rPr>
        <w:t>aprovado na 104ª Reunião Plenária Ordinária, de 24 de setembro de 2020, o CAU/MA, na 105ª Reunião Plenária Ordinária, de 23 de outubro de 2020 e as Reprogramações Extraordinárias dos CAU/AM, CAU/AL, CAU/CE, CAU/ES, CAU/RN, aprovadas na Reunião Plenária Ordinária n° 106, de 19 de novembro de 2020.</w:t>
      </w:r>
    </w:p>
    <w:p>
      <w:pPr>
        <w:pStyle w:val="ListParagraph"/>
        <w:numPr>
          <w:ilvl w:val="0"/>
          <w:numId w:val="7"/>
        </w:numPr>
        <w:tabs>
          <w:tab w:pos="257" w:val="left" w:leader="none"/>
        </w:tabs>
        <w:spacing w:line="240" w:lineRule="auto" w:before="0" w:after="0"/>
        <w:ind w:left="118" w:right="114" w:firstLine="0"/>
        <w:jc w:val="both"/>
        <w:rPr>
          <w:sz w:val="18"/>
        </w:rPr>
      </w:pPr>
      <w:r>
        <w:rPr>
          <w:sz w:val="18"/>
        </w:rPr>
        <w:t>Na</w:t>
      </w:r>
      <w:r>
        <w:rPr>
          <w:spacing w:val="-5"/>
          <w:sz w:val="18"/>
        </w:rPr>
        <w:t> </w:t>
      </w:r>
      <w:r>
        <w:rPr>
          <w:sz w:val="18"/>
        </w:rPr>
        <w:t>Reprogramação</w:t>
      </w:r>
      <w:r>
        <w:rPr>
          <w:spacing w:val="-4"/>
          <w:sz w:val="18"/>
        </w:rPr>
        <w:t> </w:t>
      </w:r>
      <w:r>
        <w:rPr>
          <w:sz w:val="18"/>
        </w:rPr>
        <w:t>2020,</w:t>
      </w:r>
      <w:r>
        <w:rPr>
          <w:spacing w:val="-4"/>
          <w:sz w:val="18"/>
        </w:rPr>
        <w:t> </w:t>
      </w:r>
      <w:r>
        <w:rPr>
          <w:sz w:val="18"/>
        </w:rPr>
        <w:t>para</w:t>
      </w:r>
      <w:r>
        <w:rPr>
          <w:spacing w:val="-3"/>
          <w:sz w:val="18"/>
        </w:rPr>
        <w:t> </w:t>
      </w:r>
      <w:r>
        <w:rPr>
          <w:sz w:val="18"/>
        </w:rPr>
        <w:t>os</w:t>
      </w:r>
      <w:r>
        <w:rPr>
          <w:spacing w:val="-6"/>
          <w:sz w:val="18"/>
        </w:rPr>
        <w:t> </w:t>
      </w:r>
      <w:r>
        <w:rPr>
          <w:sz w:val="18"/>
        </w:rPr>
        <w:t>aportes</w:t>
      </w:r>
      <w:r>
        <w:rPr>
          <w:spacing w:val="-6"/>
          <w:sz w:val="18"/>
        </w:rPr>
        <w:t> </w:t>
      </w:r>
      <w:r>
        <w:rPr>
          <w:sz w:val="18"/>
        </w:rPr>
        <w:t>de</w:t>
      </w:r>
      <w:r>
        <w:rPr>
          <w:spacing w:val="-6"/>
          <w:sz w:val="18"/>
        </w:rPr>
        <w:t> </w:t>
      </w:r>
      <w:r>
        <w:rPr>
          <w:sz w:val="18"/>
        </w:rPr>
        <w:t>Fundo</w:t>
      </w:r>
      <w:r>
        <w:rPr>
          <w:spacing w:val="-4"/>
          <w:sz w:val="18"/>
        </w:rPr>
        <w:t> </w:t>
      </w:r>
      <w:r>
        <w:rPr>
          <w:sz w:val="18"/>
        </w:rPr>
        <w:t>de</w:t>
      </w:r>
      <w:r>
        <w:rPr>
          <w:spacing w:val="-3"/>
          <w:sz w:val="18"/>
        </w:rPr>
        <w:t> </w:t>
      </w:r>
      <w:r>
        <w:rPr>
          <w:sz w:val="18"/>
        </w:rPr>
        <w:t>Apoio</w:t>
      </w:r>
      <w:r>
        <w:rPr>
          <w:spacing w:val="-4"/>
          <w:sz w:val="18"/>
        </w:rPr>
        <w:t> </w:t>
      </w:r>
      <w:r>
        <w:rPr>
          <w:sz w:val="18"/>
        </w:rPr>
        <w:t>dos</w:t>
      </w:r>
      <w:r>
        <w:rPr>
          <w:spacing w:val="-6"/>
          <w:sz w:val="18"/>
        </w:rPr>
        <w:t> </w:t>
      </w:r>
      <w:r>
        <w:rPr>
          <w:sz w:val="18"/>
        </w:rPr>
        <w:t>CAU/UF</w:t>
      </w:r>
      <w:r>
        <w:rPr>
          <w:spacing w:val="-6"/>
          <w:sz w:val="18"/>
        </w:rPr>
        <w:t> </w:t>
      </w:r>
      <w:r>
        <w:rPr>
          <w:sz w:val="18"/>
        </w:rPr>
        <w:t>foram</w:t>
      </w:r>
      <w:r>
        <w:rPr>
          <w:spacing w:val="-5"/>
          <w:sz w:val="18"/>
        </w:rPr>
        <w:t> </w:t>
      </w:r>
      <w:r>
        <w:rPr>
          <w:sz w:val="18"/>
        </w:rPr>
        <w:t>considerados</w:t>
      </w:r>
      <w:r>
        <w:rPr>
          <w:spacing w:val="-6"/>
          <w:sz w:val="18"/>
        </w:rPr>
        <w:t> </w:t>
      </w:r>
      <w:r>
        <w:rPr>
          <w:sz w:val="18"/>
        </w:rPr>
        <w:t>apenas</w:t>
      </w:r>
      <w:r>
        <w:rPr>
          <w:spacing w:val="-5"/>
          <w:sz w:val="18"/>
        </w:rPr>
        <w:t> </w:t>
      </w:r>
      <w:r>
        <w:rPr>
          <w:sz w:val="18"/>
        </w:rPr>
        <w:t>os</w:t>
      </w:r>
      <w:r>
        <w:rPr>
          <w:spacing w:val="-3"/>
          <w:sz w:val="18"/>
        </w:rPr>
        <w:t> </w:t>
      </w:r>
      <w:r>
        <w:rPr>
          <w:sz w:val="18"/>
        </w:rPr>
        <w:t>percentuais</w:t>
      </w:r>
      <w:r>
        <w:rPr>
          <w:spacing w:val="-6"/>
          <w:sz w:val="18"/>
        </w:rPr>
        <w:t> </w:t>
      </w:r>
      <w:r>
        <w:rPr>
          <w:sz w:val="18"/>
        </w:rPr>
        <w:t>com</w:t>
      </w:r>
      <w:r>
        <w:rPr>
          <w:spacing w:val="-5"/>
          <w:sz w:val="18"/>
        </w:rPr>
        <w:t> </w:t>
      </w:r>
      <w:r>
        <w:rPr>
          <w:sz w:val="18"/>
        </w:rPr>
        <w:t>redução de</w:t>
      </w:r>
      <w:r>
        <w:rPr>
          <w:spacing w:val="-10"/>
          <w:sz w:val="18"/>
        </w:rPr>
        <w:t> </w:t>
      </w:r>
      <w:r>
        <w:rPr>
          <w:sz w:val="18"/>
        </w:rPr>
        <w:t>80%</w:t>
      </w:r>
      <w:r>
        <w:rPr>
          <w:spacing w:val="-7"/>
          <w:sz w:val="18"/>
        </w:rPr>
        <w:t> </w:t>
      </w:r>
      <w:r>
        <w:rPr>
          <w:sz w:val="18"/>
        </w:rPr>
        <w:t>para</w:t>
      </w:r>
      <w:r>
        <w:rPr>
          <w:spacing w:val="-10"/>
          <w:sz w:val="18"/>
        </w:rPr>
        <w:t> </w:t>
      </w:r>
      <w:r>
        <w:rPr>
          <w:sz w:val="18"/>
        </w:rPr>
        <w:t>os</w:t>
      </w:r>
      <w:r>
        <w:rPr>
          <w:spacing w:val="-10"/>
          <w:sz w:val="18"/>
        </w:rPr>
        <w:t> </w:t>
      </w:r>
      <w:r>
        <w:rPr>
          <w:sz w:val="18"/>
        </w:rPr>
        <w:t>CAU/AC,</w:t>
      </w:r>
      <w:r>
        <w:rPr>
          <w:spacing w:val="-9"/>
          <w:sz w:val="18"/>
        </w:rPr>
        <w:t> </w:t>
      </w:r>
      <w:r>
        <w:rPr>
          <w:sz w:val="18"/>
        </w:rPr>
        <w:t>CAU/AM,</w:t>
      </w:r>
      <w:r>
        <w:rPr>
          <w:spacing w:val="-9"/>
          <w:sz w:val="18"/>
        </w:rPr>
        <w:t> </w:t>
      </w:r>
      <w:r>
        <w:rPr>
          <w:sz w:val="18"/>
        </w:rPr>
        <w:t>CAU/AP,</w:t>
      </w:r>
      <w:r>
        <w:rPr>
          <w:spacing w:val="-9"/>
          <w:sz w:val="18"/>
        </w:rPr>
        <w:t> </w:t>
      </w:r>
      <w:r>
        <w:rPr>
          <w:sz w:val="18"/>
        </w:rPr>
        <w:t>CAU/MA,</w:t>
      </w:r>
      <w:r>
        <w:rPr>
          <w:spacing w:val="-9"/>
          <w:sz w:val="18"/>
        </w:rPr>
        <w:t> </w:t>
      </w:r>
      <w:r>
        <w:rPr>
          <w:sz w:val="18"/>
        </w:rPr>
        <w:t>CAU/PI,</w:t>
      </w:r>
      <w:r>
        <w:rPr>
          <w:spacing w:val="-9"/>
          <w:sz w:val="18"/>
        </w:rPr>
        <w:t> </w:t>
      </w:r>
      <w:r>
        <w:rPr>
          <w:sz w:val="18"/>
        </w:rPr>
        <w:t>CAU/RO,</w:t>
      </w:r>
      <w:r>
        <w:rPr>
          <w:spacing w:val="-9"/>
          <w:sz w:val="18"/>
        </w:rPr>
        <w:t> </w:t>
      </w:r>
      <w:r>
        <w:rPr>
          <w:sz w:val="18"/>
        </w:rPr>
        <w:t>CAU/RR,</w:t>
      </w:r>
      <w:r>
        <w:rPr>
          <w:spacing w:val="-9"/>
          <w:sz w:val="18"/>
        </w:rPr>
        <w:t> </w:t>
      </w:r>
      <w:r>
        <w:rPr>
          <w:sz w:val="18"/>
        </w:rPr>
        <w:t>CAU/SE,</w:t>
      </w:r>
      <w:r>
        <w:rPr>
          <w:spacing w:val="-9"/>
          <w:sz w:val="18"/>
        </w:rPr>
        <w:t> </w:t>
      </w:r>
      <w:r>
        <w:rPr>
          <w:sz w:val="18"/>
        </w:rPr>
        <w:t>CAU/TO</w:t>
      </w:r>
      <w:r>
        <w:rPr>
          <w:spacing w:val="-9"/>
          <w:sz w:val="18"/>
        </w:rPr>
        <w:t> </w:t>
      </w:r>
      <w:r>
        <w:rPr>
          <w:sz w:val="18"/>
        </w:rPr>
        <w:t>e</w:t>
      </w:r>
      <w:r>
        <w:rPr>
          <w:spacing w:val="-8"/>
          <w:sz w:val="18"/>
        </w:rPr>
        <w:t> </w:t>
      </w:r>
      <w:r>
        <w:rPr>
          <w:sz w:val="18"/>
        </w:rPr>
        <w:t>de</w:t>
      </w:r>
      <w:r>
        <w:rPr>
          <w:spacing w:val="-10"/>
          <w:sz w:val="18"/>
        </w:rPr>
        <w:t> </w:t>
      </w:r>
      <w:r>
        <w:rPr>
          <w:sz w:val="18"/>
        </w:rPr>
        <w:t>50%</w:t>
      </w:r>
      <w:r>
        <w:rPr>
          <w:spacing w:val="-9"/>
          <w:sz w:val="18"/>
        </w:rPr>
        <w:t> </w:t>
      </w:r>
      <w:r>
        <w:rPr>
          <w:sz w:val="18"/>
        </w:rPr>
        <w:t>para</w:t>
      </w:r>
      <w:r>
        <w:rPr>
          <w:spacing w:val="-7"/>
          <w:sz w:val="18"/>
        </w:rPr>
        <w:t> </w:t>
      </w:r>
      <w:r>
        <w:rPr>
          <w:sz w:val="18"/>
        </w:rPr>
        <w:t>os</w:t>
      </w:r>
      <w:r>
        <w:rPr>
          <w:spacing w:val="-10"/>
          <w:sz w:val="18"/>
        </w:rPr>
        <w:t> </w:t>
      </w:r>
      <w:r>
        <w:rPr>
          <w:sz w:val="18"/>
        </w:rPr>
        <w:t>CAU/AL,</w:t>
      </w:r>
      <w:r>
        <w:rPr>
          <w:spacing w:val="-9"/>
          <w:sz w:val="18"/>
        </w:rPr>
        <w:t> </w:t>
      </w:r>
      <w:r>
        <w:rPr>
          <w:sz w:val="18"/>
        </w:rPr>
        <w:t>CAU/BA,</w:t>
      </w:r>
    </w:p>
    <w:p>
      <w:pPr>
        <w:spacing w:before="0"/>
        <w:ind w:left="118" w:right="112" w:firstLine="0"/>
        <w:jc w:val="both"/>
        <w:rPr>
          <w:sz w:val="18"/>
        </w:rPr>
      </w:pPr>
      <w:r>
        <w:rPr>
          <w:sz w:val="18"/>
        </w:rPr>
        <w:t>CAU/CE, CAU/DF, CAU/ES, CAU/GO, CAU/MS, CAU/MT, CAU/PA, CAU/PB, CAU/PE, CAU/RN, sendo a diferença assumida pelo CAU/BR,</w:t>
      </w:r>
      <w:r>
        <w:rPr>
          <w:spacing w:val="-2"/>
          <w:sz w:val="18"/>
        </w:rPr>
        <w:t> </w:t>
      </w:r>
      <w:r>
        <w:rPr>
          <w:sz w:val="18"/>
        </w:rPr>
        <w:t>com</w:t>
      </w:r>
      <w:r>
        <w:rPr>
          <w:spacing w:val="-2"/>
          <w:sz w:val="18"/>
        </w:rPr>
        <w:t> </w:t>
      </w:r>
      <w:r>
        <w:rPr>
          <w:sz w:val="18"/>
        </w:rPr>
        <w:t>a</w:t>
      </w:r>
      <w:r>
        <w:rPr>
          <w:spacing w:val="-2"/>
          <w:sz w:val="18"/>
        </w:rPr>
        <w:t> </w:t>
      </w:r>
      <w:r>
        <w:rPr>
          <w:sz w:val="18"/>
        </w:rPr>
        <w:t>utilização</w:t>
      </w:r>
      <w:r>
        <w:rPr>
          <w:spacing w:val="-1"/>
          <w:sz w:val="18"/>
        </w:rPr>
        <w:t> </w:t>
      </w:r>
      <w:r>
        <w:rPr>
          <w:sz w:val="18"/>
        </w:rPr>
        <w:t>de</w:t>
      </w:r>
      <w:r>
        <w:rPr>
          <w:spacing w:val="-3"/>
          <w:sz w:val="18"/>
        </w:rPr>
        <w:t> </w:t>
      </w:r>
      <w:r>
        <w:rPr>
          <w:sz w:val="18"/>
        </w:rPr>
        <w:t>recursos</w:t>
      </w:r>
      <w:r>
        <w:rPr>
          <w:spacing w:val="-3"/>
          <w:sz w:val="18"/>
        </w:rPr>
        <w:t> </w:t>
      </w:r>
      <w:r>
        <w:rPr>
          <w:sz w:val="18"/>
        </w:rPr>
        <w:t>de</w:t>
      </w:r>
      <w:r>
        <w:rPr>
          <w:spacing w:val="-3"/>
          <w:sz w:val="18"/>
        </w:rPr>
        <w:t> </w:t>
      </w:r>
      <w:r>
        <w:rPr>
          <w:sz w:val="18"/>
        </w:rPr>
        <w:t>seu</w:t>
      </w:r>
      <w:r>
        <w:rPr>
          <w:spacing w:val="-3"/>
          <w:sz w:val="18"/>
        </w:rPr>
        <w:t> </w:t>
      </w:r>
      <w:r>
        <w:rPr>
          <w:sz w:val="18"/>
        </w:rPr>
        <w:t>superávit</w:t>
      </w:r>
      <w:r>
        <w:rPr>
          <w:spacing w:val="-2"/>
          <w:sz w:val="18"/>
        </w:rPr>
        <w:t> </w:t>
      </w:r>
      <w:r>
        <w:rPr>
          <w:sz w:val="18"/>
        </w:rPr>
        <w:t>financeiro</w:t>
      </w:r>
      <w:r>
        <w:rPr>
          <w:spacing w:val="-2"/>
          <w:sz w:val="18"/>
        </w:rPr>
        <w:t> </w:t>
      </w:r>
      <w:r>
        <w:rPr>
          <w:sz w:val="18"/>
        </w:rPr>
        <w:t>contabilizado</w:t>
      </w:r>
      <w:r>
        <w:rPr>
          <w:spacing w:val="-2"/>
          <w:sz w:val="18"/>
        </w:rPr>
        <w:t> </w:t>
      </w:r>
      <w:r>
        <w:rPr>
          <w:sz w:val="18"/>
        </w:rPr>
        <w:t>no</w:t>
      </w:r>
      <w:r>
        <w:rPr>
          <w:spacing w:val="-2"/>
          <w:sz w:val="18"/>
        </w:rPr>
        <w:t> </w:t>
      </w:r>
      <w:r>
        <w:rPr>
          <w:sz w:val="18"/>
        </w:rPr>
        <w:t>balanço</w:t>
      </w:r>
      <w:r>
        <w:rPr>
          <w:spacing w:val="-2"/>
          <w:sz w:val="18"/>
        </w:rPr>
        <w:t> </w:t>
      </w:r>
      <w:r>
        <w:rPr>
          <w:sz w:val="18"/>
        </w:rPr>
        <w:t>patrimonial</w:t>
      </w:r>
      <w:r>
        <w:rPr>
          <w:spacing w:val="-3"/>
          <w:sz w:val="18"/>
        </w:rPr>
        <w:t> </w:t>
      </w:r>
      <w:r>
        <w:rPr>
          <w:sz w:val="18"/>
        </w:rPr>
        <w:t>de</w:t>
      </w:r>
      <w:r>
        <w:rPr>
          <w:spacing w:val="-3"/>
          <w:sz w:val="18"/>
        </w:rPr>
        <w:t> </w:t>
      </w:r>
      <w:r>
        <w:rPr>
          <w:sz w:val="18"/>
        </w:rPr>
        <w:t>31 de</w:t>
      </w:r>
      <w:r>
        <w:rPr>
          <w:spacing w:val="-3"/>
          <w:sz w:val="18"/>
        </w:rPr>
        <w:t> </w:t>
      </w:r>
      <w:r>
        <w:rPr>
          <w:sz w:val="18"/>
        </w:rPr>
        <w:t>dezembro</w:t>
      </w:r>
      <w:r>
        <w:rPr>
          <w:spacing w:val="-2"/>
          <w:sz w:val="18"/>
        </w:rPr>
        <w:t> </w:t>
      </w:r>
      <w:r>
        <w:rPr>
          <w:sz w:val="18"/>
        </w:rPr>
        <w:t>de</w:t>
      </w:r>
      <w:r>
        <w:rPr>
          <w:spacing w:val="-3"/>
          <w:sz w:val="18"/>
        </w:rPr>
        <w:t> </w:t>
      </w:r>
      <w:r>
        <w:rPr>
          <w:sz w:val="18"/>
        </w:rPr>
        <w:t>2019;</w:t>
      </w:r>
    </w:p>
    <w:p>
      <w:pPr>
        <w:pStyle w:val="ListParagraph"/>
        <w:numPr>
          <w:ilvl w:val="0"/>
          <w:numId w:val="7"/>
        </w:numPr>
        <w:tabs>
          <w:tab w:pos="257" w:val="left" w:leader="none"/>
        </w:tabs>
        <w:spacing w:line="240" w:lineRule="auto" w:before="0" w:after="0"/>
        <w:ind w:left="118" w:right="108" w:firstLine="0"/>
        <w:jc w:val="both"/>
        <w:rPr>
          <w:sz w:val="18"/>
        </w:rPr>
      </w:pPr>
      <w:r>
        <w:rPr>
          <w:sz w:val="18"/>
        </w:rPr>
        <w:t>Na reprogramação 2020, para os aportes de CSC dos CAU/UF foram considerados apenas os percentuais com redução de 80%, sendo a diferença (R$ 1.388.976,00) assumida pelo CAU/BR juntamente com seu valor do aporte de R$ 1.568.138,99, referente as parcelas</w:t>
      </w:r>
      <w:r>
        <w:rPr>
          <w:spacing w:val="-11"/>
          <w:sz w:val="18"/>
        </w:rPr>
        <w:t> </w:t>
      </w:r>
      <w:r>
        <w:rPr>
          <w:sz w:val="18"/>
        </w:rPr>
        <w:t>previstas</w:t>
      </w:r>
      <w:r>
        <w:rPr>
          <w:spacing w:val="-10"/>
          <w:sz w:val="18"/>
        </w:rPr>
        <w:t> </w:t>
      </w:r>
      <w:r>
        <w:rPr>
          <w:sz w:val="18"/>
        </w:rPr>
        <w:t>para</w:t>
      </w:r>
      <w:r>
        <w:rPr>
          <w:spacing w:val="-10"/>
          <w:sz w:val="18"/>
        </w:rPr>
        <w:t> </w:t>
      </w:r>
      <w:r>
        <w:rPr>
          <w:sz w:val="18"/>
        </w:rPr>
        <w:t>os</w:t>
      </w:r>
      <w:r>
        <w:rPr>
          <w:spacing w:val="-10"/>
          <w:sz w:val="18"/>
        </w:rPr>
        <w:t> </w:t>
      </w:r>
      <w:r>
        <w:rPr>
          <w:sz w:val="18"/>
        </w:rPr>
        <w:t>meses</w:t>
      </w:r>
      <w:r>
        <w:rPr>
          <w:spacing w:val="-10"/>
          <w:sz w:val="18"/>
        </w:rPr>
        <w:t> </w:t>
      </w:r>
      <w:r>
        <w:rPr>
          <w:sz w:val="18"/>
        </w:rPr>
        <w:t>de</w:t>
      </w:r>
      <w:r>
        <w:rPr>
          <w:spacing w:val="-11"/>
          <w:sz w:val="18"/>
        </w:rPr>
        <w:t> </w:t>
      </w:r>
      <w:r>
        <w:rPr>
          <w:sz w:val="18"/>
        </w:rPr>
        <w:t>junho</w:t>
      </w:r>
      <w:r>
        <w:rPr>
          <w:spacing w:val="-9"/>
          <w:sz w:val="18"/>
        </w:rPr>
        <w:t> </w:t>
      </w:r>
      <w:r>
        <w:rPr>
          <w:sz w:val="18"/>
        </w:rPr>
        <w:t>a</w:t>
      </w:r>
      <w:r>
        <w:rPr>
          <w:spacing w:val="-10"/>
          <w:sz w:val="18"/>
        </w:rPr>
        <w:t> </w:t>
      </w:r>
      <w:r>
        <w:rPr>
          <w:sz w:val="18"/>
        </w:rPr>
        <w:t>dezembro</w:t>
      </w:r>
      <w:r>
        <w:rPr>
          <w:spacing w:val="-9"/>
          <w:sz w:val="18"/>
        </w:rPr>
        <w:t> </w:t>
      </w:r>
      <w:r>
        <w:rPr>
          <w:sz w:val="18"/>
        </w:rPr>
        <w:t>de</w:t>
      </w:r>
      <w:r>
        <w:rPr>
          <w:spacing w:val="-11"/>
          <w:sz w:val="18"/>
        </w:rPr>
        <w:t> </w:t>
      </w:r>
      <w:r>
        <w:rPr>
          <w:sz w:val="18"/>
        </w:rPr>
        <w:t>2020,</w:t>
      </w:r>
      <w:r>
        <w:rPr>
          <w:spacing w:val="-9"/>
          <w:sz w:val="18"/>
        </w:rPr>
        <w:t> </w:t>
      </w:r>
      <w:r>
        <w:rPr>
          <w:sz w:val="18"/>
        </w:rPr>
        <w:t>com</w:t>
      </w:r>
      <w:r>
        <w:rPr>
          <w:spacing w:val="-10"/>
          <w:sz w:val="18"/>
        </w:rPr>
        <w:t> </w:t>
      </w:r>
      <w:r>
        <w:rPr>
          <w:sz w:val="18"/>
        </w:rPr>
        <w:t>a</w:t>
      </w:r>
      <w:r>
        <w:rPr>
          <w:spacing w:val="-9"/>
          <w:sz w:val="18"/>
        </w:rPr>
        <w:t> </w:t>
      </w:r>
      <w:r>
        <w:rPr>
          <w:sz w:val="18"/>
        </w:rPr>
        <w:t>utilização</w:t>
      </w:r>
      <w:r>
        <w:rPr>
          <w:spacing w:val="-9"/>
          <w:sz w:val="18"/>
        </w:rPr>
        <w:t> </w:t>
      </w:r>
      <w:r>
        <w:rPr>
          <w:sz w:val="18"/>
        </w:rPr>
        <w:t>de</w:t>
      </w:r>
      <w:r>
        <w:rPr>
          <w:spacing w:val="-10"/>
          <w:sz w:val="18"/>
        </w:rPr>
        <w:t> </w:t>
      </w:r>
      <w:r>
        <w:rPr>
          <w:sz w:val="18"/>
        </w:rPr>
        <w:t>recursos</w:t>
      </w:r>
      <w:r>
        <w:rPr>
          <w:spacing w:val="-11"/>
          <w:sz w:val="18"/>
        </w:rPr>
        <w:t> </w:t>
      </w:r>
      <w:r>
        <w:rPr>
          <w:sz w:val="18"/>
        </w:rPr>
        <w:t>de</w:t>
      </w:r>
      <w:r>
        <w:rPr>
          <w:spacing w:val="-10"/>
          <w:sz w:val="18"/>
        </w:rPr>
        <w:t> </w:t>
      </w:r>
      <w:r>
        <w:rPr>
          <w:sz w:val="18"/>
        </w:rPr>
        <w:t>seu</w:t>
      </w:r>
      <w:r>
        <w:rPr>
          <w:spacing w:val="-8"/>
          <w:sz w:val="18"/>
        </w:rPr>
        <w:t> </w:t>
      </w:r>
      <w:r>
        <w:rPr>
          <w:sz w:val="18"/>
        </w:rPr>
        <w:t>superávit</w:t>
      </w:r>
      <w:r>
        <w:rPr>
          <w:spacing w:val="-11"/>
          <w:sz w:val="18"/>
        </w:rPr>
        <w:t> </w:t>
      </w:r>
      <w:r>
        <w:rPr>
          <w:sz w:val="18"/>
        </w:rPr>
        <w:t>financeiro</w:t>
      </w:r>
      <w:r>
        <w:rPr>
          <w:spacing w:val="-9"/>
          <w:sz w:val="18"/>
        </w:rPr>
        <w:t> </w:t>
      </w:r>
      <w:r>
        <w:rPr>
          <w:sz w:val="18"/>
        </w:rPr>
        <w:t>contabilizado no balanço patrimonial de 31 de dezembro de 2019 (DPOBR Nº 0102-10/2020, de 19 de junho de 2020).</w:t>
      </w:r>
    </w:p>
    <w:p>
      <w:pPr>
        <w:spacing w:after="0" w:line="240" w:lineRule="auto"/>
        <w:jc w:val="both"/>
        <w:rPr>
          <w:sz w:val="18"/>
        </w:rPr>
        <w:sectPr>
          <w:pgSz w:w="11910" w:h="16840"/>
          <w:pgMar w:header="687" w:footer="261" w:top="1560" w:bottom="460" w:left="130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1"/>
        </w:rPr>
      </w:pPr>
    </w:p>
    <w:p>
      <w:pPr>
        <w:pStyle w:val="Heading1"/>
      </w:pPr>
      <w:r>
        <w:rPr>
          <w:color w:val="008080"/>
        </w:rPr>
        <w:t>ANEXO </w:t>
      </w:r>
      <w:r>
        <w:rPr>
          <w:color w:val="008080"/>
          <w:spacing w:val="-10"/>
        </w:rPr>
        <w:t>4</w:t>
      </w:r>
    </w:p>
    <w:p>
      <w:pPr>
        <w:pStyle w:val="BodyText"/>
        <w:rPr>
          <w:b/>
          <w:sz w:val="48"/>
        </w:rPr>
      </w:pPr>
    </w:p>
    <w:p>
      <w:pPr>
        <w:pStyle w:val="BodyText"/>
        <w:rPr>
          <w:b/>
          <w:sz w:val="48"/>
        </w:rPr>
      </w:pPr>
    </w:p>
    <w:p>
      <w:pPr>
        <w:pStyle w:val="Heading2"/>
        <w:spacing w:line="360" w:lineRule="auto"/>
      </w:pPr>
      <w:r>
        <w:rPr>
          <w:color w:val="008080"/>
        </w:rPr>
        <w:t>Demonstrativo</w:t>
      </w:r>
      <w:r>
        <w:rPr>
          <w:color w:val="008080"/>
          <w:spacing w:val="-6"/>
        </w:rPr>
        <w:t> </w:t>
      </w:r>
      <w:r>
        <w:rPr>
          <w:color w:val="008080"/>
        </w:rPr>
        <w:t>das</w:t>
      </w:r>
      <w:r>
        <w:rPr>
          <w:color w:val="008080"/>
          <w:spacing w:val="-6"/>
        </w:rPr>
        <w:t> </w:t>
      </w:r>
      <w:r>
        <w:rPr>
          <w:color w:val="008080"/>
        </w:rPr>
        <w:t>Aplicações</w:t>
      </w:r>
      <w:r>
        <w:rPr>
          <w:color w:val="008080"/>
          <w:spacing w:val="-6"/>
        </w:rPr>
        <w:t> </w:t>
      </w:r>
      <w:r>
        <w:rPr>
          <w:color w:val="008080"/>
        </w:rPr>
        <w:t>por</w:t>
      </w:r>
      <w:r>
        <w:rPr>
          <w:color w:val="008080"/>
          <w:spacing w:val="-7"/>
        </w:rPr>
        <w:t> </w:t>
      </w:r>
      <w:r>
        <w:rPr>
          <w:color w:val="008080"/>
        </w:rPr>
        <w:t>Elementos</w:t>
      </w:r>
      <w:r>
        <w:rPr>
          <w:color w:val="008080"/>
          <w:spacing w:val="-8"/>
        </w:rPr>
        <w:t> </w:t>
      </w:r>
      <w:r>
        <w:rPr>
          <w:color w:val="008080"/>
        </w:rPr>
        <w:t>de Despesas dos CAU/UF e CAU/BR.</w:t>
      </w:r>
    </w:p>
    <w:p>
      <w:pPr>
        <w:spacing w:after="0" w:line="360" w:lineRule="auto"/>
        <w:sectPr>
          <w:pgSz w:w="11910" w:h="16840"/>
          <w:pgMar w:header="687" w:footer="261" w:top="1560" w:bottom="460" w:left="1300" w:right="740"/>
        </w:sectPr>
      </w:pPr>
    </w:p>
    <w:p>
      <w:pPr>
        <w:pStyle w:val="BodyText"/>
        <w:rPr>
          <w:b/>
          <w:sz w:val="20"/>
        </w:rPr>
      </w:pPr>
    </w:p>
    <w:p>
      <w:pPr>
        <w:pStyle w:val="BodyText"/>
        <w:rPr>
          <w:b/>
          <w:sz w:val="20"/>
        </w:rPr>
      </w:pPr>
    </w:p>
    <w:p>
      <w:pPr>
        <w:pStyle w:val="BodyText"/>
        <w:rPr>
          <w:b/>
          <w:sz w:val="20"/>
        </w:rPr>
      </w:pPr>
    </w:p>
    <w:p>
      <w:pPr>
        <w:pStyle w:val="Heading5"/>
        <w:spacing w:before="177"/>
        <w:ind w:left="7121"/>
        <w:jc w:val="left"/>
      </w:pPr>
      <w:r>
        <w:rPr/>
        <w:drawing>
          <wp:anchor distT="0" distB="0" distL="0" distR="0" allowOverlap="1" layoutInCell="1" locked="0" behindDoc="0" simplePos="0" relativeHeight="15733248">
            <wp:simplePos x="0" y="0"/>
            <wp:positionH relativeFrom="page">
              <wp:posOffset>0</wp:posOffset>
            </wp:positionH>
            <wp:positionV relativeFrom="paragraph">
              <wp:posOffset>-465322</wp:posOffset>
            </wp:positionV>
            <wp:extent cx="10692383" cy="563821"/>
            <wp:effectExtent l="0" t="0" r="0" b="0"/>
            <wp:wrapNone/>
            <wp:docPr id="39" name="image52.jpeg"/>
            <wp:cNvGraphicFramePr>
              <a:graphicFrameLocks noChangeAspect="1"/>
            </wp:cNvGraphicFramePr>
            <a:graphic>
              <a:graphicData uri="http://schemas.openxmlformats.org/drawingml/2006/picture">
                <pic:pic>
                  <pic:nvPicPr>
                    <pic:cNvPr id="40" name="image52.jpeg"/>
                    <pic:cNvPicPr/>
                  </pic:nvPicPr>
                  <pic:blipFill>
                    <a:blip r:embed="rId67" cstate="print"/>
                    <a:stretch>
                      <a:fillRect/>
                    </a:stretch>
                  </pic:blipFill>
                  <pic:spPr>
                    <a:xfrm>
                      <a:off x="0" y="0"/>
                      <a:ext cx="10692383" cy="563821"/>
                    </a:xfrm>
                    <a:prstGeom prst="rect">
                      <a:avLst/>
                    </a:prstGeom>
                  </pic:spPr>
                </pic:pic>
              </a:graphicData>
            </a:graphic>
          </wp:anchor>
        </w:drawing>
      </w:r>
      <w:bookmarkStart w:name="_bookmark24" w:id="25"/>
      <w:bookmarkEnd w:id="25"/>
      <w:r>
        <w:rPr>
          <w:b w:val="0"/>
        </w:rPr>
      </w:r>
      <w:r>
        <w:rPr/>
        <w:t>Anexo</w:t>
      </w:r>
      <w:r>
        <w:rPr>
          <w:spacing w:val="-3"/>
        </w:rPr>
        <w:t> </w:t>
      </w:r>
      <w:r>
        <w:rPr/>
        <w:t>4.</w:t>
      </w:r>
      <w:r>
        <w:rPr>
          <w:spacing w:val="-3"/>
        </w:rPr>
        <w:t> </w:t>
      </w:r>
      <w:r>
        <w:rPr/>
        <w:t>Demonstrativo</w:t>
      </w:r>
      <w:r>
        <w:rPr>
          <w:spacing w:val="-4"/>
        </w:rPr>
        <w:t> </w:t>
      </w:r>
      <w:r>
        <w:rPr/>
        <w:t>das</w:t>
      </w:r>
      <w:r>
        <w:rPr>
          <w:spacing w:val="-2"/>
        </w:rPr>
        <w:t> </w:t>
      </w:r>
      <w:r>
        <w:rPr/>
        <w:t>Aplicações</w:t>
      </w:r>
      <w:r>
        <w:rPr>
          <w:spacing w:val="-4"/>
        </w:rPr>
        <w:t> </w:t>
      </w:r>
      <w:r>
        <w:rPr/>
        <w:t>por</w:t>
      </w:r>
      <w:r>
        <w:rPr>
          <w:spacing w:val="-2"/>
        </w:rPr>
        <w:t> </w:t>
      </w:r>
      <w:r>
        <w:rPr/>
        <w:t>Elementos</w:t>
      </w:r>
      <w:r>
        <w:rPr>
          <w:spacing w:val="-2"/>
        </w:rPr>
        <w:t> </w:t>
      </w:r>
      <w:r>
        <w:rPr/>
        <w:t>de</w:t>
      </w:r>
      <w:r>
        <w:rPr>
          <w:spacing w:val="-3"/>
        </w:rPr>
        <w:t> </w:t>
      </w:r>
      <w:r>
        <w:rPr/>
        <w:t>Despesas</w:t>
      </w:r>
      <w:r>
        <w:rPr>
          <w:spacing w:val="-4"/>
        </w:rPr>
        <w:t> </w:t>
      </w:r>
      <w:r>
        <w:rPr/>
        <w:t>dos</w:t>
      </w:r>
      <w:r>
        <w:rPr>
          <w:spacing w:val="-1"/>
        </w:rPr>
        <w:t> </w:t>
      </w:r>
      <w:r>
        <w:rPr/>
        <w:t>CAU/UF</w:t>
      </w:r>
      <w:r>
        <w:rPr>
          <w:spacing w:val="-2"/>
        </w:rPr>
        <w:t> </w:t>
      </w:r>
      <w:r>
        <w:rPr/>
        <w:t>e</w:t>
      </w:r>
      <w:r>
        <w:rPr>
          <w:spacing w:val="-2"/>
        </w:rPr>
        <w:t> CAU/BR</w:t>
      </w:r>
    </w:p>
    <w:p>
      <w:pPr>
        <w:pStyle w:val="BodyText"/>
        <w:ind w:left="758"/>
        <w:rPr>
          <w:sz w:val="20"/>
        </w:rPr>
      </w:pPr>
      <w:r>
        <w:rPr>
          <w:sz w:val="20"/>
        </w:rPr>
        <w:drawing>
          <wp:inline distT="0" distB="0" distL="0" distR="0">
            <wp:extent cx="9714986" cy="4809744"/>
            <wp:effectExtent l="0" t="0" r="0" b="0"/>
            <wp:docPr id="41" name="image53.jpeg"/>
            <wp:cNvGraphicFramePr>
              <a:graphicFrameLocks noChangeAspect="1"/>
            </wp:cNvGraphicFramePr>
            <a:graphic>
              <a:graphicData uri="http://schemas.openxmlformats.org/drawingml/2006/picture">
                <pic:pic>
                  <pic:nvPicPr>
                    <pic:cNvPr id="42" name="image53.jpeg"/>
                    <pic:cNvPicPr/>
                  </pic:nvPicPr>
                  <pic:blipFill>
                    <a:blip r:embed="rId68" cstate="print"/>
                    <a:stretch>
                      <a:fillRect/>
                    </a:stretch>
                  </pic:blipFill>
                  <pic:spPr>
                    <a:xfrm>
                      <a:off x="0" y="0"/>
                      <a:ext cx="9714986" cy="4809744"/>
                    </a:xfrm>
                    <a:prstGeom prst="rect">
                      <a:avLst/>
                    </a:prstGeom>
                  </pic:spPr>
                </pic:pic>
              </a:graphicData>
            </a:graphic>
          </wp:inline>
        </w:drawing>
      </w:r>
      <w:r>
        <w:rPr>
          <w:sz w:val="20"/>
        </w:rPr>
      </w:r>
    </w:p>
    <w:p>
      <w:pPr>
        <w:spacing w:before="17"/>
        <w:ind w:left="710" w:right="704" w:firstLine="0"/>
        <w:jc w:val="both"/>
        <w:rPr>
          <w:sz w:val="18"/>
        </w:rPr>
      </w:pPr>
      <w:r>
        <w:rPr>
          <w:sz w:val="18"/>
        </w:rPr>
        <w:t>*Na</w:t>
      </w:r>
      <w:r>
        <w:rPr>
          <w:spacing w:val="-5"/>
          <w:sz w:val="18"/>
        </w:rPr>
        <w:t> </w:t>
      </w:r>
      <w:r>
        <w:rPr>
          <w:sz w:val="18"/>
        </w:rPr>
        <w:t>reprogramação</w:t>
      </w:r>
      <w:r>
        <w:rPr>
          <w:spacing w:val="-4"/>
          <w:sz w:val="18"/>
        </w:rPr>
        <w:t> </w:t>
      </w:r>
      <w:r>
        <w:rPr>
          <w:sz w:val="18"/>
        </w:rPr>
        <w:t>2020,</w:t>
      </w:r>
      <w:r>
        <w:rPr>
          <w:spacing w:val="-4"/>
          <w:sz w:val="18"/>
        </w:rPr>
        <w:t> </w:t>
      </w:r>
      <w:r>
        <w:rPr>
          <w:sz w:val="18"/>
        </w:rPr>
        <w:t>para</w:t>
      </w:r>
      <w:r>
        <w:rPr>
          <w:spacing w:val="-5"/>
          <w:sz w:val="18"/>
        </w:rPr>
        <w:t> </w:t>
      </w:r>
      <w:r>
        <w:rPr>
          <w:sz w:val="18"/>
        </w:rPr>
        <w:t>os</w:t>
      </w:r>
      <w:r>
        <w:rPr>
          <w:spacing w:val="-2"/>
          <w:sz w:val="18"/>
        </w:rPr>
        <w:t> </w:t>
      </w:r>
      <w:r>
        <w:rPr>
          <w:sz w:val="18"/>
        </w:rPr>
        <w:t>aportes</w:t>
      </w:r>
      <w:r>
        <w:rPr>
          <w:spacing w:val="-6"/>
          <w:sz w:val="18"/>
        </w:rPr>
        <w:t> </w:t>
      </w:r>
      <w:r>
        <w:rPr>
          <w:sz w:val="18"/>
        </w:rPr>
        <w:t>de</w:t>
      </w:r>
      <w:r>
        <w:rPr>
          <w:spacing w:val="-6"/>
          <w:sz w:val="18"/>
        </w:rPr>
        <w:t> </w:t>
      </w:r>
      <w:r>
        <w:rPr>
          <w:sz w:val="18"/>
        </w:rPr>
        <w:t>Fundo</w:t>
      </w:r>
      <w:r>
        <w:rPr>
          <w:spacing w:val="-4"/>
          <w:sz w:val="18"/>
        </w:rPr>
        <w:t> </w:t>
      </w:r>
      <w:r>
        <w:rPr>
          <w:sz w:val="18"/>
        </w:rPr>
        <w:t>de</w:t>
      </w:r>
      <w:r>
        <w:rPr>
          <w:spacing w:val="-6"/>
          <w:sz w:val="18"/>
        </w:rPr>
        <w:t> </w:t>
      </w:r>
      <w:r>
        <w:rPr>
          <w:sz w:val="18"/>
        </w:rPr>
        <w:t>Apoio</w:t>
      </w:r>
      <w:r>
        <w:rPr>
          <w:spacing w:val="-4"/>
          <w:sz w:val="18"/>
        </w:rPr>
        <w:t> </w:t>
      </w:r>
      <w:r>
        <w:rPr>
          <w:sz w:val="18"/>
        </w:rPr>
        <w:t>dos</w:t>
      </w:r>
      <w:r>
        <w:rPr>
          <w:spacing w:val="-6"/>
          <w:sz w:val="18"/>
        </w:rPr>
        <w:t> </w:t>
      </w:r>
      <w:r>
        <w:rPr>
          <w:sz w:val="18"/>
        </w:rPr>
        <w:t>CAU/UF</w:t>
      </w:r>
      <w:r>
        <w:rPr>
          <w:spacing w:val="-6"/>
          <w:sz w:val="18"/>
        </w:rPr>
        <w:t> </w:t>
      </w:r>
      <w:r>
        <w:rPr>
          <w:sz w:val="18"/>
        </w:rPr>
        <w:t>foram</w:t>
      </w:r>
      <w:r>
        <w:rPr>
          <w:spacing w:val="-2"/>
          <w:sz w:val="18"/>
        </w:rPr>
        <w:t> </w:t>
      </w:r>
      <w:r>
        <w:rPr>
          <w:sz w:val="18"/>
        </w:rPr>
        <w:t>considerados</w:t>
      </w:r>
      <w:r>
        <w:rPr>
          <w:spacing w:val="-6"/>
          <w:sz w:val="18"/>
        </w:rPr>
        <w:t> </w:t>
      </w:r>
      <w:r>
        <w:rPr>
          <w:sz w:val="18"/>
        </w:rPr>
        <w:t>apenas</w:t>
      </w:r>
      <w:r>
        <w:rPr>
          <w:spacing w:val="-5"/>
          <w:sz w:val="18"/>
        </w:rPr>
        <w:t> </w:t>
      </w:r>
      <w:r>
        <w:rPr>
          <w:sz w:val="18"/>
        </w:rPr>
        <w:t>os</w:t>
      </w:r>
      <w:r>
        <w:rPr>
          <w:spacing w:val="-6"/>
          <w:sz w:val="18"/>
        </w:rPr>
        <w:t> </w:t>
      </w:r>
      <w:r>
        <w:rPr>
          <w:sz w:val="18"/>
        </w:rPr>
        <w:t>percentuais</w:t>
      </w:r>
      <w:r>
        <w:rPr>
          <w:spacing w:val="-6"/>
          <w:sz w:val="18"/>
        </w:rPr>
        <w:t> </w:t>
      </w:r>
      <w:r>
        <w:rPr>
          <w:sz w:val="18"/>
        </w:rPr>
        <w:t>com</w:t>
      </w:r>
      <w:r>
        <w:rPr>
          <w:spacing w:val="-5"/>
          <w:sz w:val="18"/>
        </w:rPr>
        <w:t> </w:t>
      </w:r>
      <w:r>
        <w:rPr>
          <w:sz w:val="18"/>
        </w:rPr>
        <w:t>redução</w:t>
      </w:r>
      <w:r>
        <w:rPr>
          <w:spacing w:val="-4"/>
          <w:sz w:val="18"/>
        </w:rPr>
        <w:t> </w:t>
      </w:r>
      <w:r>
        <w:rPr>
          <w:sz w:val="18"/>
        </w:rPr>
        <w:t>de</w:t>
      </w:r>
      <w:r>
        <w:rPr>
          <w:spacing w:val="-6"/>
          <w:sz w:val="18"/>
        </w:rPr>
        <w:t> </w:t>
      </w:r>
      <w:r>
        <w:rPr>
          <w:sz w:val="18"/>
        </w:rPr>
        <w:t>80%</w:t>
      </w:r>
      <w:r>
        <w:rPr>
          <w:spacing w:val="-4"/>
          <w:sz w:val="18"/>
        </w:rPr>
        <w:t> </w:t>
      </w:r>
      <w:r>
        <w:rPr>
          <w:sz w:val="18"/>
        </w:rPr>
        <w:t>para</w:t>
      </w:r>
      <w:r>
        <w:rPr>
          <w:spacing w:val="-5"/>
          <w:sz w:val="18"/>
        </w:rPr>
        <w:t> </w:t>
      </w:r>
      <w:r>
        <w:rPr>
          <w:sz w:val="18"/>
        </w:rPr>
        <w:t>os</w:t>
      </w:r>
      <w:r>
        <w:rPr>
          <w:spacing w:val="-6"/>
          <w:sz w:val="18"/>
        </w:rPr>
        <w:t> </w:t>
      </w:r>
      <w:r>
        <w:rPr>
          <w:sz w:val="18"/>
        </w:rPr>
        <w:t>CAU/AC,</w:t>
      </w:r>
      <w:r>
        <w:rPr>
          <w:spacing w:val="-4"/>
          <w:sz w:val="18"/>
        </w:rPr>
        <w:t> </w:t>
      </w:r>
      <w:r>
        <w:rPr>
          <w:sz w:val="18"/>
        </w:rPr>
        <w:t>CAU/AM,</w:t>
      </w:r>
      <w:r>
        <w:rPr>
          <w:spacing w:val="-4"/>
          <w:sz w:val="18"/>
        </w:rPr>
        <w:t> </w:t>
      </w:r>
      <w:r>
        <w:rPr>
          <w:sz w:val="18"/>
        </w:rPr>
        <w:t>CAU/AP,</w:t>
      </w:r>
      <w:r>
        <w:rPr>
          <w:spacing w:val="-4"/>
          <w:sz w:val="18"/>
        </w:rPr>
        <w:t> </w:t>
      </w:r>
      <w:r>
        <w:rPr>
          <w:sz w:val="18"/>
        </w:rPr>
        <w:t>CAU/MA,</w:t>
      </w:r>
      <w:r>
        <w:rPr>
          <w:spacing w:val="-4"/>
          <w:sz w:val="18"/>
        </w:rPr>
        <w:t> </w:t>
      </w:r>
      <w:r>
        <w:rPr>
          <w:sz w:val="18"/>
        </w:rPr>
        <w:t>CAU/PI,</w:t>
      </w:r>
      <w:r>
        <w:rPr>
          <w:spacing w:val="-4"/>
          <w:sz w:val="18"/>
        </w:rPr>
        <w:t> </w:t>
      </w:r>
      <w:r>
        <w:rPr>
          <w:sz w:val="18"/>
        </w:rPr>
        <w:t>CAU/RO,</w:t>
      </w:r>
      <w:r>
        <w:rPr>
          <w:spacing w:val="-4"/>
          <w:sz w:val="18"/>
        </w:rPr>
        <w:t> </w:t>
      </w:r>
      <w:r>
        <w:rPr>
          <w:sz w:val="18"/>
        </w:rPr>
        <w:t>CAU/RR, CAU/SE, CAU/TO e de 50% para os CAU/AL, CAU/BA, CAU/CE, CAU/DF, CAU/ES, CAU/GO, CAU/MS, CAU/MT, CAU/PA, CAU/PB, CAU/PE, CAU/RN, sendo a diferença assumida pelo CAU/BR, com a utilização de recursos de seu superávit financeiro contabilizado no balanço patrimonial de 31 de dezembro de 2019;</w:t>
      </w:r>
    </w:p>
    <w:p>
      <w:pPr>
        <w:spacing w:before="1"/>
        <w:ind w:left="710" w:right="708" w:firstLine="0"/>
        <w:jc w:val="both"/>
        <w:rPr>
          <w:sz w:val="18"/>
        </w:rPr>
      </w:pPr>
      <w:r>
        <w:rPr>
          <w:sz w:val="18"/>
        </w:rPr>
        <w:t>**Na reprogramação 2020, para os aportes de CSC dos CAU/UF foram considerados apenas os percentuais com redução de 80%, sendo a diferença (R$ 1.388.976,00) assumida pelo CAU/BR juntamente com seu valor do aporte de R$ 1.568.138,99,</w:t>
      </w:r>
      <w:r>
        <w:rPr>
          <w:spacing w:val="-1"/>
          <w:sz w:val="18"/>
        </w:rPr>
        <w:t> </w:t>
      </w:r>
      <w:r>
        <w:rPr>
          <w:sz w:val="18"/>
        </w:rPr>
        <w:t>referente as parcelas previstas para os meses de junho a dezembro de 2020, com a utilização de recursos de seu superávit financeiro contabilizado no balanço patrimonial de 31 de dezembro de 2019 (DPOBR Nº 0102-10/2020, de 19 de junho de 2020).</w:t>
      </w:r>
    </w:p>
    <w:p>
      <w:pPr>
        <w:spacing w:after="0"/>
        <w:jc w:val="both"/>
        <w:rPr>
          <w:sz w:val="18"/>
        </w:rPr>
        <w:sectPr>
          <w:headerReference w:type="default" r:id="rId65"/>
          <w:footerReference w:type="default" r:id="rId66"/>
          <w:pgSz w:w="16840" w:h="11910" w:orient="landscape"/>
          <w:pgMar w:header="0" w:footer="261" w:top="68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pStyle w:val="Heading1"/>
        <w:ind w:left="858" w:right="291"/>
      </w:pPr>
      <w:r>
        <w:rPr>
          <w:color w:val="008080"/>
        </w:rPr>
        <w:t>ANEXO </w:t>
      </w:r>
      <w:r>
        <w:rPr>
          <w:color w:val="008080"/>
          <w:spacing w:val="-10"/>
        </w:rPr>
        <w:t>5</w:t>
      </w:r>
    </w:p>
    <w:p>
      <w:pPr>
        <w:pStyle w:val="BodyText"/>
        <w:rPr>
          <w:b/>
          <w:sz w:val="48"/>
        </w:rPr>
      </w:pPr>
    </w:p>
    <w:p>
      <w:pPr>
        <w:pStyle w:val="BodyText"/>
        <w:rPr>
          <w:b/>
          <w:sz w:val="48"/>
        </w:rPr>
      </w:pPr>
    </w:p>
    <w:p>
      <w:pPr>
        <w:pStyle w:val="Heading2"/>
        <w:spacing w:line="360" w:lineRule="auto"/>
        <w:ind w:left="731" w:right="162" w:hanging="2"/>
      </w:pPr>
      <w:r>
        <w:rPr>
          <w:color w:val="008080"/>
        </w:rPr>
        <w:t>Demonstrativo Comparativo dos Limites de Destinação</w:t>
      </w:r>
      <w:r>
        <w:rPr>
          <w:color w:val="008080"/>
          <w:spacing w:val="-9"/>
        </w:rPr>
        <w:t> </w:t>
      </w:r>
      <w:r>
        <w:rPr>
          <w:color w:val="008080"/>
        </w:rPr>
        <w:t>Estratégica</w:t>
      </w:r>
      <w:r>
        <w:rPr>
          <w:color w:val="008080"/>
          <w:spacing w:val="-9"/>
        </w:rPr>
        <w:t> </w:t>
      </w:r>
      <w:r>
        <w:rPr>
          <w:color w:val="008080"/>
        </w:rPr>
        <w:t>de</w:t>
      </w:r>
      <w:r>
        <w:rPr>
          <w:color w:val="008080"/>
          <w:spacing w:val="-8"/>
        </w:rPr>
        <w:t> </w:t>
      </w:r>
      <w:r>
        <w:rPr>
          <w:color w:val="008080"/>
        </w:rPr>
        <w:t>Recursos</w:t>
      </w:r>
      <w:r>
        <w:rPr>
          <w:color w:val="008080"/>
          <w:spacing w:val="-3"/>
        </w:rPr>
        <w:t> </w:t>
      </w:r>
      <w:r>
        <w:rPr>
          <w:color w:val="008080"/>
        </w:rPr>
        <w:t>dos</w:t>
      </w:r>
      <w:r>
        <w:rPr>
          <w:color w:val="008080"/>
          <w:spacing w:val="-8"/>
        </w:rPr>
        <w:t> </w:t>
      </w:r>
      <w:r>
        <w:rPr>
          <w:color w:val="008080"/>
        </w:rPr>
        <w:t>CAU/UF e CAU/BR.</w:t>
      </w:r>
    </w:p>
    <w:p>
      <w:pPr>
        <w:spacing w:before="160"/>
        <w:ind w:left="856" w:right="292" w:firstLine="0"/>
        <w:jc w:val="center"/>
        <w:rPr>
          <w:b/>
          <w:sz w:val="48"/>
        </w:rPr>
      </w:pPr>
      <w:r>
        <w:rPr>
          <w:b/>
          <w:color w:val="008080"/>
          <w:sz w:val="48"/>
        </w:rPr>
        <w:t>(Receitas</w:t>
      </w:r>
      <w:r>
        <w:rPr>
          <w:b/>
          <w:color w:val="008080"/>
          <w:spacing w:val="-5"/>
          <w:sz w:val="48"/>
        </w:rPr>
        <w:t> </w:t>
      </w:r>
      <w:r>
        <w:rPr>
          <w:b/>
          <w:color w:val="008080"/>
          <w:sz w:val="48"/>
        </w:rPr>
        <w:t>Correntes</w:t>
      </w:r>
      <w:r>
        <w:rPr>
          <w:b/>
          <w:color w:val="008080"/>
          <w:spacing w:val="-4"/>
          <w:sz w:val="48"/>
        </w:rPr>
        <w:t> </w:t>
      </w:r>
      <w:r>
        <w:rPr>
          <w:b/>
          <w:color w:val="008080"/>
          <w:sz w:val="48"/>
        </w:rPr>
        <w:t>X</w:t>
      </w:r>
      <w:r>
        <w:rPr>
          <w:b/>
          <w:color w:val="008080"/>
          <w:spacing w:val="-3"/>
          <w:sz w:val="48"/>
        </w:rPr>
        <w:t> </w:t>
      </w:r>
      <w:r>
        <w:rPr>
          <w:b/>
          <w:color w:val="008080"/>
          <w:sz w:val="48"/>
        </w:rPr>
        <w:t>Despesas</w:t>
      </w:r>
      <w:r>
        <w:rPr>
          <w:b/>
          <w:color w:val="008080"/>
          <w:spacing w:val="-3"/>
          <w:sz w:val="48"/>
        </w:rPr>
        <w:t> </w:t>
      </w:r>
      <w:r>
        <w:rPr>
          <w:b/>
          <w:color w:val="008080"/>
          <w:sz w:val="48"/>
        </w:rPr>
        <w:t>com</w:t>
      </w:r>
      <w:r>
        <w:rPr>
          <w:b/>
          <w:color w:val="008080"/>
          <w:spacing w:val="-3"/>
          <w:sz w:val="48"/>
        </w:rPr>
        <w:t> </w:t>
      </w:r>
      <w:r>
        <w:rPr>
          <w:b/>
          <w:color w:val="008080"/>
          <w:spacing w:val="-2"/>
          <w:sz w:val="48"/>
        </w:rPr>
        <w:t>Pessoal).</w:t>
      </w:r>
    </w:p>
    <w:p>
      <w:pPr>
        <w:spacing w:after="0"/>
        <w:jc w:val="center"/>
        <w:rPr>
          <w:sz w:val="48"/>
        </w:rPr>
        <w:sectPr>
          <w:headerReference w:type="default" r:id="rId69"/>
          <w:footerReference w:type="default" r:id="rId70"/>
          <w:pgSz w:w="11910" w:h="16840"/>
          <w:pgMar w:header="704" w:footer="261" w:top="1580" w:bottom="460" w:left="740" w:right="740"/>
          <w:pgNumType w:start="35"/>
        </w:sectPr>
      </w:pPr>
    </w:p>
    <w:p>
      <w:pPr>
        <w:pStyle w:val="Heading5"/>
        <w:spacing w:before="5"/>
        <w:ind w:right="108"/>
      </w:pPr>
      <w:bookmarkStart w:name="_bookmark25" w:id="26"/>
      <w:bookmarkEnd w:id="26"/>
      <w:r>
        <w:rPr>
          <w:b w:val="0"/>
        </w:rPr>
      </w:r>
      <w:r>
        <w:rPr/>
        <w:t>Anexo</w:t>
      </w:r>
      <w:r>
        <w:rPr>
          <w:spacing w:val="-5"/>
        </w:rPr>
        <w:t> </w:t>
      </w:r>
      <w:r>
        <w:rPr/>
        <w:t>5.</w:t>
      </w:r>
      <w:r>
        <w:rPr>
          <w:spacing w:val="-2"/>
        </w:rPr>
        <w:t> </w:t>
      </w:r>
      <w:r>
        <w:rPr/>
        <w:t>Demonstrativo</w:t>
      </w:r>
      <w:r>
        <w:rPr>
          <w:spacing w:val="-5"/>
        </w:rPr>
        <w:t> </w:t>
      </w:r>
      <w:r>
        <w:rPr/>
        <w:t>Comparativo</w:t>
      </w:r>
      <w:r>
        <w:rPr>
          <w:spacing w:val="-5"/>
        </w:rPr>
        <w:t> </w:t>
      </w:r>
      <w:r>
        <w:rPr/>
        <w:t>dos</w:t>
      </w:r>
      <w:r>
        <w:rPr>
          <w:spacing w:val="-4"/>
        </w:rPr>
        <w:t> </w:t>
      </w:r>
      <w:r>
        <w:rPr/>
        <w:t>Limites</w:t>
      </w:r>
      <w:r>
        <w:rPr>
          <w:spacing w:val="-3"/>
        </w:rPr>
        <w:t> </w:t>
      </w:r>
      <w:r>
        <w:rPr/>
        <w:t>de</w:t>
      </w:r>
      <w:r>
        <w:rPr>
          <w:spacing w:val="-4"/>
        </w:rPr>
        <w:t> </w:t>
      </w:r>
      <w:r>
        <w:rPr/>
        <w:t>Destinação</w:t>
      </w:r>
      <w:r>
        <w:rPr>
          <w:spacing w:val="-3"/>
        </w:rPr>
        <w:t> </w:t>
      </w:r>
      <w:r>
        <w:rPr/>
        <w:t>Estratégica</w:t>
      </w:r>
      <w:r>
        <w:rPr>
          <w:spacing w:val="-5"/>
        </w:rPr>
        <w:t> </w:t>
      </w:r>
      <w:r>
        <w:rPr/>
        <w:t>de</w:t>
      </w:r>
      <w:r>
        <w:rPr>
          <w:spacing w:val="-4"/>
        </w:rPr>
        <w:t> </w:t>
      </w:r>
      <w:r>
        <w:rPr/>
        <w:t>Recursos</w:t>
      </w:r>
      <w:r>
        <w:rPr>
          <w:spacing w:val="9"/>
        </w:rPr>
        <w:t> </w:t>
      </w:r>
      <w:r>
        <w:rPr>
          <w:spacing w:val="-5"/>
        </w:rPr>
        <w:t>dos</w:t>
      </w:r>
    </w:p>
    <w:p>
      <w:pPr>
        <w:spacing w:before="0"/>
        <w:ind w:left="0" w:right="109" w:firstLine="0"/>
        <w:jc w:val="right"/>
        <w:rPr>
          <w:b/>
          <w:sz w:val="24"/>
        </w:rPr>
      </w:pPr>
      <w:r>
        <w:rPr>
          <w:b/>
          <w:sz w:val="24"/>
        </w:rPr>
        <w:t>CAU/UF</w:t>
      </w:r>
      <w:r>
        <w:rPr>
          <w:b/>
          <w:spacing w:val="-5"/>
          <w:sz w:val="24"/>
        </w:rPr>
        <w:t> </w:t>
      </w:r>
      <w:r>
        <w:rPr>
          <w:b/>
          <w:sz w:val="24"/>
        </w:rPr>
        <w:t>e</w:t>
      </w:r>
      <w:r>
        <w:rPr>
          <w:b/>
          <w:spacing w:val="-4"/>
          <w:sz w:val="24"/>
        </w:rPr>
        <w:t> </w:t>
      </w:r>
      <w:r>
        <w:rPr>
          <w:b/>
          <w:sz w:val="24"/>
        </w:rPr>
        <w:t>CAU/BR</w:t>
      </w:r>
      <w:r>
        <w:rPr>
          <w:b/>
          <w:spacing w:val="-4"/>
          <w:sz w:val="24"/>
        </w:rPr>
        <w:t> </w:t>
      </w:r>
      <w:r>
        <w:rPr>
          <w:b/>
          <w:sz w:val="24"/>
        </w:rPr>
        <w:t>(Receitas</w:t>
      </w:r>
      <w:r>
        <w:rPr>
          <w:b/>
          <w:spacing w:val="-3"/>
          <w:sz w:val="24"/>
        </w:rPr>
        <w:t> </w:t>
      </w:r>
      <w:r>
        <w:rPr>
          <w:b/>
          <w:sz w:val="24"/>
        </w:rPr>
        <w:t>Correntes</w:t>
      </w:r>
      <w:r>
        <w:rPr>
          <w:b/>
          <w:spacing w:val="-5"/>
          <w:sz w:val="24"/>
        </w:rPr>
        <w:t> </w:t>
      </w:r>
      <w:r>
        <w:rPr>
          <w:b/>
          <w:sz w:val="24"/>
        </w:rPr>
        <w:t>X</w:t>
      </w:r>
      <w:r>
        <w:rPr>
          <w:b/>
          <w:spacing w:val="1"/>
          <w:sz w:val="24"/>
        </w:rPr>
        <w:t> </w:t>
      </w:r>
      <w:r>
        <w:rPr>
          <w:b/>
          <w:sz w:val="24"/>
        </w:rPr>
        <w:t>Despesas</w:t>
      </w:r>
      <w:r>
        <w:rPr>
          <w:b/>
          <w:spacing w:val="-3"/>
          <w:sz w:val="24"/>
        </w:rPr>
        <w:t> </w:t>
      </w:r>
      <w:r>
        <w:rPr>
          <w:b/>
          <w:sz w:val="24"/>
        </w:rPr>
        <w:t>com</w:t>
      </w:r>
      <w:r>
        <w:rPr>
          <w:b/>
          <w:spacing w:val="-3"/>
          <w:sz w:val="24"/>
        </w:rPr>
        <w:t> </w:t>
      </w:r>
      <w:r>
        <w:rPr>
          <w:b/>
          <w:spacing w:val="-2"/>
          <w:sz w:val="24"/>
        </w:rPr>
        <w:t>Pessoal)</w:t>
      </w:r>
    </w:p>
    <w:p>
      <w:pPr>
        <w:pStyle w:val="BodyText"/>
        <w:ind w:left="111"/>
        <w:rPr>
          <w:sz w:val="20"/>
        </w:rPr>
      </w:pPr>
      <w:r>
        <w:rPr>
          <w:sz w:val="20"/>
        </w:rPr>
        <w:drawing>
          <wp:inline distT="0" distB="0" distL="0" distR="0">
            <wp:extent cx="6285383" cy="7370064"/>
            <wp:effectExtent l="0" t="0" r="0" b="0"/>
            <wp:docPr id="45" name="image54.jpeg"/>
            <wp:cNvGraphicFramePr>
              <a:graphicFrameLocks noChangeAspect="1"/>
            </wp:cNvGraphicFramePr>
            <a:graphic>
              <a:graphicData uri="http://schemas.openxmlformats.org/drawingml/2006/picture">
                <pic:pic>
                  <pic:nvPicPr>
                    <pic:cNvPr id="46" name="image54.jpeg"/>
                    <pic:cNvPicPr/>
                  </pic:nvPicPr>
                  <pic:blipFill>
                    <a:blip r:embed="rId71" cstate="print"/>
                    <a:stretch>
                      <a:fillRect/>
                    </a:stretch>
                  </pic:blipFill>
                  <pic:spPr>
                    <a:xfrm>
                      <a:off x="0" y="0"/>
                      <a:ext cx="6285383" cy="7370064"/>
                    </a:xfrm>
                    <a:prstGeom prst="rect">
                      <a:avLst/>
                    </a:prstGeom>
                  </pic:spPr>
                </pic:pic>
              </a:graphicData>
            </a:graphic>
          </wp:inline>
        </w:drawing>
      </w:r>
      <w:r>
        <w:rPr>
          <w:sz w:val="20"/>
        </w:rPr>
      </w:r>
    </w:p>
    <w:p>
      <w:pPr>
        <w:pStyle w:val="ListParagraph"/>
        <w:numPr>
          <w:ilvl w:val="0"/>
          <w:numId w:val="8"/>
        </w:numPr>
        <w:tabs>
          <w:tab w:pos="250" w:val="left" w:leader="none"/>
        </w:tabs>
        <w:spacing w:line="240" w:lineRule="auto" w:before="5" w:after="0"/>
        <w:ind w:left="112" w:right="109" w:firstLine="0"/>
        <w:jc w:val="both"/>
        <w:rPr>
          <w:sz w:val="18"/>
        </w:rPr>
      </w:pPr>
      <w:r>
        <w:rPr>
          <w:sz w:val="18"/>
        </w:rPr>
        <w:t>Despesas com Pessoal (Salários e Encargos) para efeito do cálculo do limite de pessoal não consideramos as despesas decorrentes de rescisões contratuais, auxílio alimentação, auxílio transporte, plano de saúde e demais benefícios.</w:t>
      </w:r>
    </w:p>
    <w:p>
      <w:pPr>
        <w:pStyle w:val="ListParagraph"/>
        <w:numPr>
          <w:ilvl w:val="0"/>
          <w:numId w:val="8"/>
        </w:numPr>
        <w:tabs>
          <w:tab w:pos="250" w:val="left" w:leader="none"/>
        </w:tabs>
        <w:spacing w:line="240" w:lineRule="auto" w:before="0" w:after="0"/>
        <w:ind w:left="112" w:right="105" w:firstLine="0"/>
        <w:jc w:val="both"/>
        <w:rPr>
          <w:sz w:val="18"/>
        </w:rPr>
      </w:pPr>
      <w:r>
        <w:rPr>
          <w:sz w:val="18"/>
        </w:rPr>
        <w:t>Flexibilização do limite estratégico de Despesas com Pessoal, devidamente justificados para o CAU/AM, CAU/TO, CAU/MA, CAU/PB, CAU/PI, CAU/RN, CAU/SE, CAU/ES, CAU/RJ, CAU/RS, CAU/SC e CAU/DF;</w:t>
      </w:r>
    </w:p>
    <w:p>
      <w:pPr>
        <w:pStyle w:val="ListParagraph"/>
        <w:numPr>
          <w:ilvl w:val="0"/>
          <w:numId w:val="8"/>
        </w:numPr>
        <w:tabs>
          <w:tab w:pos="250" w:val="left" w:leader="none"/>
        </w:tabs>
        <w:spacing w:line="240" w:lineRule="auto" w:before="0" w:after="0"/>
        <w:ind w:left="112" w:right="105" w:firstLine="0"/>
        <w:jc w:val="both"/>
        <w:rPr>
          <w:sz w:val="18"/>
        </w:rPr>
      </w:pPr>
      <w:r>
        <w:rPr>
          <w:sz w:val="18"/>
        </w:rPr>
        <w:t>Os dados dos CAU/PI e CAU/DF, no tocante à Programação 2020, estão em conformidade com as propostas das Reprogramações Extraordinárias aprovadas para esses CAU/UF, uma vez que ocorreram em data anterior à Reprogramação Ordinária e para os CAU/AM, CAU/AL,</w:t>
      </w:r>
      <w:r>
        <w:rPr>
          <w:spacing w:val="-5"/>
          <w:sz w:val="18"/>
        </w:rPr>
        <w:t> </w:t>
      </w:r>
      <w:r>
        <w:rPr>
          <w:sz w:val="18"/>
        </w:rPr>
        <w:t>CAU/CE,</w:t>
      </w:r>
      <w:r>
        <w:rPr>
          <w:spacing w:val="-5"/>
          <w:sz w:val="18"/>
        </w:rPr>
        <w:t> </w:t>
      </w:r>
      <w:r>
        <w:rPr>
          <w:sz w:val="18"/>
        </w:rPr>
        <w:t>CAU/ES,</w:t>
      </w:r>
      <w:r>
        <w:rPr>
          <w:spacing w:val="-5"/>
          <w:sz w:val="18"/>
        </w:rPr>
        <w:t> </w:t>
      </w:r>
      <w:r>
        <w:rPr>
          <w:sz w:val="18"/>
        </w:rPr>
        <w:t>CAU/RN</w:t>
      </w:r>
      <w:r>
        <w:rPr>
          <w:spacing w:val="-6"/>
          <w:sz w:val="18"/>
        </w:rPr>
        <w:t> </w:t>
      </w:r>
      <w:r>
        <w:rPr>
          <w:sz w:val="18"/>
        </w:rPr>
        <w:t>constam</w:t>
      </w:r>
      <w:r>
        <w:rPr>
          <w:spacing w:val="-6"/>
          <w:sz w:val="18"/>
        </w:rPr>
        <w:t> </w:t>
      </w:r>
      <w:r>
        <w:rPr>
          <w:sz w:val="18"/>
        </w:rPr>
        <w:t>as</w:t>
      </w:r>
      <w:r>
        <w:rPr>
          <w:spacing w:val="-6"/>
          <w:sz w:val="18"/>
        </w:rPr>
        <w:t> </w:t>
      </w:r>
      <w:r>
        <w:rPr>
          <w:sz w:val="18"/>
        </w:rPr>
        <w:t>informações</w:t>
      </w:r>
      <w:r>
        <w:rPr>
          <w:spacing w:val="-7"/>
          <w:sz w:val="18"/>
        </w:rPr>
        <w:t> </w:t>
      </w:r>
      <w:r>
        <w:rPr>
          <w:sz w:val="18"/>
        </w:rPr>
        <w:t>da</w:t>
      </w:r>
      <w:r>
        <w:rPr>
          <w:spacing w:val="-6"/>
          <w:sz w:val="18"/>
        </w:rPr>
        <w:t> </w:t>
      </w:r>
      <w:r>
        <w:rPr>
          <w:sz w:val="18"/>
        </w:rPr>
        <w:t>Reprogramação</w:t>
      </w:r>
      <w:r>
        <w:rPr>
          <w:spacing w:val="-5"/>
          <w:sz w:val="18"/>
        </w:rPr>
        <w:t> </w:t>
      </w:r>
      <w:r>
        <w:rPr>
          <w:sz w:val="18"/>
        </w:rPr>
        <w:t>Ordinária</w:t>
      </w:r>
      <w:r>
        <w:rPr>
          <w:spacing w:val="-2"/>
          <w:sz w:val="18"/>
        </w:rPr>
        <w:t> </w:t>
      </w:r>
      <w:r>
        <w:rPr>
          <w:sz w:val="18"/>
        </w:rPr>
        <w:t>aprovada</w:t>
      </w:r>
      <w:r>
        <w:rPr>
          <w:spacing w:val="-4"/>
          <w:sz w:val="18"/>
        </w:rPr>
        <w:t> </w:t>
      </w:r>
      <w:r>
        <w:rPr>
          <w:sz w:val="18"/>
        </w:rPr>
        <w:t>em</w:t>
      </w:r>
      <w:r>
        <w:rPr>
          <w:spacing w:val="-6"/>
          <w:sz w:val="18"/>
        </w:rPr>
        <w:t> </w:t>
      </w:r>
      <w:r>
        <w:rPr>
          <w:sz w:val="18"/>
        </w:rPr>
        <w:t>agosto/20.</w:t>
      </w:r>
      <w:r>
        <w:rPr>
          <w:spacing w:val="-5"/>
          <w:sz w:val="18"/>
        </w:rPr>
        <w:t> </w:t>
      </w:r>
      <w:r>
        <w:rPr>
          <w:sz w:val="18"/>
        </w:rPr>
        <w:t>Na</w:t>
      </w:r>
      <w:r>
        <w:rPr>
          <w:spacing w:val="-6"/>
          <w:sz w:val="18"/>
        </w:rPr>
        <w:t> </w:t>
      </w:r>
      <w:r>
        <w:rPr>
          <w:sz w:val="18"/>
        </w:rPr>
        <w:t>Reprogramação</w:t>
      </w:r>
      <w:r>
        <w:rPr>
          <w:spacing w:val="-4"/>
          <w:sz w:val="18"/>
        </w:rPr>
        <w:t> </w:t>
      </w:r>
      <w:r>
        <w:rPr>
          <w:sz w:val="18"/>
        </w:rPr>
        <w:t>2020, constam</w:t>
      </w:r>
      <w:r>
        <w:rPr>
          <w:spacing w:val="-7"/>
          <w:sz w:val="18"/>
        </w:rPr>
        <w:t> </w:t>
      </w:r>
      <w:r>
        <w:rPr>
          <w:sz w:val="18"/>
        </w:rPr>
        <w:t>aprovados</w:t>
      </w:r>
      <w:r>
        <w:rPr>
          <w:spacing w:val="-8"/>
          <w:sz w:val="18"/>
        </w:rPr>
        <w:t> </w:t>
      </w:r>
      <w:r>
        <w:rPr>
          <w:sz w:val="18"/>
        </w:rPr>
        <w:t>fora</w:t>
      </w:r>
      <w:r>
        <w:rPr>
          <w:spacing w:val="-7"/>
          <w:sz w:val="18"/>
        </w:rPr>
        <w:t> </w:t>
      </w:r>
      <w:r>
        <w:rPr>
          <w:sz w:val="18"/>
        </w:rPr>
        <w:t>do</w:t>
      </w:r>
      <w:r>
        <w:rPr>
          <w:spacing w:val="-6"/>
          <w:sz w:val="18"/>
        </w:rPr>
        <w:t> </w:t>
      </w:r>
      <w:r>
        <w:rPr>
          <w:sz w:val="18"/>
        </w:rPr>
        <w:t>fluxo</w:t>
      </w:r>
      <w:r>
        <w:rPr>
          <w:spacing w:val="-9"/>
          <w:sz w:val="18"/>
        </w:rPr>
        <w:t> </w:t>
      </w:r>
      <w:r>
        <w:rPr>
          <w:sz w:val="18"/>
        </w:rPr>
        <w:t>da</w:t>
      </w:r>
      <w:r>
        <w:rPr>
          <w:spacing w:val="-7"/>
          <w:sz w:val="18"/>
        </w:rPr>
        <w:t> </w:t>
      </w:r>
      <w:r>
        <w:rPr>
          <w:sz w:val="18"/>
        </w:rPr>
        <w:t>Reprogramação</w:t>
      </w:r>
      <w:r>
        <w:rPr>
          <w:spacing w:val="-6"/>
          <w:sz w:val="18"/>
        </w:rPr>
        <w:t> </w:t>
      </w:r>
      <w:r>
        <w:rPr>
          <w:sz w:val="18"/>
        </w:rPr>
        <w:t>Ordinária</w:t>
      </w:r>
      <w:r>
        <w:rPr>
          <w:spacing w:val="-7"/>
          <w:sz w:val="18"/>
        </w:rPr>
        <w:t> </w:t>
      </w:r>
      <w:r>
        <w:rPr>
          <w:sz w:val="18"/>
        </w:rPr>
        <w:t>aprovada</w:t>
      </w:r>
      <w:r>
        <w:rPr>
          <w:spacing w:val="-7"/>
          <w:sz w:val="18"/>
        </w:rPr>
        <w:t> </w:t>
      </w:r>
      <w:r>
        <w:rPr>
          <w:sz w:val="18"/>
        </w:rPr>
        <w:t>em</w:t>
      </w:r>
      <w:r>
        <w:rPr>
          <w:spacing w:val="-7"/>
          <w:sz w:val="18"/>
        </w:rPr>
        <w:t> </w:t>
      </w:r>
      <w:r>
        <w:rPr>
          <w:sz w:val="18"/>
        </w:rPr>
        <w:t>agosto,</w:t>
      </w:r>
      <w:r>
        <w:rPr>
          <w:spacing w:val="-5"/>
          <w:sz w:val="18"/>
        </w:rPr>
        <w:t> </w:t>
      </w:r>
      <w:r>
        <w:rPr>
          <w:sz w:val="18"/>
        </w:rPr>
        <w:t>o</w:t>
      </w:r>
      <w:r>
        <w:rPr>
          <w:spacing w:val="-6"/>
          <w:sz w:val="18"/>
        </w:rPr>
        <w:t> </w:t>
      </w:r>
      <w:r>
        <w:rPr>
          <w:sz w:val="18"/>
        </w:rPr>
        <w:t>CAU/PA</w:t>
      </w:r>
      <w:r>
        <w:rPr>
          <w:spacing w:val="-8"/>
          <w:sz w:val="18"/>
        </w:rPr>
        <w:t> </w:t>
      </w:r>
      <w:r>
        <w:rPr>
          <w:sz w:val="18"/>
        </w:rPr>
        <w:t>aprovado</w:t>
      </w:r>
      <w:r>
        <w:rPr>
          <w:spacing w:val="-7"/>
          <w:sz w:val="18"/>
        </w:rPr>
        <w:t> </w:t>
      </w:r>
      <w:r>
        <w:rPr>
          <w:sz w:val="18"/>
        </w:rPr>
        <w:t>na</w:t>
      </w:r>
      <w:r>
        <w:rPr>
          <w:spacing w:val="-7"/>
          <w:sz w:val="18"/>
        </w:rPr>
        <w:t> </w:t>
      </w:r>
      <w:r>
        <w:rPr>
          <w:sz w:val="18"/>
        </w:rPr>
        <w:t>104ª</w:t>
      </w:r>
      <w:r>
        <w:rPr>
          <w:spacing w:val="-8"/>
          <w:sz w:val="18"/>
        </w:rPr>
        <w:t> </w:t>
      </w:r>
      <w:r>
        <w:rPr>
          <w:sz w:val="18"/>
        </w:rPr>
        <w:t>Reunião</w:t>
      </w:r>
      <w:r>
        <w:rPr>
          <w:spacing w:val="-6"/>
          <w:sz w:val="18"/>
        </w:rPr>
        <w:t> </w:t>
      </w:r>
      <w:r>
        <w:rPr>
          <w:sz w:val="18"/>
        </w:rPr>
        <w:t>Plenária</w:t>
      </w:r>
      <w:r>
        <w:rPr>
          <w:spacing w:val="-7"/>
          <w:sz w:val="18"/>
        </w:rPr>
        <w:t> </w:t>
      </w:r>
      <w:r>
        <w:rPr>
          <w:sz w:val="18"/>
        </w:rPr>
        <w:t>Ordinária, de</w:t>
      </w:r>
      <w:r>
        <w:rPr>
          <w:spacing w:val="-7"/>
          <w:sz w:val="18"/>
        </w:rPr>
        <w:t> </w:t>
      </w:r>
      <w:r>
        <w:rPr>
          <w:sz w:val="18"/>
        </w:rPr>
        <w:t>24</w:t>
      </w:r>
      <w:r>
        <w:rPr>
          <w:spacing w:val="-6"/>
          <w:sz w:val="18"/>
        </w:rPr>
        <w:t> </w:t>
      </w:r>
      <w:r>
        <w:rPr>
          <w:sz w:val="18"/>
        </w:rPr>
        <w:t>de</w:t>
      </w:r>
      <w:r>
        <w:rPr>
          <w:spacing w:val="-7"/>
          <w:sz w:val="18"/>
        </w:rPr>
        <w:t> </w:t>
      </w:r>
      <w:r>
        <w:rPr>
          <w:sz w:val="18"/>
        </w:rPr>
        <w:t>setembro</w:t>
      </w:r>
      <w:r>
        <w:rPr>
          <w:spacing w:val="-6"/>
          <w:sz w:val="18"/>
        </w:rPr>
        <w:t> </w:t>
      </w:r>
      <w:r>
        <w:rPr>
          <w:sz w:val="18"/>
        </w:rPr>
        <w:t>de</w:t>
      </w:r>
      <w:r>
        <w:rPr>
          <w:spacing w:val="-7"/>
          <w:sz w:val="18"/>
        </w:rPr>
        <w:t> </w:t>
      </w:r>
      <w:r>
        <w:rPr>
          <w:sz w:val="18"/>
        </w:rPr>
        <w:t>2020,</w:t>
      </w:r>
      <w:r>
        <w:rPr>
          <w:spacing w:val="29"/>
          <w:sz w:val="18"/>
        </w:rPr>
        <w:t> </w:t>
      </w:r>
      <w:r>
        <w:rPr>
          <w:sz w:val="18"/>
        </w:rPr>
        <w:t>o</w:t>
      </w:r>
      <w:r>
        <w:rPr>
          <w:spacing w:val="-5"/>
          <w:sz w:val="18"/>
        </w:rPr>
        <w:t> </w:t>
      </w:r>
      <w:r>
        <w:rPr>
          <w:sz w:val="18"/>
        </w:rPr>
        <w:t>CAU/MA,</w:t>
      </w:r>
      <w:r>
        <w:rPr>
          <w:spacing w:val="-6"/>
          <w:sz w:val="18"/>
        </w:rPr>
        <w:t> </w:t>
      </w:r>
      <w:r>
        <w:rPr>
          <w:sz w:val="18"/>
        </w:rPr>
        <w:t>na</w:t>
      </w:r>
      <w:r>
        <w:rPr>
          <w:spacing w:val="-6"/>
          <w:sz w:val="18"/>
        </w:rPr>
        <w:t> </w:t>
      </w:r>
      <w:r>
        <w:rPr>
          <w:sz w:val="18"/>
        </w:rPr>
        <w:t>105ª</w:t>
      </w:r>
      <w:r>
        <w:rPr>
          <w:spacing w:val="-7"/>
          <w:sz w:val="18"/>
        </w:rPr>
        <w:t> </w:t>
      </w:r>
      <w:r>
        <w:rPr>
          <w:sz w:val="18"/>
        </w:rPr>
        <w:t>Reunião</w:t>
      </w:r>
      <w:r>
        <w:rPr>
          <w:spacing w:val="-5"/>
          <w:sz w:val="18"/>
        </w:rPr>
        <w:t> </w:t>
      </w:r>
      <w:r>
        <w:rPr>
          <w:sz w:val="18"/>
        </w:rPr>
        <w:t>Plenária</w:t>
      </w:r>
      <w:r>
        <w:rPr>
          <w:spacing w:val="-6"/>
          <w:sz w:val="18"/>
        </w:rPr>
        <w:t> </w:t>
      </w:r>
      <w:r>
        <w:rPr>
          <w:sz w:val="18"/>
        </w:rPr>
        <w:t>Ordinária,</w:t>
      </w:r>
      <w:r>
        <w:rPr>
          <w:spacing w:val="-6"/>
          <w:sz w:val="18"/>
        </w:rPr>
        <w:t> </w:t>
      </w:r>
      <w:r>
        <w:rPr>
          <w:sz w:val="18"/>
        </w:rPr>
        <w:t>de</w:t>
      </w:r>
      <w:r>
        <w:rPr>
          <w:spacing w:val="-4"/>
          <w:sz w:val="18"/>
        </w:rPr>
        <w:t> </w:t>
      </w:r>
      <w:r>
        <w:rPr>
          <w:sz w:val="18"/>
        </w:rPr>
        <w:t>23</w:t>
      </w:r>
      <w:r>
        <w:rPr>
          <w:spacing w:val="-6"/>
          <w:sz w:val="18"/>
        </w:rPr>
        <w:t> </w:t>
      </w:r>
      <w:r>
        <w:rPr>
          <w:sz w:val="18"/>
        </w:rPr>
        <w:t>de</w:t>
      </w:r>
      <w:r>
        <w:rPr>
          <w:spacing w:val="-7"/>
          <w:sz w:val="18"/>
        </w:rPr>
        <w:t> </w:t>
      </w:r>
      <w:r>
        <w:rPr>
          <w:sz w:val="18"/>
        </w:rPr>
        <w:t>outubro</w:t>
      </w:r>
      <w:r>
        <w:rPr>
          <w:spacing w:val="-6"/>
          <w:sz w:val="18"/>
        </w:rPr>
        <w:t> </w:t>
      </w:r>
      <w:r>
        <w:rPr>
          <w:sz w:val="18"/>
        </w:rPr>
        <w:t>de</w:t>
      </w:r>
      <w:r>
        <w:rPr>
          <w:spacing w:val="-7"/>
          <w:sz w:val="18"/>
        </w:rPr>
        <w:t> </w:t>
      </w:r>
      <w:r>
        <w:rPr>
          <w:sz w:val="18"/>
        </w:rPr>
        <w:t>2020</w:t>
      </w:r>
      <w:r>
        <w:rPr>
          <w:spacing w:val="-5"/>
          <w:sz w:val="18"/>
        </w:rPr>
        <w:t> </w:t>
      </w:r>
      <w:r>
        <w:rPr>
          <w:sz w:val="18"/>
        </w:rPr>
        <w:t>e</w:t>
      </w:r>
      <w:r>
        <w:rPr>
          <w:spacing w:val="-7"/>
          <w:sz w:val="18"/>
        </w:rPr>
        <w:t> </w:t>
      </w:r>
      <w:r>
        <w:rPr>
          <w:sz w:val="18"/>
        </w:rPr>
        <w:t>as</w:t>
      </w:r>
      <w:r>
        <w:rPr>
          <w:spacing w:val="-7"/>
          <w:sz w:val="18"/>
        </w:rPr>
        <w:t> </w:t>
      </w:r>
      <w:r>
        <w:rPr>
          <w:sz w:val="18"/>
        </w:rPr>
        <w:t>Reprogramações</w:t>
      </w:r>
      <w:r>
        <w:rPr>
          <w:spacing w:val="-7"/>
          <w:sz w:val="18"/>
        </w:rPr>
        <w:t> </w:t>
      </w:r>
      <w:r>
        <w:rPr>
          <w:sz w:val="18"/>
        </w:rPr>
        <w:t>Extraordinárias dos CAU/AM, CAU/AL, CAU/CE, CAU/ES, CAU/RN, aprovadas na Reunião Plenária Ordinária n° 106, de 19 de novembro de 2020.</w:t>
      </w:r>
    </w:p>
    <w:p>
      <w:pPr>
        <w:spacing w:after="0" w:line="240" w:lineRule="auto"/>
        <w:jc w:val="both"/>
        <w:rPr>
          <w:sz w:val="18"/>
        </w:rPr>
        <w:sectPr>
          <w:pgSz w:w="11910" w:h="16840"/>
          <w:pgMar w:header="704" w:footer="261" w:top="1580" w:bottom="460" w:left="740" w:right="7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6"/>
        </w:rPr>
      </w:pPr>
    </w:p>
    <w:p>
      <w:pPr>
        <w:pStyle w:val="Heading1"/>
        <w:ind w:left="858" w:right="291"/>
      </w:pPr>
      <w:r>
        <w:rPr>
          <w:color w:val="008080"/>
        </w:rPr>
        <w:t>ANEXO </w:t>
      </w:r>
      <w:r>
        <w:rPr>
          <w:color w:val="008080"/>
          <w:spacing w:val="-10"/>
        </w:rPr>
        <w:t>6</w:t>
      </w:r>
    </w:p>
    <w:p>
      <w:pPr>
        <w:pStyle w:val="BodyText"/>
        <w:rPr>
          <w:b/>
          <w:sz w:val="48"/>
        </w:rPr>
      </w:pPr>
    </w:p>
    <w:p>
      <w:pPr>
        <w:pStyle w:val="BodyText"/>
        <w:rPr>
          <w:b/>
          <w:sz w:val="48"/>
        </w:rPr>
      </w:pPr>
    </w:p>
    <w:p>
      <w:pPr>
        <w:pStyle w:val="Heading2"/>
        <w:spacing w:line="360" w:lineRule="auto"/>
        <w:ind w:left="858" w:right="292"/>
      </w:pPr>
      <w:r>
        <w:rPr>
          <w:color w:val="008080"/>
        </w:rPr>
        <w:t>Demonstrativo dos Limites de Destinação Estratégica</w:t>
      </w:r>
      <w:r>
        <w:rPr>
          <w:color w:val="008080"/>
          <w:spacing w:val="-7"/>
        </w:rPr>
        <w:t> </w:t>
      </w:r>
      <w:r>
        <w:rPr>
          <w:color w:val="008080"/>
        </w:rPr>
        <w:t>de</w:t>
      </w:r>
      <w:r>
        <w:rPr>
          <w:color w:val="008080"/>
          <w:spacing w:val="-6"/>
        </w:rPr>
        <w:t> </w:t>
      </w:r>
      <w:r>
        <w:rPr>
          <w:color w:val="008080"/>
        </w:rPr>
        <w:t>Recursos</w:t>
      </w:r>
      <w:r>
        <w:rPr>
          <w:color w:val="008080"/>
          <w:spacing w:val="-4"/>
        </w:rPr>
        <w:t> </w:t>
      </w:r>
      <w:r>
        <w:rPr>
          <w:color w:val="008080"/>
        </w:rPr>
        <w:t>dos</w:t>
      </w:r>
      <w:r>
        <w:rPr>
          <w:color w:val="008080"/>
          <w:spacing w:val="-6"/>
        </w:rPr>
        <w:t> </w:t>
      </w:r>
      <w:r>
        <w:rPr>
          <w:color w:val="008080"/>
        </w:rPr>
        <w:t>CAU/UF</w:t>
      </w:r>
      <w:r>
        <w:rPr>
          <w:color w:val="008080"/>
          <w:spacing w:val="-6"/>
        </w:rPr>
        <w:t> </w:t>
      </w:r>
      <w:r>
        <w:rPr>
          <w:color w:val="008080"/>
        </w:rPr>
        <w:t>e</w:t>
      </w:r>
      <w:r>
        <w:rPr>
          <w:color w:val="008080"/>
          <w:spacing w:val="-6"/>
        </w:rPr>
        <w:t> </w:t>
      </w:r>
      <w:r>
        <w:rPr>
          <w:color w:val="008080"/>
        </w:rPr>
        <w:t>CAU/BR (demais destinações)</w:t>
      </w:r>
    </w:p>
    <w:p>
      <w:pPr>
        <w:spacing w:after="0" w:line="360" w:lineRule="auto"/>
        <w:sectPr>
          <w:pgSz w:w="11910" w:h="16840"/>
          <w:pgMar w:header="704" w:footer="261" w:top="1580" w:bottom="460" w:left="740" w:right="740"/>
        </w:sectPr>
      </w:pPr>
    </w:p>
    <w:p>
      <w:pPr>
        <w:pStyle w:val="BodyText"/>
        <w:rPr>
          <w:b/>
          <w:sz w:val="20"/>
        </w:rPr>
      </w:pPr>
    </w:p>
    <w:p>
      <w:pPr>
        <w:pStyle w:val="BodyText"/>
        <w:rPr>
          <w:b/>
          <w:sz w:val="20"/>
        </w:rPr>
      </w:pPr>
    </w:p>
    <w:p>
      <w:pPr>
        <w:pStyle w:val="BodyText"/>
        <w:spacing w:before="7"/>
        <w:rPr>
          <w:b/>
          <w:sz w:val="28"/>
        </w:rPr>
      </w:pPr>
    </w:p>
    <w:p>
      <w:pPr>
        <w:pStyle w:val="Heading5"/>
        <w:spacing w:before="52"/>
        <w:ind w:left="4217"/>
        <w:jc w:val="left"/>
      </w:pPr>
      <w:r>
        <w:rPr/>
        <w:drawing>
          <wp:anchor distT="0" distB="0" distL="0" distR="0" allowOverlap="1" layoutInCell="1" locked="0" behindDoc="0" simplePos="0" relativeHeight="15733760">
            <wp:simplePos x="0" y="0"/>
            <wp:positionH relativeFrom="page">
              <wp:posOffset>0</wp:posOffset>
            </wp:positionH>
            <wp:positionV relativeFrom="paragraph">
              <wp:posOffset>-533431</wp:posOffset>
            </wp:positionV>
            <wp:extent cx="10692383" cy="562715"/>
            <wp:effectExtent l="0" t="0" r="0" b="0"/>
            <wp:wrapNone/>
            <wp:docPr id="47" name="image43.jpeg"/>
            <wp:cNvGraphicFramePr>
              <a:graphicFrameLocks noChangeAspect="1"/>
            </wp:cNvGraphicFramePr>
            <a:graphic>
              <a:graphicData uri="http://schemas.openxmlformats.org/drawingml/2006/picture">
                <pic:pic>
                  <pic:nvPicPr>
                    <pic:cNvPr id="48" name="image43.jpeg"/>
                    <pic:cNvPicPr/>
                  </pic:nvPicPr>
                  <pic:blipFill>
                    <a:blip r:embed="rId52" cstate="print"/>
                    <a:stretch>
                      <a:fillRect/>
                    </a:stretch>
                  </pic:blipFill>
                  <pic:spPr>
                    <a:xfrm>
                      <a:off x="0" y="0"/>
                      <a:ext cx="10692383" cy="562715"/>
                    </a:xfrm>
                    <a:prstGeom prst="rect">
                      <a:avLst/>
                    </a:prstGeom>
                  </pic:spPr>
                </pic:pic>
              </a:graphicData>
            </a:graphic>
          </wp:anchor>
        </w:drawing>
      </w:r>
      <w:bookmarkStart w:name="_bookmark26" w:id="27"/>
      <w:bookmarkEnd w:id="27"/>
      <w:r>
        <w:rPr>
          <w:b w:val="0"/>
        </w:rPr>
      </w:r>
      <w:r>
        <w:rPr/>
        <w:t>Anexo</w:t>
      </w:r>
      <w:r>
        <w:rPr>
          <w:spacing w:val="-4"/>
        </w:rPr>
        <w:t> </w:t>
      </w:r>
      <w:r>
        <w:rPr/>
        <w:t>6.</w:t>
      </w:r>
      <w:r>
        <w:rPr>
          <w:spacing w:val="-2"/>
        </w:rPr>
        <w:t> </w:t>
      </w:r>
      <w:r>
        <w:rPr/>
        <w:t>Demonstrativo</w:t>
      </w:r>
      <w:r>
        <w:rPr>
          <w:spacing w:val="-4"/>
        </w:rPr>
        <w:t> </w:t>
      </w:r>
      <w:r>
        <w:rPr/>
        <w:t>dos</w:t>
      </w:r>
      <w:r>
        <w:rPr>
          <w:spacing w:val="-2"/>
        </w:rPr>
        <w:t> </w:t>
      </w:r>
      <w:r>
        <w:rPr/>
        <w:t>Limites</w:t>
      </w:r>
      <w:r>
        <w:rPr>
          <w:spacing w:val="-4"/>
        </w:rPr>
        <w:t> </w:t>
      </w:r>
      <w:r>
        <w:rPr/>
        <w:t>de</w:t>
      </w:r>
      <w:r>
        <w:rPr>
          <w:spacing w:val="-4"/>
        </w:rPr>
        <w:t> </w:t>
      </w:r>
      <w:r>
        <w:rPr/>
        <w:t>Destinação</w:t>
      </w:r>
      <w:r>
        <w:rPr>
          <w:spacing w:val="-2"/>
        </w:rPr>
        <w:t> </w:t>
      </w:r>
      <w:r>
        <w:rPr/>
        <w:t>Estratégica</w:t>
      </w:r>
      <w:r>
        <w:rPr>
          <w:spacing w:val="-5"/>
        </w:rPr>
        <w:t> </w:t>
      </w:r>
      <w:r>
        <w:rPr/>
        <w:t>de</w:t>
      </w:r>
      <w:r>
        <w:rPr>
          <w:spacing w:val="-4"/>
        </w:rPr>
        <w:t> </w:t>
      </w:r>
      <w:r>
        <w:rPr/>
        <w:t>Recursos</w:t>
      </w:r>
      <w:r>
        <w:rPr>
          <w:spacing w:val="6"/>
        </w:rPr>
        <w:t> </w:t>
      </w:r>
      <w:r>
        <w:rPr/>
        <w:t>dos</w:t>
      </w:r>
      <w:r>
        <w:rPr>
          <w:spacing w:val="-3"/>
        </w:rPr>
        <w:t> </w:t>
      </w:r>
      <w:r>
        <w:rPr/>
        <w:t>CAU/UF</w:t>
      </w:r>
      <w:r>
        <w:rPr>
          <w:spacing w:val="-3"/>
        </w:rPr>
        <w:t> </w:t>
      </w:r>
      <w:r>
        <w:rPr/>
        <w:t>e</w:t>
      </w:r>
      <w:r>
        <w:rPr>
          <w:spacing w:val="-3"/>
        </w:rPr>
        <w:t> </w:t>
      </w:r>
      <w:r>
        <w:rPr/>
        <w:t>CAU/BR</w:t>
      </w:r>
      <w:r>
        <w:rPr>
          <w:spacing w:val="-2"/>
        </w:rPr>
        <w:t> </w:t>
      </w:r>
      <w:r>
        <w:rPr/>
        <w:t>(demais</w:t>
      </w:r>
      <w:r>
        <w:rPr>
          <w:spacing w:val="-2"/>
        </w:rPr>
        <w:t> destinações)</w:t>
      </w:r>
    </w:p>
    <w:p>
      <w:pPr>
        <w:pStyle w:val="BodyText"/>
        <w:ind w:left="859"/>
        <w:rPr>
          <w:sz w:val="20"/>
        </w:rPr>
      </w:pPr>
      <w:r>
        <w:rPr>
          <w:sz w:val="20"/>
        </w:rPr>
        <w:drawing>
          <wp:inline distT="0" distB="0" distL="0" distR="0">
            <wp:extent cx="9686463" cy="4942332"/>
            <wp:effectExtent l="0" t="0" r="0" b="0"/>
            <wp:docPr id="49" name="image55.jpeg"/>
            <wp:cNvGraphicFramePr>
              <a:graphicFrameLocks noChangeAspect="1"/>
            </wp:cNvGraphicFramePr>
            <a:graphic>
              <a:graphicData uri="http://schemas.openxmlformats.org/drawingml/2006/picture">
                <pic:pic>
                  <pic:nvPicPr>
                    <pic:cNvPr id="50" name="image55.jpeg"/>
                    <pic:cNvPicPr/>
                  </pic:nvPicPr>
                  <pic:blipFill>
                    <a:blip r:embed="rId74" cstate="print"/>
                    <a:stretch>
                      <a:fillRect/>
                    </a:stretch>
                  </pic:blipFill>
                  <pic:spPr>
                    <a:xfrm>
                      <a:off x="0" y="0"/>
                      <a:ext cx="9686463" cy="4942332"/>
                    </a:xfrm>
                    <a:prstGeom prst="rect">
                      <a:avLst/>
                    </a:prstGeom>
                  </pic:spPr>
                </pic:pic>
              </a:graphicData>
            </a:graphic>
          </wp:inline>
        </w:drawing>
      </w:r>
      <w:r>
        <w:rPr>
          <w:sz w:val="20"/>
        </w:rPr>
      </w:r>
    </w:p>
    <w:p>
      <w:pPr>
        <w:pStyle w:val="ListParagraph"/>
        <w:numPr>
          <w:ilvl w:val="1"/>
          <w:numId w:val="8"/>
        </w:numPr>
        <w:tabs>
          <w:tab w:pos="990" w:val="left" w:leader="none"/>
        </w:tabs>
        <w:spacing w:line="240" w:lineRule="auto" w:before="17" w:after="0"/>
        <w:ind w:left="852" w:right="702" w:firstLine="0"/>
        <w:jc w:val="both"/>
        <w:rPr>
          <w:sz w:val="18"/>
        </w:rPr>
      </w:pPr>
      <w:r>
        <w:rPr>
          <w:sz w:val="18"/>
        </w:rPr>
        <w:t>Flexibilização do limites estratégicos devidamente justificados para: Atendimento: CAU/PE e CAU/PI; Comunicação: CAU/RO e CAU/PB; Patrocínio: CAU/SP; Objetivos Locais: CAU/BA e CAU/SE; Assistência Técnica: CAU/AM, CAU/PA, CAU/PB,CAU/PI, CAU/SE, CAU/ES, CAU/PR e CAU/MS; Reserva de Contingência: CAU/PA, CAU/PR, CAU/GO, CAU/MT e CAU/BR; Capacitação: CAU/AC, CAU/AM, CAU/PA, CAU/RO, CAU/TO, CAU/BA, CAU/MA, CAU/PB, CAU/PE, CAU/PI, CAU/RN, CAU/SE, CAU/ES, CAU/MG, CAU/RJ, CAU/SP, CAU/PR, CAU/RS,CAU/ SC, CAU/GO, CAU/MS e CAU/BR.</w:t>
      </w:r>
    </w:p>
    <w:p>
      <w:pPr>
        <w:pStyle w:val="ListParagraph"/>
        <w:numPr>
          <w:ilvl w:val="1"/>
          <w:numId w:val="8"/>
        </w:numPr>
        <w:tabs>
          <w:tab w:pos="990" w:val="left" w:leader="none"/>
        </w:tabs>
        <w:spacing w:line="240" w:lineRule="auto" w:before="1" w:after="0"/>
        <w:ind w:left="852" w:right="704" w:firstLine="0"/>
        <w:jc w:val="both"/>
        <w:rPr>
          <w:sz w:val="18"/>
        </w:rPr>
      </w:pPr>
      <w:r>
        <w:rPr>
          <w:sz w:val="18"/>
        </w:rPr>
        <w:t>Na</w:t>
      </w:r>
      <w:r>
        <w:rPr>
          <w:spacing w:val="-3"/>
          <w:sz w:val="18"/>
        </w:rPr>
        <w:t> </w:t>
      </w:r>
      <w:r>
        <w:rPr>
          <w:sz w:val="18"/>
        </w:rPr>
        <w:t>Reprogramação 2020,</w:t>
      </w:r>
      <w:r>
        <w:rPr>
          <w:spacing w:val="-2"/>
          <w:sz w:val="18"/>
        </w:rPr>
        <w:t> </w:t>
      </w:r>
      <w:r>
        <w:rPr>
          <w:sz w:val="18"/>
        </w:rPr>
        <w:t>constam</w:t>
      </w:r>
      <w:r>
        <w:rPr>
          <w:spacing w:val="-2"/>
          <w:sz w:val="18"/>
        </w:rPr>
        <w:t> </w:t>
      </w:r>
      <w:r>
        <w:rPr>
          <w:sz w:val="18"/>
        </w:rPr>
        <w:t>aprovados</w:t>
      </w:r>
      <w:r>
        <w:rPr>
          <w:spacing w:val="-3"/>
          <w:sz w:val="18"/>
        </w:rPr>
        <w:t> </w:t>
      </w:r>
      <w:r>
        <w:rPr>
          <w:sz w:val="18"/>
        </w:rPr>
        <w:t>fora</w:t>
      </w:r>
      <w:r>
        <w:rPr>
          <w:spacing w:val="-2"/>
          <w:sz w:val="18"/>
        </w:rPr>
        <w:t> </w:t>
      </w:r>
      <w:r>
        <w:rPr>
          <w:sz w:val="18"/>
        </w:rPr>
        <w:t>do</w:t>
      </w:r>
      <w:r>
        <w:rPr>
          <w:spacing w:val="-2"/>
          <w:sz w:val="18"/>
        </w:rPr>
        <w:t> </w:t>
      </w:r>
      <w:r>
        <w:rPr>
          <w:sz w:val="18"/>
        </w:rPr>
        <w:t>fluxo</w:t>
      </w:r>
      <w:r>
        <w:rPr>
          <w:spacing w:val="-2"/>
          <w:sz w:val="18"/>
        </w:rPr>
        <w:t> </w:t>
      </w:r>
      <w:r>
        <w:rPr>
          <w:sz w:val="18"/>
        </w:rPr>
        <w:t>da</w:t>
      </w:r>
      <w:r>
        <w:rPr>
          <w:spacing w:val="-3"/>
          <w:sz w:val="18"/>
        </w:rPr>
        <w:t> </w:t>
      </w:r>
      <w:r>
        <w:rPr>
          <w:sz w:val="18"/>
        </w:rPr>
        <w:t>Reprogramação</w:t>
      </w:r>
      <w:r>
        <w:rPr>
          <w:spacing w:val="-1"/>
          <w:sz w:val="18"/>
        </w:rPr>
        <w:t> </w:t>
      </w:r>
      <w:r>
        <w:rPr>
          <w:sz w:val="18"/>
        </w:rPr>
        <w:t>Ordinária</w:t>
      </w:r>
      <w:r>
        <w:rPr>
          <w:spacing w:val="-3"/>
          <w:sz w:val="18"/>
        </w:rPr>
        <w:t> </w:t>
      </w:r>
      <w:r>
        <w:rPr>
          <w:sz w:val="18"/>
        </w:rPr>
        <w:t>aprovada</w:t>
      </w:r>
      <w:r>
        <w:rPr>
          <w:spacing w:val="-3"/>
          <w:sz w:val="18"/>
        </w:rPr>
        <w:t> </w:t>
      </w:r>
      <w:r>
        <w:rPr>
          <w:sz w:val="18"/>
        </w:rPr>
        <w:t>em</w:t>
      </w:r>
      <w:r>
        <w:rPr>
          <w:spacing w:val="-2"/>
          <w:sz w:val="18"/>
        </w:rPr>
        <w:t> </w:t>
      </w:r>
      <w:r>
        <w:rPr>
          <w:sz w:val="18"/>
        </w:rPr>
        <w:t>agosto, o</w:t>
      </w:r>
      <w:r>
        <w:rPr>
          <w:spacing w:val="-2"/>
          <w:sz w:val="18"/>
        </w:rPr>
        <w:t> </w:t>
      </w:r>
      <w:r>
        <w:rPr>
          <w:sz w:val="18"/>
        </w:rPr>
        <w:t>CAU/PA</w:t>
      </w:r>
      <w:r>
        <w:rPr>
          <w:spacing w:val="-3"/>
          <w:sz w:val="18"/>
        </w:rPr>
        <w:t> </w:t>
      </w:r>
      <w:r>
        <w:rPr>
          <w:sz w:val="18"/>
        </w:rPr>
        <w:t>aprovado</w:t>
      </w:r>
      <w:r>
        <w:rPr>
          <w:spacing w:val="-4"/>
          <w:sz w:val="18"/>
        </w:rPr>
        <w:t> </w:t>
      </w:r>
      <w:r>
        <w:rPr>
          <w:sz w:val="18"/>
        </w:rPr>
        <w:t>na</w:t>
      </w:r>
      <w:r>
        <w:rPr>
          <w:spacing w:val="-3"/>
          <w:sz w:val="18"/>
        </w:rPr>
        <w:t> </w:t>
      </w:r>
      <w:r>
        <w:rPr>
          <w:sz w:val="18"/>
        </w:rPr>
        <w:t>104ª</w:t>
      </w:r>
      <w:r>
        <w:rPr>
          <w:spacing w:val="-2"/>
          <w:sz w:val="18"/>
        </w:rPr>
        <w:t> </w:t>
      </w:r>
      <w:r>
        <w:rPr>
          <w:sz w:val="18"/>
        </w:rPr>
        <w:t>Reunião</w:t>
      </w:r>
      <w:r>
        <w:rPr>
          <w:spacing w:val="-1"/>
          <w:sz w:val="18"/>
        </w:rPr>
        <w:t> </w:t>
      </w:r>
      <w:r>
        <w:rPr>
          <w:sz w:val="18"/>
        </w:rPr>
        <w:t>Plenária</w:t>
      </w:r>
      <w:r>
        <w:rPr>
          <w:spacing w:val="-3"/>
          <w:sz w:val="18"/>
        </w:rPr>
        <w:t> </w:t>
      </w:r>
      <w:r>
        <w:rPr>
          <w:sz w:val="18"/>
        </w:rPr>
        <w:t>Ordinária,</w:t>
      </w:r>
      <w:r>
        <w:rPr>
          <w:spacing w:val="-2"/>
          <w:sz w:val="18"/>
        </w:rPr>
        <w:t> </w:t>
      </w:r>
      <w:r>
        <w:rPr>
          <w:sz w:val="18"/>
        </w:rPr>
        <w:t>de</w:t>
      </w:r>
      <w:r>
        <w:rPr>
          <w:spacing w:val="-3"/>
          <w:sz w:val="18"/>
        </w:rPr>
        <w:t> </w:t>
      </w:r>
      <w:r>
        <w:rPr>
          <w:sz w:val="18"/>
        </w:rPr>
        <w:t>24</w:t>
      </w:r>
      <w:r>
        <w:rPr>
          <w:spacing w:val="-2"/>
          <w:sz w:val="18"/>
        </w:rPr>
        <w:t> </w:t>
      </w:r>
      <w:r>
        <w:rPr>
          <w:sz w:val="18"/>
        </w:rPr>
        <w:t>de</w:t>
      </w:r>
      <w:r>
        <w:rPr>
          <w:spacing w:val="-3"/>
          <w:sz w:val="18"/>
        </w:rPr>
        <w:t> </w:t>
      </w:r>
      <w:r>
        <w:rPr>
          <w:sz w:val="18"/>
        </w:rPr>
        <w:t>setembro</w:t>
      </w:r>
      <w:r>
        <w:rPr>
          <w:spacing w:val="-2"/>
          <w:sz w:val="18"/>
        </w:rPr>
        <w:t> </w:t>
      </w:r>
      <w:r>
        <w:rPr>
          <w:sz w:val="18"/>
        </w:rPr>
        <w:t>de</w:t>
      </w:r>
      <w:r>
        <w:rPr>
          <w:spacing w:val="-1"/>
          <w:sz w:val="18"/>
        </w:rPr>
        <w:t> </w:t>
      </w:r>
      <w:r>
        <w:rPr>
          <w:sz w:val="18"/>
        </w:rPr>
        <w:t>2020,</w:t>
      </w:r>
      <w:r>
        <w:rPr>
          <w:spacing w:val="-2"/>
          <w:sz w:val="18"/>
        </w:rPr>
        <w:t> </w:t>
      </w:r>
      <w:r>
        <w:rPr>
          <w:sz w:val="18"/>
        </w:rPr>
        <w:t>o</w:t>
      </w:r>
      <w:r>
        <w:rPr>
          <w:spacing w:val="-1"/>
          <w:sz w:val="18"/>
        </w:rPr>
        <w:t> </w:t>
      </w:r>
      <w:r>
        <w:rPr>
          <w:sz w:val="18"/>
        </w:rPr>
        <w:t>CAU/MA, na 105ª</w:t>
      </w:r>
      <w:r>
        <w:rPr>
          <w:spacing w:val="-1"/>
          <w:sz w:val="18"/>
        </w:rPr>
        <w:t> </w:t>
      </w:r>
      <w:r>
        <w:rPr>
          <w:sz w:val="18"/>
        </w:rPr>
        <w:t>Reunião Plenária Ordinária, de</w:t>
      </w:r>
      <w:r>
        <w:rPr>
          <w:spacing w:val="-1"/>
          <w:sz w:val="18"/>
        </w:rPr>
        <w:t> </w:t>
      </w:r>
      <w:r>
        <w:rPr>
          <w:sz w:val="18"/>
        </w:rPr>
        <w:t>23 de</w:t>
      </w:r>
      <w:r>
        <w:rPr>
          <w:spacing w:val="-1"/>
          <w:sz w:val="18"/>
        </w:rPr>
        <w:t> </w:t>
      </w:r>
      <w:r>
        <w:rPr>
          <w:sz w:val="18"/>
        </w:rPr>
        <w:t>outubro de</w:t>
      </w:r>
      <w:r>
        <w:rPr>
          <w:spacing w:val="-1"/>
          <w:sz w:val="18"/>
        </w:rPr>
        <w:t> </w:t>
      </w:r>
      <w:r>
        <w:rPr>
          <w:sz w:val="18"/>
        </w:rPr>
        <w:t>2020 e</w:t>
      </w:r>
      <w:r>
        <w:rPr>
          <w:spacing w:val="-1"/>
          <w:sz w:val="18"/>
        </w:rPr>
        <w:t> </w:t>
      </w:r>
      <w:r>
        <w:rPr>
          <w:sz w:val="18"/>
        </w:rPr>
        <w:t>as Reprogramações</w:t>
      </w:r>
      <w:r>
        <w:rPr>
          <w:spacing w:val="-1"/>
          <w:sz w:val="18"/>
        </w:rPr>
        <w:t> </w:t>
      </w:r>
      <w:r>
        <w:rPr>
          <w:sz w:val="18"/>
        </w:rPr>
        <w:t>Extraordinárias</w:t>
      </w:r>
      <w:r>
        <w:rPr>
          <w:spacing w:val="-1"/>
          <w:sz w:val="18"/>
        </w:rPr>
        <w:t> </w:t>
      </w:r>
      <w:r>
        <w:rPr>
          <w:sz w:val="18"/>
        </w:rPr>
        <w:t>dos</w:t>
      </w:r>
      <w:r>
        <w:rPr>
          <w:spacing w:val="-1"/>
          <w:sz w:val="18"/>
        </w:rPr>
        <w:t> </w:t>
      </w:r>
      <w:r>
        <w:rPr>
          <w:sz w:val="18"/>
        </w:rPr>
        <w:t>CAU/AM, CAU/AL, CAU/CE,</w:t>
      </w:r>
      <w:r>
        <w:rPr>
          <w:spacing w:val="-1"/>
          <w:sz w:val="18"/>
        </w:rPr>
        <w:t> </w:t>
      </w:r>
      <w:r>
        <w:rPr>
          <w:sz w:val="18"/>
        </w:rPr>
        <w:t>CAU/ES, CAU/RN, aprovadas</w:t>
      </w:r>
      <w:r>
        <w:rPr>
          <w:spacing w:val="-1"/>
          <w:sz w:val="18"/>
        </w:rPr>
        <w:t> </w:t>
      </w:r>
      <w:r>
        <w:rPr>
          <w:sz w:val="18"/>
        </w:rPr>
        <w:t>na Reunião Plenária Ordinária n°</w:t>
      </w:r>
      <w:r>
        <w:rPr>
          <w:spacing w:val="-1"/>
          <w:sz w:val="18"/>
        </w:rPr>
        <w:t> </w:t>
      </w:r>
      <w:r>
        <w:rPr>
          <w:sz w:val="18"/>
        </w:rPr>
        <w:t>106, de</w:t>
      </w:r>
      <w:r>
        <w:rPr>
          <w:spacing w:val="-1"/>
          <w:sz w:val="18"/>
        </w:rPr>
        <w:t> </w:t>
      </w:r>
      <w:r>
        <w:rPr>
          <w:sz w:val="18"/>
        </w:rPr>
        <w:t>19 de novembro de 2020.</w:t>
      </w:r>
    </w:p>
    <w:p>
      <w:pPr>
        <w:spacing w:after="0" w:line="240" w:lineRule="auto"/>
        <w:jc w:val="both"/>
        <w:rPr>
          <w:sz w:val="18"/>
        </w:rPr>
        <w:sectPr>
          <w:headerReference w:type="default" r:id="rId72"/>
          <w:footerReference w:type="default" r:id="rId73"/>
          <w:pgSz w:w="16840" w:h="11910" w:orient="landscape"/>
          <w:pgMar w:header="0" w:footer="261" w:top="700" w:bottom="460" w:left="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Heading1"/>
      </w:pPr>
      <w:r>
        <w:rPr>
          <w:color w:val="008080"/>
        </w:rPr>
        <w:t>ANEXO </w:t>
      </w:r>
      <w:r>
        <w:rPr>
          <w:color w:val="008080"/>
          <w:spacing w:val="-10"/>
        </w:rPr>
        <w:t>7</w:t>
      </w:r>
    </w:p>
    <w:p>
      <w:pPr>
        <w:pStyle w:val="BodyText"/>
        <w:rPr>
          <w:b/>
          <w:sz w:val="48"/>
        </w:rPr>
      </w:pPr>
    </w:p>
    <w:p>
      <w:pPr>
        <w:pStyle w:val="BodyText"/>
        <w:rPr>
          <w:b/>
          <w:sz w:val="48"/>
        </w:rPr>
      </w:pPr>
    </w:p>
    <w:p>
      <w:pPr>
        <w:pStyle w:val="Heading2"/>
        <w:spacing w:line="360" w:lineRule="auto"/>
        <w:ind w:left="126"/>
      </w:pPr>
      <w:r>
        <w:rPr>
          <w:color w:val="008080"/>
        </w:rPr>
        <w:t>Reprogramações</w:t>
      </w:r>
      <w:r>
        <w:rPr>
          <w:color w:val="008080"/>
          <w:spacing w:val="-6"/>
        </w:rPr>
        <w:t> </w:t>
      </w:r>
      <w:r>
        <w:rPr>
          <w:color w:val="008080"/>
        </w:rPr>
        <w:t>do</w:t>
      </w:r>
      <w:r>
        <w:rPr>
          <w:color w:val="008080"/>
          <w:spacing w:val="-5"/>
        </w:rPr>
        <w:t> </w:t>
      </w:r>
      <w:r>
        <w:rPr>
          <w:color w:val="008080"/>
        </w:rPr>
        <w:t>Plano</w:t>
      </w:r>
      <w:r>
        <w:rPr>
          <w:color w:val="008080"/>
          <w:spacing w:val="-5"/>
        </w:rPr>
        <w:t> </w:t>
      </w:r>
      <w:r>
        <w:rPr>
          <w:color w:val="008080"/>
        </w:rPr>
        <w:t>de</w:t>
      </w:r>
      <w:r>
        <w:rPr>
          <w:color w:val="008080"/>
          <w:spacing w:val="-6"/>
        </w:rPr>
        <w:t> </w:t>
      </w:r>
      <w:r>
        <w:rPr>
          <w:color w:val="008080"/>
        </w:rPr>
        <w:t>Ação</w:t>
      </w:r>
      <w:r>
        <w:rPr>
          <w:color w:val="008080"/>
          <w:spacing w:val="-7"/>
        </w:rPr>
        <w:t> </w:t>
      </w:r>
      <w:r>
        <w:rPr>
          <w:color w:val="008080"/>
        </w:rPr>
        <w:t>e</w:t>
      </w:r>
      <w:r>
        <w:rPr>
          <w:color w:val="008080"/>
          <w:spacing w:val="-6"/>
        </w:rPr>
        <w:t> </w:t>
      </w:r>
      <w:r>
        <w:rPr>
          <w:color w:val="008080"/>
        </w:rPr>
        <w:t>Orçamento do CAU 2020 dos CAU/UF e CAU/BR</w:t>
      </w:r>
    </w:p>
    <w:p>
      <w:pPr>
        <w:spacing w:before="159"/>
        <w:ind w:left="637" w:right="0" w:firstLine="0"/>
        <w:jc w:val="left"/>
        <w:rPr>
          <w:b/>
          <w:sz w:val="48"/>
        </w:rPr>
      </w:pPr>
      <w:r>
        <w:rPr>
          <w:b/>
          <w:color w:val="008080"/>
          <w:sz w:val="48"/>
        </w:rPr>
        <w:t>(Links</w:t>
      </w:r>
      <w:r>
        <w:rPr>
          <w:b/>
          <w:color w:val="008080"/>
          <w:spacing w:val="-3"/>
          <w:sz w:val="48"/>
        </w:rPr>
        <w:t> </w:t>
      </w:r>
      <w:r>
        <w:rPr>
          <w:b/>
          <w:color w:val="008080"/>
          <w:sz w:val="48"/>
        </w:rPr>
        <w:t>para</w:t>
      </w:r>
      <w:r>
        <w:rPr>
          <w:b/>
          <w:color w:val="008080"/>
          <w:spacing w:val="-2"/>
          <w:sz w:val="48"/>
        </w:rPr>
        <w:t> </w:t>
      </w:r>
      <w:r>
        <w:rPr>
          <w:b/>
          <w:color w:val="008080"/>
          <w:sz w:val="48"/>
        </w:rPr>
        <w:t>acesso</w:t>
      </w:r>
      <w:r>
        <w:rPr>
          <w:b/>
          <w:color w:val="008080"/>
          <w:spacing w:val="-3"/>
          <w:sz w:val="48"/>
        </w:rPr>
        <w:t> </w:t>
      </w:r>
      <w:r>
        <w:rPr>
          <w:b/>
          <w:color w:val="008080"/>
          <w:sz w:val="48"/>
        </w:rPr>
        <w:t>no</w:t>
      </w:r>
      <w:r>
        <w:rPr>
          <w:b/>
          <w:color w:val="008080"/>
          <w:spacing w:val="-2"/>
          <w:sz w:val="48"/>
        </w:rPr>
        <w:t> </w:t>
      </w:r>
      <w:r>
        <w:rPr>
          <w:b/>
          <w:color w:val="008080"/>
          <w:sz w:val="48"/>
        </w:rPr>
        <w:t>Portal</w:t>
      </w:r>
      <w:r>
        <w:rPr>
          <w:b/>
          <w:color w:val="008080"/>
          <w:spacing w:val="-3"/>
          <w:sz w:val="48"/>
        </w:rPr>
        <w:t> </w:t>
      </w:r>
      <w:r>
        <w:rPr>
          <w:b/>
          <w:color w:val="008080"/>
          <w:spacing w:val="-2"/>
          <w:sz w:val="48"/>
        </w:rPr>
        <w:t>Transparência)</w:t>
      </w:r>
    </w:p>
    <w:p>
      <w:pPr>
        <w:spacing w:after="0"/>
        <w:jc w:val="left"/>
        <w:rPr>
          <w:sz w:val="48"/>
        </w:rPr>
        <w:sectPr>
          <w:headerReference w:type="default" r:id="rId75"/>
          <w:footerReference w:type="default" r:id="rId76"/>
          <w:pgSz w:w="11910" w:h="16840"/>
          <w:pgMar w:header="703" w:footer="261" w:top="1580" w:bottom="460" w:left="1300" w:right="740"/>
          <w:pgNumType w:start="39"/>
        </w:sectPr>
      </w:pPr>
    </w:p>
    <w:p>
      <w:pPr>
        <w:pStyle w:val="Heading5"/>
        <w:spacing w:before="7"/>
        <w:ind w:right="113"/>
      </w:pPr>
      <w:bookmarkStart w:name="_bookmark27" w:id="28"/>
      <w:bookmarkEnd w:id="28"/>
      <w:r>
        <w:rPr>
          <w:b w:val="0"/>
        </w:rPr>
      </w:r>
      <w:r>
        <w:rPr/>
        <w:t>Anexo</w:t>
      </w:r>
      <w:r>
        <w:rPr>
          <w:spacing w:val="-4"/>
        </w:rPr>
        <w:t> </w:t>
      </w:r>
      <w:r>
        <w:rPr/>
        <w:t>7. Reprogramações</w:t>
      </w:r>
      <w:r>
        <w:rPr>
          <w:spacing w:val="-3"/>
        </w:rPr>
        <w:t> </w:t>
      </w:r>
      <w:r>
        <w:rPr/>
        <w:t>do</w:t>
      </w:r>
      <w:r>
        <w:rPr>
          <w:spacing w:val="-1"/>
        </w:rPr>
        <w:t> </w:t>
      </w:r>
      <w:r>
        <w:rPr/>
        <w:t>Plano</w:t>
      </w:r>
      <w:r>
        <w:rPr>
          <w:spacing w:val="-1"/>
        </w:rPr>
        <w:t> </w:t>
      </w:r>
      <w:r>
        <w:rPr/>
        <w:t>de</w:t>
      </w:r>
      <w:r>
        <w:rPr>
          <w:spacing w:val="-6"/>
        </w:rPr>
        <w:t> </w:t>
      </w:r>
      <w:r>
        <w:rPr/>
        <w:t>Ação</w:t>
      </w:r>
      <w:r>
        <w:rPr>
          <w:spacing w:val="-2"/>
        </w:rPr>
        <w:t> </w:t>
      </w:r>
      <w:r>
        <w:rPr/>
        <w:t>e</w:t>
      </w:r>
      <w:r>
        <w:rPr>
          <w:spacing w:val="-5"/>
        </w:rPr>
        <w:t> </w:t>
      </w:r>
      <w:r>
        <w:rPr/>
        <w:t>Orçamento</w:t>
      </w:r>
      <w:r>
        <w:rPr>
          <w:spacing w:val="-2"/>
        </w:rPr>
        <w:t> </w:t>
      </w:r>
      <w:r>
        <w:rPr/>
        <w:t>do</w:t>
      </w:r>
      <w:r>
        <w:rPr>
          <w:spacing w:val="-4"/>
        </w:rPr>
        <w:t> </w:t>
      </w:r>
      <w:r>
        <w:rPr/>
        <w:t>CAU</w:t>
      </w:r>
      <w:r>
        <w:rPr>
          <w:spacing w:val="-5"/>
        </w:rPr>
        <w:t> </w:t>
      </w:r>
      <w:r>
        <w:rPr/>
        <w:t>2020</w:t>
      </w:r>
      <w:r>
        <w:rPr>
          <w:spacing w:val="-3"/>
        </w:rPr>
        <w:t> </w:t>
      </w:r>
      <w:r>
        <w:rPr/>
        <w:t>dos</w:t>
      </w:r>
      <w:r>
        <w:rPr>
          <w:spacing w:val="-2"/>
        </w:rPr>
        <w:t> </w:t>
      </w:r>
      <w:r>
        <w:rPr/>
        <w:t>CAU/UF</w:t>
      </w:r>
      <w:r>
        <w:rPr>
          <w:spacing w:val="-2"/>
        </w:rPr>
        <w:t> </w:t>
      </w:r>
      <w:r>
        <w:rPr/>
        <w:t>e</w:t>
      </w:r>
      <w:r>
        <w:rPr>
          <w:spacing w:val="-3"/>
        </w:rPr>
        <w:t> </w:t>
      </w:r>
      <w:r>
        <w:rPr>
          <w:spacing w:val="-2"/>
        </w:rPr>
        <w:t>CAU/BR</w:t>
      </w:r>
    </w:p>
    <w:p>
      <w:pPr>
        <w:spacing w:before="0"/>
        <w:ind w:left="0" w:right="107" w:firstLine="0"/>
        <w:jc w:val="right"/>
        <w:rPr>
          <w:b/>
          <w:sz w:val="24"/>
        </w:rPr>
      </w:pPr>
      <w:r>
        <w:rPr>
          <w:b/>
          <w:sz w:val="24"/>
        </w:rPr>
        <w:t>(Links</w:t>
      </w:r>
      <w:r>
        <w:rPr>
          <w:b/>
          <w:spacing w:val="-3"/>
          <w:sz w:val="24"/>
        </w:rPr>
        <w:t> </w:t>
      </w:r>
      <w:r>
        <w:rPr>
          <w:b/>
          <w:sz w:val="24"/>
        </w:rPr>
        <w:t>para</w:t>
      </w:r>
      <w:r>
        <w:rPr>
          <w:b/>
          <w:spacing w:val="-3"/>
          <w:sz w:val="24"/>
        </w:rPr>
        <w:t> </w:t>
      </w:r>
      <w:r>
        <w:rPr>
          <w:b/>
          <w:sz w:val="24"/>
        </w:rPr>
        <w:t>acesso</w:t>
      </w:r>
      <w:r>
        <w:rPr>
          <w:b/>
          <w:spacing w:val="-5"/>
          <w:sz w:val="24"/>
        </w:rPr>
        <w:t> </w:t>
      </w:r>
      <w:r>
        <w:rPr>
          <w:b/>
          <w:sz w:val="24"/>
        </w:rPr>
        <w:t>no</w:t>
      </w:r>
      <w:r>
        <w:rPr>
          <w:b/>
          <w:spacing w:val="-1"/>
          <w:sz w:val="24"/>
        </w:rPr>
        <w:t> </w:t>
      </w:r>
      <w:r>
        <w:rPr>
          <w:b/>
          <w:sz w:val="24"/>
        </w:rPr>
        <w:t>Portal</w:t>
      </w:r>
      <w:r>
        <w:rPr>
          <w:b/>
          <w:spacing w:val="-3"/>
          <w:sz w:val="24"/>
        </w:rPr>
        <w:t> </w:t>
      </w:r>
      <w:r>
        <w:rPr>
          <w:b/>
          <w:spacing w:val="-2"/>
          <w:sz w:val="24"/>
        </w:rPr>
        <w:t>Transparência)</w:t>
      </w:r>
    </w:p>
    <w:p>
      <w:pPr>
        <w:pStyle w:val="BodyText"/>
        <w:spacing w:before="10"/>
        <w:rPr>
          <w:b/>
          <w:sz w:val="26"/>
        </w:rPr>
      </w:pPr>
    </w:p>
    <w:p>
      <w:pPr>
        <w:spacing w:line="360" w:lineRule="auto" w:before="1"/>
        <w:ind w:left="118" w:right="408" w:firstLine="0"/>
        <w:jc w:val="left"/>
        <w:rPr>
          <w:i/>
          <w:sz w:val="22"/>
        </w:rPr>
      </w:pPr>
      <w:r>
        <w:rPr>
          <w:sz w:val="22"/>
        </w:rPr>
        <w:t>CAU/BR - </w:t>
      </w:r>
      <w:r>
        <w:rPr>
          <w:i/>
          <w:color w:val="006FC0"/>
          <w:sz w:val="22"/>
          <w:u w:val="single" w:color="006FC0"/>
        </w:rPr>
        <w:t>https://transparencia.caubr.gov.br/arquivos/Parecer Reprogramação 2020_CAU_BR.xlsx</w:t>
      </w:r>
      <w:r>
        <w:rPr>
          <w:i/>
          <w:color w:val="006FC0"/>
          <w:sz w:val="22"/>
        </w:rPr>
        <w:t> </w:t>
      </w:r>
      <w:r>
        <w:rPr>
          <w:sz w:val="22"/>
        </w:rPr>
        <w:t>CAU/AC - </w:t>
      </w:r>
      <w:r>
        <w:rPr>
          <w:i/>
          <w:color w:val="006FC0"/>
          <w:sz w:val="22"/>
          <w:u w:val="single" w:color="006FC0"/>
        </w:rPr>
        <w:t>https://transparencia.caubr.gov.br/arquivos/Parecer Reprogramação 2020_CAU_AC.xlsx</w:t>
      </w:r>
      <w:r>
        <w:rPr>
          <w:i/>
          <w:color w:val="006FC0"/>
          <w:sz w:val="22"/>
        </w:rPr>
        <w:t> </w:t>
      </w:r>
      <w:r>
        <w:rPr>
          <w:sz w:val="22"/>
        </w:rPr>
        <w:t>CAU/AM</w:t>
      </w:r>
      <w:r>
        <w:rPr>
          <w:spacing w:val="-3"/>
          <w:sz w:val="22"/>
        </w:rPr>
        <w:t> </w:t>
      </w:r>
      <w:r>
        <w:rPr>
          <w:sz w:val="22"/>
        </w:rPr>
        <w:t>-</w:t>
      </w:r>
      <w:r>
        <w:rPr>
          <w:spacing w:val="-1"/>
          <w:sz w:val="22"/>
        </w:rPr>
        <w:t> </w:t>
      </w:r>
      <w:r>
        <w:rPr>
          <w:i/>
          <w:color w:val="006FC0"/>
          <w:sz w:val="22"/>
          <w:u w:val="single" w:color="006FC0"/>
        </w:rPr>
        <w:t>https://transparencia.caubr.gov.br/arquivos/Parecer Reprogramação</w:t>
      </w:r>
      <w:r>
        <w:rPr>
          <w:i/>
          <w:color w:val="006FC0"/>
          <w:spacing w:val="-1"/>
          <w:sz w:val="22"/>
          <w:u w:val="single" w:color="006FC0"/>
        </w:rPr>
        <w:t> </w:t>
      </w:r>
      <w:r>
        <w:rPr>
          <w:i/>
          <w:color w:val="006FC0"/>
          <w:sz w:val="22"/>
          <w:u w:val="single" w:color="006FC0"/>
        </w:rPr>
        <w:t>2020_CAU_AM.xlsx</w:t>
      </w:r>
      <w:r>
        <w:rPr>
          <w:i/>
          <w:color w:val="006FC0"/>
          <w:sz w:val="22"/>
        </w:rPr>
        <w:t> </w:t>
      </w:r>
      <w:r>
        <w:rPr>
          <w:sz w:val="22"/>
        </w:rPr>
        <w:t>CAU/AP - </w:t>
      </w:r>
      <w:r>
        <w:rPr>
          <w:i/>
          <w:color w:val="006FC0"/>
          <w:sz w:val="22"/>
          <w:u w:val="single" w:color="006FC0"/>
        </w:rPr>
        <w:t>https://transparencia.caubr.gov.br/arquivos/Parecer Reprogramação 2020_CAU_AP.xlsx</w:t>
      </w:r>
      <w:r>
        <w:rPr>
          <w:i/>
          <w:color w:val="006FC0"/>
          <w:sz w:val="22"/>
        </w:rPr>
        <w:t> </w:t>
      </w:r>
      <w:r>
        <w:rPr>
          <w:sz w:val="22"/>
        </w:rPr>
        <w:t>CAU/AL - </w:t>
      </w:r>
      <w:r>
        <w:rPr>
          <w:i/>
          <w:color w:val="006FC0"/>
          <w:sz w:val="22"/>
          <w:u w:val="single" w:color="006FC0"/>
        </w:rPr>
        <w:t>https://transparencia.caubr.gov.br/arquivos/Parecer Reprogramação 2020_CAU_AL.xlsx</w:t>
      </w:r>
      <w:r>
        <w:rPr>
          <w:i/>
          <w:color w:val="006FC0"/>
          <w:sz w:val="22"/>
        </w:rPr>
        <w:t> </w:t>
      </w:r>
      <w:r>
        <w:rPr>
          <w:sz w:val="22"/>
        </w:rPr>
        <w:t>CAU/BA - </w:t>
      </w:r>
      <w:r>
        <w:rPr>
          <w:i/>
          <w:color w:val="006FC0"/>
          <w:sz w:val="22"/>
          <w:u w:val="single" w:color="006FC0"/>
        </w:rPr>
        <w:t>https://transparencia.caubr.gov.br/arquivos/Parecer Reprogramação 2020_CAU_BA.xlsx</w:t>
      </w:r>
      <w:r>
        <w:rPr>
          <w:i/>
          <w:color w:val="006FC0"/>
          <w:sz w:val="22"/>
        </w:rPr>
        <w:t> </w:t>
      </w:r>
      <w:r>
        <w:rPr>
          <w:sz w:val="22"/>
        </w:rPr>
        <w:t>CAU/CE - </w:t>
      </w:r>
      <w:hyperlink r:id="rId77">
        <w:r>
          <w:rPr>
            <w:i/>
            <w:color w:val="0462C1"/>
            <w:sz w:val="22"/>
            <w:u w:val="single" w:color="0462C1"/>
          </w:rPr>
          <w:t>https://transparencia.caubr.gov.br/arquivos/Parecer Reprogramação 2020_CAU_CE.xlsx</w:t>
        </w:r>
      </w:hyperlink>
      <w:r>
        <w:rPr>
          <w:i/>
          <w:color w:val="0462C1"/>
          <w:sz w:val="22"/>
        </w:rPr>
        <w:t> </w:t>
      </w:r>
      <w:r>
        <w:rPr>
          <w:sz w:val="22"/>
        </w:rPr>
        <w:t>CAU/DF - </w:t>
      </w:r>
      <w:r>
        <w:rPr>
          <w:i/>
          <w:color w:val="006FC0"/>
          <w:sz w:val="22"/>
          <w:u w:val="single" w:color="006FC0"/>
        </w:rPr>
        <w:t>https://transparencia.caubr.gov.br/arquivos/Parecer Reprogramação 2020_CAU_DF.xlsx</w:t>
      </w:r>
      <w:r>
        <w:rPr>
          <w:i/>
          <w:color w:val="006FC0"/>
          <w:sz w:val="22"/>
        </w:rPr>
        <w:t> </w:t>
      </w:r>
      <w:r>
        <w:rPr>
          <w:sz w:val="22"/>
        </w:rPr>
        <w:t>CAU/ES - </w:t>
      </w:r>
      <w:r>
        <w:rPr>
          <w:i/>
          <w:color w:val="006FC0"/>
          <w:sz w:val="22"/>
          <w:u w:val="single" w:color="006FC0"/>
        </w:rPr>
        <w:t>https://transparencia.caubr.gov.br/arquivos/Parecer Reprogramação 2020_CAU_ES.xlsx</w:t>
      </w:r>
      <w:r>
        <w:rPr>
          <w:i/>
          <w:color w:val="006FC0"/>
          <w:sz w:val="22"/>
        </w:rPr>
        <w:t> </w:t>
      </w:r>
      <w:r>
        <w:rPr>
          <w:sz w:val="22"/>
        </w:rPr>
        <w:t>CAU/GO - </w:t>
      </w:r>
      <w:r>
        <w:rPr>
          <w:i/>
          <w:color w:val="006FC0"/>
          <w:sz w:val="22"/>
          <w:u w:val="single" w:color="006FC0"/>
        </w:rPr>
        <w:t>https://transparencia.caubr.gov.br/arquivos/Parecer Reprogramação 2020_CAU_GO.xlsx</w:t>
      </w:r>
      <w:r>
        <w:rPr>
          <w:i/>
          <w:color w:val="006FC0"/>
          <w:sz w:val="22"/>
        </w:rPr>
        <w:t> </w:t>
      </w:r>
      <w:r>
        <w:rPr>
          <w:sz w:val="22"/>
        </w:rPr>
        <w:t>CAU/MA </w:t>
      </w:r>
      <w:r>
        <w:rPr>
          <w:i/>
          <w:sz w:val="22"/>
        </w:rPr>
        <w:t>- </w:t>
      </w:r>
      <w:r>
        <w:rPr>
          <w:i/>
          <w:color w:val="006FC0"/>
          <w:sz w:val="22"/>
          <w:u w:val="single" w:color="006FC0"/>
        </w:rPr>
        <w:t>https://transparencia.caubr.gov.br/arquivos/Parecer Reprogramação 2020 CAU MA.xlsx</w:t>
      </w:r>
      <w:r>
        <w:rPr>
          <w:i/>
          <w:color w:val="006FC0"/>
          <w:sz w:val="22"/>
        </w:rPr>
        <w:t> </w:t>
      </w:r>
      <w:r>
        <w:rPr>
          <w:sz w:val="22"/>
        </w:rPr>
        <w:t>CAU/MG</w:t>
      </w:r>
      <w:r>
        <w:rPr>
          <w:spacing w:val="-7"/>
          <w:sz w:val="22"/>
        </w:rPr>
        <w:t> </w:t>
      </w:r>
      <w:r>
        <w:rPr>
          <w:sz w:val="22"/>
        </w:rPr>
        <w:t>-</w:t>
      </w:r>
      <w:r>
        <w:rPr>
          <w:spacing w:val="-7"/>
          <w:sz w:val="22"/>
        </w:rPr>
        <w:t> </w:t>
      </w:r>
      <w:r>
        <w:rPr>
          <w:i/>
          <w:color w:val="006FC0"/>
          <w:sz w:val="22"/>
          <w:u w:val="single" w:color="006FC0"/>
        </w:rPr>
        <w:t>https://transparencia.caubr.gov.br/arquivos/Parecer</w:t>
      </w:r>
      <w:r>
        <w:rPr>
          <w:i/>
          <w:color w:val="006FC0"/>
          <w:spacing w:val="-7"/>
          <w:sz w:val="22"/>
          <w:u w:val="single" w:color="006FC0"/>
        </w:rPr>
        <w:t> </w:t>
      </w:r>
      <w:r>
        <w:rPr>
          <w:i/>
          <w:color w:val="006FC0"/>
          <w:sz w:val="22"/>
          <w:u w:val="single" w:color="006FC0"/>
        </w:rPr>
        <w:t>Reprogramação</w:t>
      </w:r>
      <w:r>
        <w:rPr>
          <w:i/>
          <w:color w:val="006FC0"/>
          <w:spacing w:val="-7"/>
          <w:sz w:val="22"/>
          <w:u w:val="single" w:color="006FC0"/>
        </w:rPr>
        <w:t> </w:t>
      </w:r>
      <w:r>
        <w:rPr>
          <w:i/>
          <w:color w:val="006FC0"/>
          <w:sz w:val="22"/>
          <w:u w:val="single" w:color="006FC0"/>
        </w:rPr>
        <w:t>2020_CAU_MG.xlsx</w:t>
      </w:r>
      <w:r>
        <w:rPr>
          <w:i/>
          <w:color w:val="006FC0"/>
          <w:sz w:val="22"/>
        </w:rPr>
        <w:t> </w:t>
      </w:r>
      <w:r>
        <w:rPr>
          <w:sz w:val="22"/>
        </w:rPr>
        <w:t>CAU/MS - </w:t>
      </w:r>
      <w:r>
        <w:rPr>
          <w:i/>
          <w:color w:val="006FC0"/>
          <w:sz w:val="22"/>
          <w:u w:val="single" w:color="006FC0"/>
        </w:rPr>
        <w:t>https://transparencia.caubr.gov.br/arquivos/Parecer Reprogramação 2020_CAU_MS.xlsx</w:t>
      </w:r>
      <w:r>
        <w:rPr>
          <w:i/>
          <w:color w:val="006FC0"/>
          <w:sz w:val="22"/>
        </w:rPr>
        <w:t> </w:t>
      </w:r>
      <w:r>
        <w:rPr>
          <w:sz w:val="22"/>
        </w:rPr>
        <w:t>CAU/MT - </w:t>
      </w:r>
      <w:r>
        <w:rPr>
          <w:i/>
          <w:color w:val="006FC0"/>
          <w:sz w:val="22"/>
          <w:u w:val="single" w:color="006FC0"/>
        </w:rPr>
        <w:t>https://transparencia.caubr.gov.br/arquivos/Parecer Reprogramação 2020_CAU_MT.xlsx</w:t>
      </w:r>
      <w:r>
        <w:rPr>
          <w:i/>
          <w:color w:val="006FC0"/>
          <w:sz w:val="22"/>
        </w:rPr>
        <w:t> </w:t>
      </w:r>
      <w:r>
        <w:rPr>
          <w:sz w:val="22"/>
        </w:rPr>
        <w:t>CAU/PA </w:t>
      </w:r>
      <w:r>
        <w:rPr>
          <w:i/>
          <w:sz w:val="22"/>
        </w:rPr>
        <w:t>- </w:t>
      </w:r>
      <w:r>
        <w:rPr>
          <w:i/>
          <w:color w:val="006FC0"/>
          <w:sz w:val="22"/>
          <w:u w:val="single" w:color="006FC0"/>
        </w:rPr>
        <w:t>https://transparencia.caubr.gov.br/arquivos/Parecer Reprogramação 2020 CAU PA.xlsx</w:t>
      </w:r>
      <w:r>
        <w:rPr>
          <w:i/>
          <w:color w:val="006FC0"/>
          <w:sz w:val="22"/>
        </w:rPr>
        <w:t> </w:t>
      </w:r>
      <w:r>
        <w:rPr>
          <w:sz w:val="22"/>
        </w:rPr>
        <w:t>CAU/PB - </w:t>
      </w:r>
      <w:r>
        <w:rPr>
          <w:i/>
          <w:color w:val="006FC0"/>
          <w:sz w:val="22"/>
          <w:u w:val="single" w:color="006FC0"/>
        </w:rPr>
        <w:t>https://transparencia.caubr.gov.br/arquivos/Parecer Reprogramação 2020_CAU_PB.xlsx</w:t>
      </w:r>
      <w:r>
        <w:rPr>
          <w:i/>
          <w:color w:val="006FC0"/>
          <w:sz w:val="22"/>
        </w:rPr>
        <w:t> </w:t>
      </w:r>
      <w:r>
        <w:rPr>
          <w:sz w:val="22"/>
        </w:rPr>
        <w:t>CAU/PE - </w:t>
      </w:r>
      <w:r>
        <w:rPr>
          <w:i/>
          <w:color w:val="006FC0"/>
          <w:sz w:val="22"/>
          <w:u w:val="single" w:color="006FC0"/>
        </w:rPr>
        <w:t>https://transparencia.caubr.gov.br/arquivos/Parecer Reprogramação 2020_CAU_PE.xlsx</w:t>
      </w:r>
      <w:r>
        <w:rPr>
          <w:i/>
          <w:color w:val="006FC0"/>
          <w:sz w:val="22"/>
        </w:rPr>
        <w:t> </w:t>
      </w:r>
      <w:r>
        <w:rPr>
          <w:sz w:val="22"/>
        </w:rPr>
        <w:t>CAU/PI - </w:t>
      </w:r>
      <w:r>
        <w:rPr>
          <w:i/>
          <w:color w:val="006FC0"/>
          <w:sz w:val="22"/>
          <w:u w:val="single" w:color="006FC0"/>
        </w:rPr>
        <w:t>https://transparencia.caubr.gov.br/arquivos/Parecer Reprogramação 2020_CAU_PI.xlsx</w:t>
      </w:r>
      <w:r>
        <w:rPr>
          <w:i/>
          <w:color w:val="006FC0"/>
          <w:sz w:val="22"/>
        </w:rPr>
        <w:t> </w:t>
      </w:r>
      <w:r>
        <w:rPr>
          <w:sz w:val="22"/>
        </w:rPr>
        <w:t>CAU/PR - </w:t>
      </w:r>
      <w:r>
        <w:rPr>
          <w:i/>
          <w:color w:val="006FC0"/>
          <w:sz w:val="22"/>
          <w:u w:val="single" w:color="006FC0"/>
        </w:rPr>
        <w:t>https://transparencia.caubr.gov.br/arquivos/Parecer Reprogramação 2020_CAU_PR.xlsx</w:t>
      </w:r>
      <w:r>
        <w:rPr>
          <w:i/>
          <w:color w:val="006FC0"/>
          <w:sz w:val="22"/>
        </w:rPr>
        <w:t> </w:t>
      </w:r>
      <w:r>
        <w:rPr>
          <w:sz w:val="22"/>
        </w:rPr>
        <w:t>CAU/RJ - </w:t>
      </w:r>
      <w:r>
        <w:rPr>
          <w:i/>
          <w:color w:val="006FC0"/>
          <w:sz w:val="22"/>
          <w:u w:val="single" w:color="006FC0"/>
        </w:rPr>
        <w:t>https://transparencia.caubr.gov.br/arquivos/Parecer Reprogramação 2020_CAU_RJ.xlsx</w:t>
      </w:r>
      <w:r>
        <w:rPr>
          <w:i/>
          <w:color w:val="006FC0"/>
          <w:sz w:val="22"/>
        </w:rPr>
        <w:t> </w:t>
      </w:r>
      <w:r>
        <w:rPr>
          <w:sz w:val="22"/>
        </w:rPr>
        <w:t>CAU/RN - </w:t>
      </w:r>
      <w:r>
        <w:rPr>
          <w:i/>
          <w:color w:val="006FC0"/>
          <w:sz w:val="22"/>
          <w:u w:val="single" w:color="006FC0"/>
        </w:rPr>
        <w:t>https://transparencia.caubr.gov.br/arquivos/Parecer Reprogramação 2020_CAU_RN.xlsx</w:t>
      </w:r>
      <w:r>
        <w:rPr>
          <w:i/>
          <w:color w:val="006FC0"/>
          <w:sz w:val="22"/>
        </w:rPr>
        <w:t> </w:t>
      </w:r>
      <w:r>
        <w:rPr>
          <w:sz w:val="22"/>
        </w:rPr>
        <w:t>CAU/RO - </w:t>
      </w:r>
      <w:r>
        <w:rPr>
          <w:i/>
          <w:color w:val="006FC0"/>
          <w:sz w:val="22"/>
          <w:u w:val="single" w:color="006FC0"/>
        </w:rPr>
        <w:t>https://transparencia.caubr.gov.br/arquivos/Parecer Reprogramação 2020_CAU_RO.xlsx</w:t>
      </w:r>
      <w:r>
        <w:rPr>
          <w:i/>
          <w:color w:val="006FC0"/>
          <w:sz w:val="22"/>
        </w:rPr>
        <w:t> </w:t>
      </w:r>
      <w:r>
        <w:rPr>
          <w:sz w:val="22"/>
        </w:rPr>
        <w:t>CAU/RR - </w:t>
      </w:r>
      <w:r>
        <w:rPr>
          <w:i/>
          <w:color w:val="006FC0"/>
          <w:sz w:val="22"/>
          <w:u w:val="single" w:color="006FC0"/>
        </w:rPr>
        <w:t>https://transparencia.caubr.gov.br/arquivos/Parecer Reprogramação 2020_CAU_RR.xlsx</w:t>
      </w:r>
      <w:r>
        <w:rPr>
          <w:i/>
          <w:color w:val="006FC0"/>
          <w:sz w:val="22"/>
        </w:rPr>
        <w:t> </w:t>
      </w:r>
      <w:r>
        <w:rPr>
          <w:sz w:val="22"/>
        </w:rPr>
        <w:t>CAU/RS - </w:t>
      </w:r>
      <w:r>
        <w:rPr>
          <w:i/>
          <w:color w:val="006FC0"/>
          <w:sz w:val="22"/>
          <w:u w:val="single" w:color="006FC0"/>
        </w:rPr>
        <w:t>https://transparencia.caubr.gov.br/arquivos/Parecer Reprogramação 2020_CAU_RS.xlsx</w:t>
      </w:r>
      <w:r>
        <w:rPr>
          <w:i/>
          <w:color w:val="006FC0"/>
          <w:sz w:val="22"/>
        </w:rPr>
        <w:t> </w:t>
      </w:r>
      <w:r>
        <w:rPr>
          <w:sz w:val="22"/>
        </w:rPr>
        <w:t>CAU/SC - </w:t>
      </w:r>
      <w:r>
        <w:rPr>
          <w:i/>
          <w:color w:val="006FC0"/>
          <w:sz w:val="22"/>
          <w:u w:val="single" w:color="006FC0"/>
        </w:rPr>
        <w:t>https://transparencia.caubr.gov.br/arquivos/Parecer Reprogramação 2020_CAU_SC.xlsx</w:t>
      </w:r>
      <w:r>
        <w:rPr>
          <w:i/>
          <w:color w:val="006FC0"/>
          <w:sz w:val="22"/>
        </w:rPr>
        <w:t> </w:t>
      </w:r>
      <w:r>
        <w:rPr>
          <w:sz w:val="22"/>
        </w:rPr>
        <w:t>CAU/SE - </w:t>
      </w:r>
      <w:r>
        <w:rPr>
          <w:i/>
          <w:color w:val="006FC0"/>
          <w:sz w:val="22"/>
          <w:u w:val="single" w:color="006FC0"/>
        </w:rPr>
        <w:t>https://transparencia.caubr.gov.br/arquivos/Parecer Reprogramação 2020_CAU_SE.xlsx</w:t>
      </w:r>
      <w:r>
        <w:rPr>
          <w:i/>
          <w:color w:val="006FC0"/>
          <w:sz w:val="22"/>
        </w:rPr>
        <w:t> </w:t>
      </w:r>
      <w:r>
        <w:rPr>
          <w:sz w:val="22"/>
        </w:rPr>
        <w:t>CAU/SP - </w:t>
      </w:r>
      <w:r>
        <w:rPr>
          <w:i/>
          <w:color w:val="006FC0"/>
          <w:sz w:val="22"/>
          <w:u w:val="single" w:color="006FC0"/>
        </w:rPr>
        <w:t>https://transparencia.caubr.gov.br/arquivos/Parecer Reprogramação 2020_CAU_SP.xlsx</w:t>
      </w:r>
      <w:r>
        <w:rPr>
          <w:i/>
          <w:color w:val="006FC0"/>
          <w:sz w:val="22"/>
        </w:rPr>
        <w:t> </w:t>
      </w:r>
      <w:r>
        <w:rPr>
          <w:sz w:val="22"/>
        </w:rPr>
        <w:t>CAU/TO - </w:t>
      </w:r>
      <w:r>
        <w:rPr>
          <w:i/>
          <w:color w:val="006FC0"/>
          <w:sz w:val="22"/>
          <w:u w:val="single" w:color="006FC0"/>
        </w:rPr>
        <w:t>https://transparencia.caubr.gov.br/arquivos/Parecer Reprogramação 2020_CAU_TO.xlsx</w:t>
      </w:r>
    </w:p>
    <w:sectPr>
      <w:pgSz w:w="11910" w:h="16840"/>
      <w:pgMar w:header="703" w:footer="261" w:top="1580" w:bottom="460" w:left="1300" w:right="7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19995pt;margin-top:817.849976pt;width:25.75pt;height:11pt;mso-position-horizontal-relative:page;mso-position-vertical-relative:page;z-index:-16263680" type="#_x0000_t202" id="docshape5" filled="false" stroked="false">
          <v:textbox inset="0,0,0,0">
            <w:txbxContent>
              <w:p>
                <w:pPr>
                  <w:spacing w:line="203" w:lineRule="exact" w:before="0"/>
                  <w:ind w:left="60" w:right="0" w:firstLine="0"/>
                  <w:jc w:val="left"/>
                  <w:rPr>
                    <w:b/>
                    <w:sz w:val="18"/>
                  </w:rPr>
                </w:pPr>
                <w:r>
                  <w:rPr>
                    <w:b/>
                    <w:spacing w:val="-2"/>
                    <w:sz w:val="18"/>
                  </w:rPr>
                  <w:fldChar w:fldCharType="begin"/>
                </w:r>
                <w:r>
                  <w:rPr>
                    <w:b/>
                    <w:spacing w:val="-2"/>
                    <w:sz w:val="18"/>
                  </w:rPr>
                  <w:instrText> PAGE </w:instrText>
                </w:r>
                <w:r>
                  <w:rPr>
                    <w:b/>
                    <w:spacing w:val="-2"/>
                    <w:sz w:val="18"/>
                  </w:rPr>
                  <w:fldChar w:fldCharType="separate"/>
                </w:r>
                <w:r>
                  <w:rPr>
                    <w:b/>
                    <w:spacing w:val="-2"/>
                    <w:sz w:val="18"/>
                  </w:rPr>
                  <w:t>10</w:t>
                </w:r>
                <w:r>
                  <w:rPr>
                    <w:b/>
                    <w:spacing w:val="-2"/>
                    <w:sz w:val="18"/>
                  </w:rPr>
                  <w:fldChar w:fldCharType="end"/>
                </w:r>
                <w:r>
                  <w:rPr>
                    <w:spacing w:val="-2"/>
                    <w:sz w:val="18"/>
                  </w:rPr>
                  <w:t>/</w:t>
                </w:r>
                <w:r>
                  <w:rPr>
                    <w:b/>
                    <w:spacing w:val="-2"/>
                    <w:sz w:val="18"/>
                  </w:rPr>
                  <w:fldChar w:fldCharType="begin"/>
                </w:r>
                <w:r>
                  <w:rPr>
                    <w:b/>
                    <w:spacing w:val="-2"/>
                    <w:sz w:val="18"/>
                  </w:rPr>
                  <w:instrText> NUMPAGES </w:instrText>
                </w:r>
                <w:r>
                  <w:rPr>
                    <w:b/>
                    <w:spacing w:val="-2"/>
                    <w:sz w:val="18"/>
                  </w:rPr>
                  <w:fldChar w:fldCharType="separate"/>
                </w:r>
                <w:r>
                  <w:rPr>
                    <w:b/>
                    <w:spacing w:val="-2"/>
                    <w:sz w:val="18"/>
                  </w:rPr>
                  <w:t>40</w:t>
                </w:r>
                <w:r>
                  <w:rPr>
                    <w:b/>
                    <w:spacing w:val="-2"/>
                    <w:sz w:val="18"/>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919983pt;margin-top:571.25pt;width:23.75pt;height:11pt;mso-position-horizontal-relative:page;mso-position-vertical-relative:page;z-index:-16263168" type="#_x0000_t202" id="docshape91" filled="false" stroked="false">
          <v:textbox inset="0,0,0,0">
            <w:txbxContent>
              <w:p>
                <w:pPr>
                  <w:spacing w:line="203" w:lineRule="exact" w:before="0"/>
                  <w:ind w:left="20" w:right="0" w:firstLine="0"/>
                  <w:jc w:val="left"/>
                  <w:rPr>
                    <w:b/>
                    <w:sz w:val="18"/>
                  </w:rPr>
                </w:pPr>
                <w:r>
                  <w:rPr>
                    <w:b/>
                    <w:spacing w:val="-2"/>
                    <w:sz w:val="18"/>
                  </w:rPr>
                  <w:t>24</w:t>
                </w:r>
                <w:r>
                  <w:rPr>
                    <w:spacing w:val="-2"/>
                    <w:sz w:val="18"/>
                  </w:rPr>
                  <w:t>/</w:t>
                </w:r>
                <w:r>
                  <w:rPr>
                    <w:b/>
                    <w:spacing w:val="-2"/>
                    <w:sz w:val="18"/>
                  </w:rPr>
                  <w:t>40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19995pt;margin-top:817.849976pt;width:25.75pt;height:11pt;mso-position-horizontal-relative:page;mso-position-vertical-relative:page;z-index:-16262144" type="#_x0000_t202" id="docshape92" filled="false" stroked="false">
          <v:textbox inset="0,0,0,0">
            <w:txbxContent>
              <w:p>
                <w:pPr>
                  <w:spacing w:line="203" w:lineRule="exact" w:before="0"/>
                  <w:ind w:left="60" w:right="0" w:firstLine="0"/>
                  <w:jc w:val="left"/>
                  <w:rPr>
                    <w:b/>
                    <w:sz w:val="18"/>
                  </w:rPr>
                </w:pPr>
                <w:r>
                  <w:rPr>
                    <w:b/>
                    <w:spacing w:val="-2"/>
                    <w:sz w:val="18"/>
                  </w:rPr>
                  <w:fldChar w:fldCharType="begin"/>
                </w:r>
                <w:r>
                  <w:rPr>
                    <w:b/>
                    <w:spacing w:val="-2"/>
                    <w:sz w:val="18"/>
                  </w:rPr>
                  <w:instrText> PAGE </w:instrText>
                </w:r>
                <w:r>
                  <w:rPr>
                    <w:b/>
                    <w:spacing w:val="-2"/>
                    <w:sz w:val="18"/>
                  </w:rPr>
                  <w:fldChar w:fldCharType="separate"/>
                </w:r>
                <w:r>
                  <w:rPr>
                    <w:b/>
                    <w:spacing w:val="-2"/>
                    <w:sz w:val="18"/>
                  </w:rPr>
                  <w:t>25</w:t>
                </w:r>
                <w:r>
                  <w:rPr>
                    <w:b/>
                    <w:spacing w:val="-2"/>
                    <w:sz w:val="18"/>
                  </w:rPr>
                  <w:fldChar w:fldCharType="end"/>
                </w:r>
                <w:r>
                  <w:rPr>
                    <w:spacing w:val="-2"/>
                    <w:sz w:val="18"/>
                  </w:rPr>
                  <w:t>/</w:t>
                </w:r>
                <w:r>
                  <w:rPr>
                    <w:b/>
                    <w:spacing w:val="-2"/>
                    <w:sz w:val="18"/>
                  </w:rPr>
                  <w:fldChar w:fldCharType="begin"/>
                </w:r>
                <w:r>
                  <w:rPr>
                    <w:b/>
                    <w:spacing w:val="-2"/>
                    <w:sz w:val="18"/>
                  </w:rPr>
                  <w:instrText> NUMPAGES </w:instrText>
                </w:r>
                <w:r>
                  <w:rPr>
                    <w:b/>
                    <w:spacing w:val="-2"/>
                    <w:sz w:val="18"/>
                  </w:rPr>
                  <w:fldChar w:fldCharType="separate"/>
                </w:r>
                <w:r>
                  <w:rPr>
                    <w:b/>
                    <w:spacing w:val="-2"/>
                    <w:sz w:val="18"/>
                  </w:rPr>
                  <w:t>40</w:t>
                </w:r>
                <w:r>
                  <w:rPr>
                    <w:b/>
                    <w:spacing w:val="-2"/>
                    <w:sz w:val="18"/>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919983pt;margin-top:571.25pt;width:23.75pt;height:11pt;mso-position-horizontal-relative:page;mso-position-vertical-relative:page;z-index:-16261632" type="#_x0000_t202" id="docshape93" filled="false" stroked="false">
          <v:textbox inset="0,0,0,0">
            <w:txbxContent>
              <w:p>
                <w:pPr>
                  <w:spacing w:line="203" w:lineRule="exact" w:before="0"/>
                  <w:ind w:left="20" w:right="0" w:firstLine="0"/>
                  <w:jc w:val="left"/>
                  <w:rPr>
                    <w:b/>
                    <w:sz w:val="18"/>
                  </w:rPr>
                </w:pPr>
                <w:r>
                  <w:rPr>
                    <w:b/>
                    <w:spacing w:val="-2"/>
                    <w:sz w:val="18"/>
                  </w:rPr>
                  <w:t>29</w:t>
                </w:r>
                <w:r>
                  <w:rPr>
                    <w:spacing w:val="-2"/>
                    <w:sz w:val="18"/>
                  </w:rPr>
                  <w:t>/</w:t>
                </w:r>
                <w:r>
                  <w:rPr>
                    <w:b/>
                    <w:spacing w:val="-2"/>
                    <w:sz w:val="18"/>
                  </w:rPr>
                  <w:t>40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19995pt;margin-top:817.849976pt;width:25.75pt;height:11pt;mso-position-horizontal-relative:page;mso-position-vertical-relative:page;z-index:-16260608" type="#_x0000_t202" id="docshape94" filled="false" stroked="false">
          <v:textbox inset="0,0,0,0">
            <w:txbxContent>
              <w:p>
                <w:pPr>
                  <w:spacing w:line="203" w:lineRule="exact" w:before="0"/>
                  <w:ind w:left="60" w:right="0" w:firstLine="0"/>
                  <w:jc w:val="left"/>
                  <w:rPr>
                    <w:b/>
                    <w:sz w:val="18"/>
                  </w:rPr>
                </w:pPr>
                <w:r>
                  <w:rPr>
                    <w:b/>
                    <w:spacing w:val="-2"/>
                    <w:sz w:val="18"/>
                  </w:rPr>
                  <w:fldChar w:fldCharType="begin"/>
                </w:r>
                <w:r>
                  <w:rPr>
                    <w:b/>
                    <w:spacing w:val="-2"/>
                    <w:sz w:val="18"/>
                  </w:rPr>
                  <w:instrText> PAGE </w:instrText>
                </w:r>
                <w:r>
                  <w:rPr>
                    <w:b/>
                    <w:spacing w:val="-2"/>
                    <w:sz w:val="18"/>
                  </w:rPr>
                  <w:fldChar w:fldCharType="separate"/>
                </w:r>
                <w:r>
                  <w:rPr>
                    <w:b/>
                    <w:spacing w:val="-2"/>
                    <w:sz w:val="18"/>
                  </w:rPr>
                  <w:t>30</w:t>
                </w:r>
                <w:r>
                  <w:rPr>
                    <w:b/>
                    <w:spacing w:val="-2"/>
                    <w:sz w:val="18"/>
                  </w:rPr>
                  <w:fldChar w:fldCharType="end"/>
                </w:r>
                <w:r>
                  <w:rPr>
                    <w:spacing w:val="-2"/>
                    <w:sz w:val="18"/>
                  </w:rPr>
                  <w:t>/</w:t>
                </w:r>
                <w:r>
                  <w:rPr>
                    <w:b/>
                    <w:spacing w:val="-2"/>
                    <w:sz w:val="18"/>
                  </w:rPr>
                  <w:fldChar w:fldCharType="begin"/>
                </w:r>
                <w:r>
                  <w:rPr>
                    <w:b/>
                    <w:spacing w:val="-2"/>
                    <w:sz w:val="18"/>
                  </w:rPr>
                  <w:instrText> NUMPAGES </w:instrText>
                </w:r>
                <w:r>
                  <w:rPr>
                    <w:b/>
                    <w:spacing w:val="-2"/>
                    <w:sz w:val="18"/>
                  </w:rPr>
                  <w:fldChar w:fldCharType="separate"/>
                </w:r>
                <w:r>
                  <w:rPr>
                    <w:b/>
                    <w:spacing w:val="-2"/>
                    <w:sz w:val="18"/>
                  </w:rPr>
                  <w:t>40</w:t>
                </w:r>
                <w:r>
                  <w:rPr>
                    <w:b/>
                    <w:spacing w:val="-2"/>
                    <w:sz w:val="18"/>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919983pt;margin-top:571.25pt;width:23.75pt;height:11pt;mso-position-horizontal-relative:page;mso-position-vertical-relative:page;z-index:-16260096" type="#_x0000_t202" id="docshape95" filled="false" stroked="false">
          <v:textbox inset="0,0,0,0">
            <w:txbxContent>
              <w:p>
                <w:pPr>
                  <w:spacing w:line="203" w:lineRule="exact" w:before="0"/>
                  <w:ind w:left="20" w:right="0" w:firstLine="0"/>
                  <w:jc w:val="left"/>
                  <w:rPr>
                    <w:b/>
                    <w:sz w:val="18"/>
                  </w:rPr>
                </w:pPr>
                <w:r>
                  <w:rPr>
                    <w:b/>
                    <w:spacing w:val="-2"/>
                    <w:sz w:val="18"/>
                  </w:rPr>
                  <w:t>34</w:t>
                </w:r>
                <w:r>
                  <w:rPr>
                    <w:spacing w:val="-2"/>
                    <w:sz w:val="18"/>
                  </w:rPr>
                  <w:t>/</w:t>
                </w:r>
                <w:r>
                  <w:rPr>
                    <w:b/>
                    <w:spacing w:val="-2"/>
                    <w:sz w:val="18"/>
                  </w:rPr>
                  <w:t>40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119995pt;margin-top:817.849976pt;width:25.75pt;height:11pt;mso-position-horizontal-relative:page;mso-position-vertical-relative:page;z-index:-16259072" type="#_x0000_t202" id="docshape96" filled="false" stroked="false">
          <v:textbox inset="0,0,0,0">
            <w:txbxContent>
              <w:p>
                <w:pPr>
                  <w:spacing w:line="203" w:lineRule="exact" w:before="0"/>
                  <w:ind w:left="60" w:right="0" w:firstLine="0"/>
                  <w:jc w:val="left"/>
                  <w:rPr>
                    <w:b/>
                    <w:sz w:val="18"/>
                  </w:rPr>
                </w:pPr>
                <w:r>
                  <w:rPr>
                    <w:b/>
                    <w:spacing w:val="-2"/>
                    <w:sz w:val="18"/>
                  </w:rPr>
                  <w:fldChar w:fldCharType="begin"/>
                </w:r>
                <w:r>
                  <w:rPr>
                    <w:b/>
                    <w:spacing w:val="-2"/>
                    <w:sz w:val="18"/>
                  </w:rPr>
                  <w:instrText> PAGE </w:instrText>
                </w:r>
                <w:r>
                  <w:rPr>
                    <w:b/>
                    <w:spacing w:val="-2"/>
                    <w:sz w:val="18"/>
                  </w:rPr>
                  <w:fldChar w:fldCharType="separate"/>
                </w:r>
                <w:r>
                  <w:rPr>
                    <w:b/>
                    <w:spacing w:val="-2"/>
                    <w:sz w:val="18"/>
                  </w:rPr>
                  <w:t>35</w:t>
                </w:r>
                <w:r>
                  <w:rPr>
                    <w:b/>
                    <w:spacing w:val="-2"/>
                    <w:sz w:val="18"/>
                  </w:rPr>
                  <w:fldChar w:fldCharType="end"/>
                </w:r>
                <w:r>
                  <w:rPr>
                    <w:spacing w:val="-2"/>
                    <w:sz w:val="18"/>
                  </w:rPr>
                  <w:t>/</w:t>
                </w:r>
                <w:r>
                  <w:rPr>
                    <w:b/>
                    <w:spacing w:val="-2"/>
                    <w:sz w:val="18"/>
                  </w:rPr>
                  <w:fldChar w:fldCharType="begin"/>
                </w:r>
                <w:r>
                  <w:rPr>
                    <w:b/>
                    <w:spacing w:val="-2"/>
                    <w:sz w:val="18"/>
                  </w:rPr>
                  <w:instrText> NUMPAGES </w:instrText>
                </w:r>
                <w:r>
                  <w:rPr>
                    <w:b/>
                    <w:spacing w:val="-2"/>
                    <w:sz w:val="18"/>
                  </w:rPr>
                  <w:fldChar w:fldCharType="separate"/>
                </w:r>
                <w:r>
                  <w:rPr>
                    <w:b/>
                    <w:spacing w:val="-2"/>
                    <w:sz w:val="18"/>
                  </w:rPr>
                  <w:t>40</w:t>
                </w:r>
                <w:r>
                  <w:rPr>
                    <w:b/>
                    <w:spacing w:val="-2"/>
                    <w:sz w:val="18"/>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83.919983pt;margin-top:571.25pt;width:23.75pt;height:11pt;mso-position-horizontal-relative:page;mso-position-vertical-relative:page;z-index:-16258560" type="#_x0000_t202" id="docshape97" filled="false" stroked="false">
          <v:textbox inset="0,0,0,0">
            <w:txbxContent>
              <w:p>
                <w:pPr>
                  <w:spacing w:line="203" w:lineRule="exact" w:before="0"/>
                  <w:ind w:left="20" w:right="0" w:firstLine="0"/>
                  <w:jc w:val="left"/>
                  <w:rPr>
                    <w:b/>
                    <w:sz w:val="18"/>
                  </w:rPr>
                </w:pPr>
                <w:r>
                  <w:rPr>
                    <w:b/>
                    <w:spacing w:val="-2"/>
                    <w:sz w:val="18"/>
                  </w:rPr>
                  <w:t>38</w:t>
                </w:r>
                <w:r>
                  <w:rPr>
                    <w:spacing w:val="-2"/>
                    <w:sz w:val="18"/>
                  </w:rPr>
                  <w:t>/</w:t>
                </w:r>
                <w:r>
                  <w:rPr>
                    <w:b/>
                    <w:spacing w:val="-2"/>
                    <w:sz w:val="18"/>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8.23999pt;margin-top:817.849976pt;width:25.75pt;height:11pt;mso-position-horizontal-relative:page;mso-position-vertical-relative:page;z-index:-16257536" type="#_x0000_t202" id="docshape98" filled="false" stroked="false">
          <v:textbox inset="0,0,0,0">
            <w:txbxContent>
              <w:p>
                <w:pPr>
                  <w:spacing w:line="203" w:lineRule="exact" w:before="0"/>
                  <w:ind w:left="60" w:right="0" w:firstLine="0"/>
                  <w:jc w:val="left"/>
                  <w:rPr>
                    <w:b/>
                    <w:sz w:val="18"/>
                  </w:rPr>
                </w:pPr>
                <w:r>
                  <w:rPr>
                    <w:b/>
                    <w:spacing w:val="-2"/>
                    <w:sz w:val="18"/>
                  </w:rPr>
                  <w:fldChar w:fldCharType="begin"/>
                </w:r>
                <w:r>
                  <w:rPr>
                    <w:b/>
                    <w:spacing w:val="-2"/>
                    <w:sz w:val="18"/>
                  </w:rPr>
                  <w:instrText> PAGE </w:instrText>
                </w:r>
                <w:r>
                  <w:rPr>
                    <w:b/>
                    <w:spacing w:val="-2"/>
                    <w:sz w:val="18"/>
                  </w:rPr>
                  <w:fldChar w:fldCharType="separate"/>
                </w:r>
                <w:r>
                  <w:rPr>
                    <w:b/>
                    <w:spacing w:val="-2"/>
                    <w:sz w:val="18"/>
                  </w:rPr>
                  <w:t>39</w:t>
                </w:r>
                <w:r>
                  <w:rPr>
                    <w:b/>
                    <w:spacing w:val="-2"/>
                    <w:sz w:val="18"/>
                  </w:rPr>
                  <w:fldChar w:fldCharType="end"/>
                </w:r>
                <w:r>
                  <w:rPr>
                    <w:spacing w:val="-2"/>
                    <w:sz w:val="18"/>
                  </w:rPr>
                  <w:t>/</w:t>
                </w:r>
                <w:r>
                  <w:rPr>
                    <w:b/>
                    <w:spacing w:val="-2"/>
                    <w:sz w:val="18"/>
                  </w:rPr>
                  <w:fldChar w:fldCharType="begin"/>
                </w:r>
                <w:r>
                  <w:rPr>
                    <w:b/>
                    <w:spacing w:val="-2"/>
                    <w:sz w:val="18"/>
                  </w:rPr>
                  <w:instrText> NUMPAGES </w:instrText>
                </w:r>
                <w:r>
                  <w:rPr>
                    <w:b/>
                    <w:spacing w:val="-2"/>
                    <w:sz w:val="18"/>
                  </w:rPr>
                  <w:fldChar w:fldCharType="separate"/>
                </w:r>
                <w:r>
                  <w:rPr>
                    <w:b/>
                    <w:spacing w:val="-2"/>
                    <w:sz w:val="18"/>
                  </w:rPr>
                  <w:t>40</w:t>
                </w:r>
                <w:r>
                  <w:rPr>
                    <w:b/>
                    <w:spacing w:val="-2"/>
                    <w:sz w:val="18"/>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52288">
          <wp:simplePos x="0" y="0"/>
          <wp:positionH relativeFrom="page">
            <wp:posOffset>15875</wp:posOffset>
          </wp:positionH>
          <wp:positionV relativeFrom="page">
            <wp:posOffset>437717</wp:posOffset>
          </wp:positionV>
          <wp:extent cx="7544689" cy="566852"/>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1" cstate="print"/>
                  <a:stretch>
                    <a:fillRect/>
                  </a:stretch>
                </pic:blipFill>
                <pic:spPr>
                  <a:xfrm>
                    <a:off x="0" y="0"/>
                    <a:ext cx="7544689" cy="566852"/>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53824">
          <wp:simplePos x="0" y="0"/>
          <wp:positionH relativeFrom="page">
            <wp:posOffset>11429</wp:posOffset>
          </wp:positionH>
          <wp:positionV relativeFrom="page">
            <wp:posOffset>436955</wp:posOffset>
          </wp:positionV>
          <wp:extent cx="7540624" cy="565709"/>
          <wp:effectExtent l="0" t="0" r="0" b="0"/>
          <wp:wrapNone/>
          <wp:docPr id="25" name="image45.jpeg"/>
          <wp:cNvGraphicFramePr>
            <a:graphicFrameLocks noChangeAspect="1"/>
          </wp:cNvGraphicFramePr>
          <a:graphic>
            <a:graphicData uri="http://schemas.openxmlformats.org/drawingml/2006/picture">
              <pic:pic>
                <pic:nvPicPr>
                  <pic:cNvPr id="26" name="image45.jpeg"/>
                  <pic:cNvPicPr/>
                </pic:nvPicPr>
                <pic:blipFill>
                  <a:blip r:embed="rId1" cstate="print"/>
                  <a:stretch>
                    <a:fillRect/>
                  </a:stretch>
                </pic:blipFill>
                <pic:spPr>
                  <a:xfrm>
                    <a:off x="0" y="0"/>
                    <a:ext cx="7540624" cy="565709"/>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55360">
          <wp:simplePos x="0" y="0"/>
          <wp:positionH relativeFrom="page">
            <wp:posOffset>0</wp:posOffset>
          </wp:positionH>
          <wp:positionV relativeFrom="page">
            <wp:posOffset>435927</wp:posOffset>
          </wp:positionV>
          <wp:extent cx="7560563" cy="564197"/>
          <wp:effectExtent l="0" t="0" r="0" b="0"/>
          <wp:wrapNone/>
          <wp:docPr id="33" name="image49.jpeg"/>
          <wp:cNvGraphicFramePr>
            <a:graphicFrameLocks noChangeAspect="1"/>
          </wp:cNvGraphicFramePr>
          <a:graphic>
            <a:graphicData uri="http://schemas.openxmlformats.org/drawingml/2006/picture">
              <pic:pic>
                <pic:nvPicPr>
                  <pic:cNvPr id="34" name="image49.jpeg"/>
                  <pic:cNvPicPr/>
                </pic:nvPicPr>
                <pic:blipFill>
                  <a:blip r:embed="rId1" cstate="print"/>
                  <a:stretch>
                    <a:fillRect/>
                  </a:stretch>
                </pic:blipFill>
                <pic:spPr>
                  <a:xfrm>
                    <a:off x="0" y="0"/>
                    <a:ext cx="7560563" cy="564197"/>
                  </a:xfrm>
                  <a:prstGeom prst="rect">
                    <a:avLst/>
                  </a:prstGeom>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56896">
          <wp:simplePos x="0" y="0"/>
          <wp:positionH relativeFrom="page">
            <wp:posOffset>11429</wp:posOffset>
          </wp:positionH>
          <wp:positionV relativeFrom="page">
            <wp:posOffset>447193</wp:posOffset>
          </wp:positionV>
          <wp:extent cx="7548371" cy="563091"/>
          <wp:effectExtent l="0" t="0" r="0" b="0"/>
          <wp:wrapNone/>
          <wp:docPr id="43" name="image45.jpeg"/>
          <wp:cNvGraphicFramePr>
            <a:graphicFrameLocks noChangeAspect="1"/>
          </wp:cNvGraphicFramePr>
          <a:graphic>
            <a:graphicData uri="http://schemas.openxmlformats.org/drawingml/2006/picture">
              <pic:pic>
                <pic:nvPicPr>
                  <pic:cNvPr id="44" name="image45.jpeg"/>
                  <pic:cNvPicPr/>
                </pic:nvPicPr>
                <pic:blipFill>
                  <a:blip r:embed="rId1" cstate="print"/>
                  <a:stretch>
                    <a:fillRect/>
                  </a:stretch>
                </pic:blipFill>
                <pic:spPr>
                  <a:xfrm>
                    <a:off x="0" y="0"/>
                    <a:ext cx="7548371" cy="563091"/>
                  </a:xfrm>
                  <a:prstGeom prst="rect">
                    <a:avLst/>
                  </a:prstGeom>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487058432">
          <wp:simplePos x="0" y="0"/>
          <wp:positionH relativeFrom="page">
            <wp:posOffset>0</wp:posOffset>
          </wp:positionH>
          <wp:positionV relativeFrom="page">
            <wp:posOffset>446683</wp:posOffset>
          </wp:positionV>
          <wp:extent cx="7560563" cy="562331"/>
          <wp:effectExtent l="0" t="0" r="0" b="0"/>
          <wp:wrapNone/>
          <wp:docPr id="51" name="image56.jpeg"/>
          <wp:cNvGraphicFramePr>
            <a:graphicFrameLocks noChangeAspect="1"/>
          </wp:cNvGraphicFramePr>
          <a:graphic>
            <a:graphicData uri="http://schemas.openxmlformats.org/drawingml/2006/picture">
              <pic:pic>
                <pic:nvPicPr>
                  <pic:cNvPr id="52" name="image56.jpeg"/>
                  <pic:cNvPicPr/>
                </pic:nvPicPr>
                <pic:blipFill>
                  <a:blip r:embed="rId1" cstate="print"/>
                  <a:stretch>
                    <a:fillRect/>
                  </a:stretch>
                </pic:blipFill>
                <pic:spPr>
                  <a:xfrm>
                    <a:off x="0" y="0"/>
                    <a:ext cx="7560563" cy="562331"/>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upperRoman"/>
      <w:lvlText w:val="%1"/>
      <w:lvlJc w:val="left"/>
      <w:pPr>
        <w:ind w:left="1086" w:hanging="116"/>
        <w:jc w:val="left"/>
      </w:pPr>
      <w:rPr>
        <w:rFonts w:hint="default" w:ascii="Calibri" w:hAnsi="Calibri" w:eastAsia="Calibri" w:cs="Calibri"/>
        <w:b w:val="0"/>
        <w:bCs w:val="0"/>
        <w:i w:val="0"/>
        <w:iCs w:val="0"/>
        <w:w w:val="100"/>
        <w:sz w:val="24"/>
        <w:szCs w:val="24"/>
        <w:lang w:val="pt-PT" w:eastAsia="en-US" w:bidi="ar-SA"/>
      </w:rPr>
    </w:lvl>
    <w:lvl w:ilvl="1">
      <w:start w:val="0"/>
      <w:numFmt w:val="bullet"/>
      <w:lvlText w:val="•"/>
      <w:lvlJc w:val="left"/>
      <w:pPr>
        <w:ind w:left="1962" w:hanging="116"/>
      </w:pPr>
      <w:rPr>
        <w:rFonts w:hint="default"/>
        <w:lang w:val="pt-PT" w:eastAsia="en-US" w:bidi="ar-SA"/>
      </w:rPr>
    </w:lvl>
    <w:lvl w:ilvl="2">
      <w:start w:val="0"/>
      <w:numFmt w:val="bullet"/>
      <w:lvlText w:val="•"/>
      <w:lvlJc w:val="left"/>
      <w:pPr>
        <w:ind w:left="2845" w:hanging="116"/>
      </w:pPr>
      <w:rPr>
        <w:rFonts w:hint="default"/>
        <w:lang w:val="pt-PT" w:eastAsia="en-US" w:bidi="ar-SA"/>
      </w:rPr>
    </w:lvl>
    <w:lvl w:ilvl="3">
      <w:start w:val="0"/>
      <w:numFmt w:val="bullet"/>
      <w:lvlText w:val="•"/>
      <w:lvlJc w:val="left"/>
      <w:pPr>
        <w:ind w:left="3727" w:hanging="116"/>
      </w:pPr>
      <w:rPr>
        <w:rFonts w:hint="default"/>
        <w:lang w:val="pt-PT" w:eastAsia="en-US" w:bidi="ar-SA"/>
      </w:rPr>
    </w:lvl>
    <w:lvl w:ilvl="4">
      <w:start w:val="0"/>
      <w:numFmt w:val="bullet"/>
      <w:lvlText w:val="•"/>
      <w:lvlJc w:val="left"/>
      <w:pPr>
        <w:ind w:left="4610" w:hanging="116"/>
      </w:pPr>
      <w:rPr>
        <w:rFonts w:hint="default"/>
        <w:lang w:val="pt-PT" w:eastAsia="en-US" w:bidi="ar-SA"/>
      </w:rPr>
    </w:lvl>
    <w:lvl w:ilvl="5">
      <w:start w:val="0"/>
      <w:numFmt w:val="bullet"/>
      <w:lvlText w:val="•"/>
      <w:lvlJc w:val="left"/>
      <w:pPr>
        <w:ind w:left="5493" w:hanging="116"/>
      </w:pPr>
      <w:rPr>
        <w:rFonts w:hint="default"/>
        <w:lang w:val="pt-PT" w:eastAsia="en-US" w:bidi="ar-SA"/>
      </w:rPr>
    </w:lvl>
    <w:lvl w:ilvl="6">
      <w:start w:val="0"/>
      <w:numFmt w:val="bullet"/>
      <w:lvlText w:val="•"/>
      <w:lvlJc w:val="left"/>
      <w:pPr>
        <w:ind w:left="6375" w:hanging="116"/>
      </w:pPr>
      <w:rPr>
        <w:rFonts w:hint="default"/>
        <w:lang w:val="pt-PT" w:eastAsia="en-US" w:bidi="ar-SA"/>
      </w:rPr>
    </w:lvl>
    <w:lvl w:ilvl="7">
      <w:start w:val="0"/>
      <w:numFmt w:val="bullet"/>
      <w:lvlText w:val="•"/>
      <w:lvlJc w:val="left"/>
      <w:pPr>
        <w:ind w:left="7258" w:hanging="116"/>
      </w:pPr>
      <w:rPr>
        <w:rFonts w:hint="default"/>
        <w:lang w:val="pt-PT" w:eastAsia="en-US" w:bidi="ar-SA"/>
      </w:rPr>
    </w:lvl>
    <w:lvl w:ilvl="8">
      <w:start w:val="0"/>
      <w:numFmt w:val="bullet"/>
      <w:lvlText w:val="•"/>
      <w:lvlJc w:val="left"/>
      <w:pPr>
        <w:ind w:left="8141" w:hanging="116"/>
      </w:pPr>
      <w:rPr>
        <w:rFonts w:hint="default"/>
        <w:lang w:val="pt-PT" w:eastAsia="en-US" w:bidi="ar-SA"/>
      </w:rPr>
    </w:lvl>
  </w:abstractNum>
  <w:abstractNum w:abstractNumId="7">
    <w:multiLevelType w:val="hybridMultilevel"/>
    <w:lvl w:ilvl="0">
      <w:start w:val="1"/>
      <w:numFmt w:val="decimal"/>
      <w:lvlText w:val="%1."/>
      <w:lvlJc w:val="left"/>
      <w:pPr>
        <w:ind w:left="112" w:hanging="138"/>
        <w:jc w:val="left"/>
      </w:pPr>
      <w:rPr>
        <w:rFonts w:hint="default" w:ascii="Calibri" w:hAnsi="Calibri" w:eastAsia="Calibri" w:cs="Calibri"/>
        <w:b w:val="0"/>
        <w:bCs w:val="0"/>
        <w:i w:val="0"/>
        <w:iCs w:val="0"/>
        <w:spacing w:val="-1"/>
        <w:w w:val="100"/>
        <w:sz w:val="16"/>
        <w:szCs w:val="16"/>
        <w:lang w:val="pt-PT" w:eastAsia="en-US" w:bidi="ar-SA"/>
      </w:rPr>
    </w:lvl>
    <w:lvl w:ilvl="1">
      <w:start w:val="1"/>
      <w:numFmt w:val="decimal"/>
      <w:lvlText w:val="%2."/>
      <w:lvlJc w:val="left"/>
      <w:pPr>
        <w:ind w:left="852" w:hanging="138"/>
        <w:jc w:val="left"/>
      </w:pPr>
      <w:rPr>
        <w:rFonts w:hint="default" w:ascii="Calibri" w:hAnsi="Calibri" w:eastAsia="Calibri" w:cs="Calibri"/>
        <w:b w:val="0"/>
        <w:bCs w:val="0"/>
        <w:i w:val="0"/>
        <w:iCs w:val="0"/>
        <w:spacing w:val="-1"/>
        <w:w w:val="100"/>
        <w:sz w:val="16"/>
        <w:szCs w:val="16"/>
        <w:lang w:val="pt-PT" w:eastAsia="en-US" w:bidi="ar-SA"/>
      </w:rPr>
    </w:lvl>
    <w:lvl w:ilvl="2">
      <w:start w:val="0"/>
      <w:numFmt w:val="bullet"/>
      <w:lvlText w:val="•"/>
      <w:lvlJc w:val="left"/>
      <w:pPr>
        <w:ind w:left="1922" w:hanging="138"/>
      </w:pPr>
      <w:rPr>
        <w:rFonts w:hint="default"/>
        <w:lang w:val="pt-PT" w:eastAsia="en-US" w:bidi="ar-SA"/>
      </w:rPr>
    </w:lvl>
    <w:lvl w:ilvl="3">
      <w:start w:val="0"/>
      <w:numFmt w:val="bullet"/>
      <w:lvlText w:val="•"/>
      <w:lvlJc w:val="left"/>
      <w:pPr>
        <w:ind w:left="2985" w:hanging="138"/>
      </w:pPr>
      <w:rPr>
        <w:rFonts w:hint="default"/>
        <w:lang w:val="pt-PT" w:eastAsia="en-US" w:bidi="ar-SA"/>
      </w:rPr>
    </w:lvl>
    <w:lvl w:ilvl="4">
      <w:start w:val="0"/>
      <w:numFmt w:val="bullet"/>
      <w:lvlText w:val="•"/>
      <w:lvlJc w:val="left"/>
      <w:pPr>
        <w:ind w:left="4048" w:hanging="138"/>
      </w:pPr>
      <w:rPr>
        <w:rFonts w:hint="default"/>
        <w:lang w:val="pt-PT" w:eastAsia="en-US" w:bidi="ar-SA"/>
      </w:rPr>
    </w:lvl>
    <w:lvl w:ilvl="5">
      <w:start w:val="0"/>
      <w:numFmt w:val="bullet"/>
      <w:lvlText w:val="•"/>
      <w:lvlJc w:val="left"/>
      <w:pPr>
        <w:ind w:left="5111" w:hanging="138"/>
      </w:pPr>
      <w:rPr>
        <w:rFonts w:hint="default"/>
        <w:lang w:val="pt-PT" w:eastAsia="en-US" w:bidi="ar-SA"/>
      </w:rPr>
    </w:lvl>
    <w:lvl w:ilvl="6">
      <w:start w:val="0"/>
      <w:numFmt w:val="bullet"/>
      <w:lvlText w:val="•"/>
      <w:lvlJc w:val="left"/>
      <w:pPr>
        <w:ind w:left="6174" w:hanging="138"/>
      </w:pPr>
      <w:rPr>
        <w:rFonts w:hint="default"/>
        <w:lang w:val="pt-PT" w:eastAsia="en-US" w:bidi="ar-SA"/>
      </w:rPr>
    </w:lvl>
    <w:lvl w:ilvl="7">
      <w:start w:val="0"/>
      <w:numFmt w:val="bullet"/>
      <w:lvlText w:val="•"/>
      <w:lvlJc w:val="left"/>
      <w:pPr>
        <w:ind w:left="7237" w:hanging="138"/>
      </w:pPr>
      <w:rPr>
        <w:rFonts w:hint="default"/>
        <w:lang w:val="pt-PT" w:eastAsia="en-US" w:bidi="ar-SA"/>
      </w:rPr>
    </w:lvl>
    <w:lvl w:ilvl="8">
      <w:start w:val="0"/>
      <w:numFmt w:val="bullet"/>
      <w:lvlText w:val="•"/>
      <w:lvlJc w:val="left"/>
      <w:pPr>
        <w:ind w:left="8300" w:hanging="138"/>
      </w:pPr>
      <w:rPr>
        <w:rFonts w:hint="default"/>
        <w:lang w:val="pt-PT" w:eastAsia="en-US" w:bidi="ar-SA"/>
      </w:rPr>
    </w:lvl>
  </w:abstractNum>
  <w:abstractNum w:abstractNumId="6">
    <w:multiLevelType w:val="hybridMultilevel"/>
    <w:lvl w:ilvl="0">
      <w:start w:val="1"/>
      <w:numFmt w:val="decimal"/>
      <w:lvlText w:val="%1."/>
      <w:lvlJc w:val="left"/>
      <w:pPr>
        <w:ind w:left="118" w:hanging="138"/>
        <w:jc w:val="left"/>
      </w:pPr>
      <w:rPr>
        <w:rFonts w:hint="default" w:ascii="Calibri" w:hAnsi="Calibri" w:eastAsia="Calibri" w:cs="Calibri"/>
        <w:b w:val="0"/>
        <w:bCs w:val="0"/>
        <w:i w:val="0"/>
        <w:iCs w:val="0"/>
        <w:spacing w:val="-1"/>
        <w:w w:val="100"/>
        <w:sz w:val="16"/>
        <w:szCs w:val="16"/>
        <w:lang w:val="pt-PT" w:eastAsia="en-US" w:bidi="ar-SA"/>
      </w:rPr>
    </w:lvl>
    <w:lvl w:ilvl="1">
      <w:start w:val="0"/>
      <w:numFmt w:val="bullet"/>
      <w:lvlText w:val="•"/>
      <w:lvlJc w:val="left"/>
      <w:pPr>
        <w:ind w:left="1094" w:hanging="138"/>
      </w:pPr>
      <w:rPr>
        <w:rFonts w:hint="default"/>
        <w:lang w:val="pt-PT" w:eastAsia="en-US" w:bidi="ar-SA"/>
      </w:rPr>
    </w:lvl>
    <w:lvl w:ilvl="2">
      <w:start w:val="0"/>
      <w:numFmt w:val="bullet"/>
      <w:lvlText w:val="•"/>
      <w:lvlJc w:val="left"/>
      <w:pPr>
        <w:ind w:left="2069" w:hanging="138"/>
      </w:pPr>
      <w:rPr>
        <w:rFonts w:hint="default"/>
        <w:lang w:val="pt-PT" w:eastAsia="en-US" w:bidi="ar-SA"/>
      </w:rPr>
    </w:lvl>
    <w:lvl w:ilvl="3">
      <w:start w:val="0"/>
      <w:numFmt w:val="bullet"/>
      <w:lvlText w:val="•"/>
      <w:lvlJc w:val="left"/>
      <w:pPr>
        <w:ind w:left="3043" w:hanging="138"/>
      </w:pPr>
      <w:rPr>
        <w:rFonts w:hint="default"/>
        <w:lang w:val="pt-PT" w:eastAsia="en-US" w:bidi="ar-SA"/>
      </w:rPr>
    </w:lvl>
    <w:lvl w:ilvl="4">
      <w:start w:val="0"/>
      <w:numFmt w:val="bullet"/>
      <w:lvlText w:val="•"/>
      <w:lvlJc w:val="left"/>
      <w:pPr>
        <w:ind w:left="4018" w:hanging="138"/>
      </w:pPr>
      <w:rPr>
        <w:rFonts w:hint="default"/>
        <w:lang w:val="pt-PT" w:eastAsia="en-US" w:bidi="ar-SA"/>
      </w:rPr>
    </w:lvl>
    <w:lvl w:ilvl="5">
      <w:start w:val="0"/>
      <w:numFmt w:val="bullet"/>
      <w:lvlText w:val="•"/>
      <w:lvlJc w:val="left"/>
      <w:pPr>
        <w:ind w:left="4993" w:hanging="138"/>
      </w:pPr>
      <w:rPr>
        <w:rFonts w:hint="default"/>
        <w:lang w:val="pt-PT" w:eastAsia="en-US" w:bidi="ar-SA"/>
      </w:rPr>
    </w:lvl>
    <w:lvl w:ilvl="6">
      <w:start w:val="0"/>
      <w:numFmt w:val="bullet"/>
      <w:lvlText w:val="•"/>
      <w:lvlJc w:val="left"/>
      <w:pPr>
        <w:ind w:left="5967" w:hanging="138"/>
      </w:pPr>
      <w:rPr>
        <w:rFonts w:hint="default"/>
        <w:lang w:val="pt-PT" w:eastAsia="en-US" w:bidi="ar-SA"/>
      </w:rPr>
    </w:lvl>
    <w:lvl w:ilvl="7">
      <w:start w:val="0"/>
      <w:numFmt w:val="bullet"/>
      <w:lvlText w:val="•"/>
      <w:lvlJc w:val="left"/>
      <w:pPr>
        <w:ind w:left="6942" w:hanging="138"/>
      </w:pPr>
      <w:rPr>
        <w:rFonts w:hint="default"/>
        <w:lang w:val="pt-PT" w:eastAsia="en-US" w:bidi="ar-SA"/>
      </w:rPr>
    </w:lvl>
    <w:lvl w:ilvl="8">
      <w:start w:val="0"/>
      <w:numFmt w:val="bullet"/>
      <w:lvlText w:val="•"/>
      <w:lvlJc w:val="left"/>
      <w:pPr>
        <w:ind w:left="7917" w:hanging="138"/>
      </w:pPr>
      <w:rPr>
        <w:rFonts w:hint="default"/>
        <w:lang w:val="pt-PT" w:eastAsia="en-US" w:bidi="ar-SA"/>
      </w:rPr>
    </w:lvl>
  </w:abstractNum>
  <w:abstractNum w:abstractNumId="5">
    <w:multiLevelType w:val="hybridMultilevel"/>
    <w:lvl w:ilvl="0">
      <w:start w:val="8"/>
      <w:numFmt w:val="upperRoman"/>
      <w:lvlText w:val="%1-"/>
      <w:lvlJc w:val="left"/>
      <w:pPr>
        <w:ind w:left="1417" w:hanging="447"/>
        <w:jc w:val="left"/>
      </w:pPr>
      <w:rPr>
        <w:rFonts w:hint="default" w:ascii="Calibri" w:hAnsi="Calibri" w:eastAsia="Calibri" w:cs="Calibri"/>
        <w:b w:val="0"/>
        <w:bCs w:val="0"/>
        <w:i w:val="0"/>
        <w:iCs w:val="0"/>
        <w:spacing w:val="-1"/>
        <w:w w:val="100"/>
        <w:sz w:val="24"/>
        <w:szCs w:val="24"/>
        <w:lang w:val="pt-PT" w:eastAsia="en-US" w:bidi="ar-SA"/>
      </w:rPr>
    </w:lvl>
    <w:lvl w:ilvl="1">
      <w:start w:val="0"/>
      <w:numFmt w:val="bullet"/>
      <w:lvlText w:val=""/>
      <w:lvlJc w:val="left"/>
      <w:pPr>
        <w:ind w:left="1690" w:hanging="360"/>
      </w:pPr>
      <w:rPr>
        <w:rFonts w:hint="default" w:ascii="Wingdings" w:hAnsi="Wingdings" w:eastAsia="Wingdings" w:cs="Wingdings"/>
        <w:b w:val="0"/>
        <w:bCs w:val="0"/>
        <w:i w:val="0"/>
        <w:iCs w:val="0"/>
        <w:w w:val="100"/>
        <w:sz w:val="24"/>
        <w:szCs w:val="24"/>
        <w:lang w:val="pt-PT" w:eastAsia="en-US" w:bidi="ar-SA"/>
      </w:rPr>
    </w:lvl>
    <w:lvl w:ilvl="2">
      <w:start w:val="0"/>
      <w:numFmt w:val="bullet"/>
      <w:lvlText w:val="•"/>
      <w:lvlJc w:val="left"/>
      <w:pPr>
        <w:ind w:left="2611" w:hanging="360"/>
      </w:pPr>
      <w:rPr>
        <w:rFonts w:hint="default"/>
        <w:lang w:val="pt-PT" w:eastAsia="en-US" w:bidi="ar-SA"/>
      </w:rPr>
    </w:lvl>
    <w:lvl w:ilvl="3">
      <w:start w:val="0"/>
      <w:numFmt w:val="bullet"/>
      <w:lvlText w:val="•"/>
      <w:lvlJc w:val="left"/>
      <w:pPr>
        <w:ind w:left="3523" w:hanging="360"/>
      </w:pPr>
      <w:rPr>
        <w:rFonts w:hint="default"/>
        <w:lang w:val="pt-PT" w:eastAsia="en-US" w:bidi="ar-SA"/>
      </w:rPr>
    </w:lvl>
    <w:lvl w:ilvl="4">
      <w:start w:val="0"/>
      <w:numFmt w:val="bullet"/>
      <w:lvlText w:val="•"/>
      <w:lvlJc w:val="left"/>
      <w:pPr>
        <w:ind w:left="4435" w:hanging="360"/>
      </w:pPr>
      <w:rPr>
        <w:rFonts w:hint="default"/>
        <w:lang w:val="pt-PT" w:eastAsia="en-US" w:bidi="ar-SA"/>
      </w:rPr>
    </w:lvl>
    <w:lvl w:ilvl="5">
      <w:start w:val="0"/>
      <w:numFmt w:val="bullet"/>
      <w:lvlText w:val="•"/>
      <w:lvlJc w:val="left"/>
      <w:pPr>
        <w:ind w:left="5347" w:hanging="360"/>
      </w:pPr>
      <w:rPr>
        <w:rFonts w:hint="default"/>
        <w:lang w:val="pt-PT" w:eastAsia="en-US" w:bidi="ar-SA"/>
      </w:rPr>
    </w:lvl>
    <w:lvl w:ilvl="6">
      <w:start w:val="0"/>
      <w:numFmt w:val="bullet"/>
      <w:lvlText w:val="•"/>
      <w:lvlJc w:val="left"/>
      <w:pPr>
        <w:ind w:left="6259" w:hanging="360"/>
      </w:pPr>
      <w:rPr>
        <w:rFonts w:hint="default"/>
        <w:lang w:val="pt-PT" w:eastAsia="en-US" w:bidi="ar-SA"/>
      </w:rPr>
    </w:lvl>
    <w:lvl w:ilvl="7">
      <w:start w:val="0"/>
      <w:numFmt w:val="bullet"/>
      <w:lvlText w:val="•"/>
      <w:lvlJc w:val="left"/>
      <w:pPr>
        <w:ind w:left="7170" w:hanging="360"/>
      </w:pPr>
      <w:rPr>
        <w:rFonts w:hint="default"/>
        <w:lang w:val="pt-PT" w:eastAsia="en-US" w:bidi="ar-SA"/>
      </w:rPr>
    </w:lvl>
    <w:lvl w:ilvl="8">
      <w:start w:val="0"/>
      <w:numFmt w:val="bullet"/>
      <w:lvlText w:val="•"/>
      <w:lvlJc w:val="left"/>
      <w:pPr>
        <w:ind w:left="8082" w:hanging="360"/>
      </w:pPr>
      <w:rPr>
        <w:rFonts w:hint="default"/>
        <w:lang w:val="pt-PT" w:eastAsia="en-US" w:bidi="ar-SA"/>
      </w:rPr>
    </w:lvl>
  </w:abstractNum>
  <w:abstractNum w:abstractNumId="3">
    <w:multiLevelType w:val="hybridMultilevel"/>
    <w:lvl w:ilvl="0">
      <w:start w:val="0"/>
      <w:numFmt w:val="bullet"/>
      <w:lvlText w:val=""/>
      <w:lvlJc w:val="left"/>
      <w:pPr>
        <w:ind w:left="1198" w:hanging="708"/>
      </w:pPr>
      <w:rPr>
        <w:rFonts w:hint="default" w:ascii="Symbol" w:hAnsi="Symbol" w:eastAsia="Symbol" w:cs="Symbol"/>
        <w:b w:val="0"/>
        <w:bCs w:val="0"/>
        <w:i w:val="0"/>
        <w:iCs w:val="0"/>
        <w:w w:val="100"/>
        <w:sz w:val="24"/>
        <w:szCs w:val="24"/>
        <w:lang w:val="pt-PT" w:eastAsia="en-US" w:bidi="ar-SA"/>
      </w:rPr>
    </w:lvl>
    <w:lvl w:ilvl="1">
      <w:start w:val="0"/>
      <w:numFmt w:val="bullet"/>
      <w:lvlText w:val="•"/>
      <w:lvlJc w:val="left"/>
      <w:pPr>
        <w:ind w:left="2070" w:hanging="708"/>
      </w:pPr>
      <w:rPr>
        <w:rFonts w:hint="default"/>
        <w:lang w:val="pt-PT" w:eastAsia="en-US" w:bidi="ar-SA"/>
      </w:rPr>
    </w:lvl>
    <w:lvl w:ilvl="2">
      <w:start w:val="0"/>
      <w:numFmt w:val="bullet"/>
      <w:lvlText w:val="•"/>
      <w:lvlJc w:val="left"/>
      <w:pPr>
        <w:ind w:left="2941" w:hanging="708"/>
      </w:pPr>
      <w:rPr>
        <w:rFonts w:hint="default"/>
        <w:lang w:val="pt-PT" w:eastAsia="en-US" w:bidi="ar-SA"/>
      </w:rPr>
    </w:lvl>
    <w:lvl w:ilvl="3">
      <w:start w:val="0"/>
      <w:numFmt w:val="bullet"/>
      <w:lvlText w:val="•"/>
      <w:lvlJc w:val="left"/>
      <w:pPr>
        <w:ind w:left="3811" w:hanging="708"/>
      </w:pPr>
      <w:rPr>
        <w:rFonts w:hint="default"/>
        <w:lang w:val="pt-PT" w:eastAsia="en-US" w:bidi="ar-SA"/>
      </w:rPr>
    </w:lvl>
    <w:lvl w:ilvl="4">
      <w:start w:val="0"/>
      <w:numFmt w:val="bullet"/>
      <w:lvlText w:val="•"/>
      <w:lvlJc w:val="left"/>
      <w:pPr>
        <w:ind w:left="4682" w:hanging="708"/>
      </w:pPr>
      <w:rPr>
        <w:rFonts w:hint="default"/>
        <w:lang w:val="pt-PT" w:eastAsia="en-US" w:bidi="ar-SA"/>
      </w:rPr>
    </w:lvl>
    <w:lvl w:ilvl="5">
      <w:start w:val="0"/>
      <w:numFmt w:val="bullet"/>
      <w:lvlText w:val="•"/>
      <w:lvlJc w:val="left"/>
      <w:pPr>
        <w:ind w:left="5553" w:hanging="708"/>
      </w:pPr>
      <w:rPr>
        <w:rFonts w:hint="default"/>
        <w:lang w:val="pt-PT" w:eastAsia="en-US" w:bidi="ar-SA"/>
      </w:rPr>
    </w:lvl>
    <w:lvl w:ilvl="6">
      <w:start w:val="0"/>
      <w:numFmt w:val="bullet"/>
      <w:lvlText w:val="•"/>
      <w:lvlJc w:val="left"/>
      <w:pPr>
        <w:ind w:left="6423" w:hanging="708"/>
      </w:pPr>
      <w:rPr>
        <w:rFonts w:hint="default"/>
        <w:lang w:val="pt-PT" w:eastAsia="en-US" w:bidi="ar-SA"/>
      </w:rPr>
    </w:lvl>
    <w:lvl w:ilvl="7">
      <w:start w:val="0"/>
      <w:numFmt w:val="bullet"/>
      <w:lvlText w:val="•"/>
      <w:lvlJc w:val="left"/>
      <w:pPr>
        <w:ind w:left="7294" w:hanging="708"/>
      </w:pPr>
      <w:rPr>
        <w:rFonts w:hint="default"/>
        <w:lang w:val="pt-PT" w:eastAsia="en-US" w:bidi="ar-SA"/>
      </w:rPr>
    </w:lvl>
    <w:lvl w:ilvl="8">
      <w:start w:val="0"/>
      <w:numFmt w:val="bullet"/>
      <w:lvlText w:val="•"/>
      <w:lvlJc w:val="left"/>
      <w:pPr>
        <w:ind w:left="8165" w:hanging="708"/>
      </w:pPr>
      <w:rPr>
        <w:rFonts w:hint="default"/>
        <w:lang w:val="pt-PT" w:eastAsia="en-US" w:bidi="ar-SA"/>
      </w:rPr>
    </w:lvl>
  </w:abstractNum>
  <w:abstractNum w:abstractNumId="2">
    <w:multiLevelType w:val="hybridMultilevel"/>
    <w:lvl w:ilvl="0">
      <w:start w:val="1"/>
      <w:numFmt w:val="decimal"/>
      <w:lvlText w:val="%1."/>
      <w:lvlJc w:val="left"/>
      <w:pPr>
        <w:ind w:left="1189" w:hanging="219"/>
        <w:jc w:val="right"/>
      </w:pPr>
      <w:rPr>
        <w:rFonts w:hint="default" w:ascii="Calibri" w:hAnsi="Calibri" w:eastAsia="Calibri" w:cs="Calibri"/>
        <w:b/>
        <w:bCs/>
        <w:i w:val="0"/>
        <w:iCs w:val="0"/>
        <w:color w:val="006666"/>
        <w:spacing w:val="-2"/>
        <w:w w:val="100"/>
        <w:sz w:val="26"/>
        <w:szCs w:val="26"/>
        <w:lang w:val="pt-PT" w:eastAsia="en-US" w:bidi="ar-SA"/>
      </w:rPr>
    </w:lvl>
    <w:lvl w:ilvl="1">
      <w:start w:val="1"/>
      <w:numFmt w:val="decimal"/>
      <w:lvlText w:val="%1.%2"/>
      <w:lvlJc w:val="left"/>
      <w:pPr>
        <w:ind w:left="1419" w:hanging="449"/>
        <w:jc w:val="left"/>
      </w:pPr>
      <w:rPr>
        <w:rFonts w:hint="default" w:ascii="Calibri" w:hAnsi="Calibri" w:eastAsia="Calibri" w:cs="Calibri"/>
        <w:b/>
        <w:bCs/>
        <w:i w:val="0"/>
        <w:iCs w:val="0"/>
        <w:color w:val="006666"/>
        <w:w w:val="99"/>
        <w:sz w:val="26"/>
        <w:szCs w:val="26"/>
        <w:lang w:val="pt-PT" w:eastAsia="en-US" w:bidi="ar-SA"/>
      </w:rPr>
    </w:lvl>
    <w:lvl w:ilvl="2">
      <w:start w:val="1"/>
      <w:numFmt w:val="decimal"/>
      <w:lvlText w:val="%3."/>
      <w:lvlJc w:val="left"/>
      <w:pPr>
        <w:ind w:left="118" w:hanging="226"/>
        <w:jc w:val="left"/>
      </w:pPr>
      <w:rPr>
        <w:rFonts w:hint="default" w:ascii="Calibri" w:hAnsi="Calibri" w:eastAsia="Calibri" w:cs="Calibri"/>
        <w:b w:val="0"/>
        <w:bCs w:val="0"/>
        <w:i w:val="0"/>
        <w:iCs w:val="0"/>
        <w:w w:val="100"/>
        <w:sz w:val="24"/>
        <w:szCs w:val="24"/>
        <w:lang w:val="pt-PT" w:eastAsia="en-US" w:bidi="ar-SA"/>
      </w:rPr>
    </w:lvl>
    <w:lvl w:ilvl="3">
      <w:start w:val="1"/>
      <w:numFmt w:val="lowerLetter"/>
      <w:lvlText w:val="%4)"/>
      <w:lvlJc w:val="left"/>
      <w:pPr>
        <w:ind w:left="1712" w:hanging="241"/>
        <w:jc w:val="left"/>
      </w:pPr>
      <w:rPr>
        <w:rFonts w:hint="default" w:ascii="Calibri" w:hAnsi="Calibri" w:eastAsia="Calibri" w:cs="Calibri"/>
        <w:b w:val="0"/>
        <w:bCs w:val="0"/>
        <w:i w:val="0"/>
        <w:iCs w:val="0"/>
        <w:w w:val="100"/>
        <w:sz w:val="24"/>
        <w:szCs w:val="24"/>
        <w:lang w:val="pt-PT" w:eastAsia="en-US" w:bidi="ar-SA"/>
      </w:rPr>
    </w:lvl>
    <w:lvl w:ilvl="4">
      <w:start w:val="0"/>
      <w:numFmt w:val="bullet"/>
      <w:lvlText w:val="•"/>
      <w:lvlJc w:val="left"/>
      <w:pPr>
        <w:ind w:left="2889" w:hanging="241"/>
      </w:pPr>
      <w:rPr>
        <w:rFonts w:hint="default"/>
        <w:lang w:val="pt-PT" w:eastAsia="en-US" w:bidi="ar-SA"/>
      </w:rPr>
    </w:lvl>
    <w:lvl w:ilvl="5">
      <w:start w:val="0"/>
      <w:numFmt w:val="bullet"/>
      <w:lvlText w:val="•"/>
      <w:lvlJc w:val="left"/>
      <w:pPr>
        <w:ind w:left="4058" w:hanging="241"/>
      </w:pPr>
      <w:rPr>
        <w:rFonts w:hint="default"/>
        <w:lang w:val="pt-PT" w:eastAsia="en-US" w:bidi="ar-SA"/>
      </w:rPr>
    </w:lvl>
    <w:lvl w:ilvl="6">
      <w:start w:val="0"/>
      <w:numFmt w:val="bullet"/>
      <w:lvlText w:val="•"/>
      <w:lvlJc w:val="left"/>
      <w:pPr>
        <w:ind w:left="5228" w:hanging="241"/>
      </w:pPr>
      <w:rPr>
        <w:rFonts w:hint="default"/>
        <w:lang w:val="pt-PT" w:eastAsia="en-US" w:bidi="ar-SA"/>
      </w:rPr>
    </w:lvl>
    <w:lvl w:ilvl="7">
      <w:start w:val="0"/>
      <w:numFmt w:val="bullet"/>
      <w:lvlText w:val="•"/>
      <w:lvlJc w:val="left"/>
      <w:pPr>
        <w:ind w:left="6397" w:hanging="241"/>
      </w:pPr>
      <w:rPr>
        <w:rFonts w:hint="default"/>
        <w:lang w:val="pt-PT" w:eastAsia="en-US" w:bidi="ar-SA"/>
      </w:rPr>
    </w:lvl>
    <w:lvl w:ilvl="8">
      <w:start w:val="0"/>
      <w:numFmt w:val="bullet"/>
      <w:lvlText w:val="•"/>
      <w:lvlJc w:val="left"/>
      <w:pPr>
        <w:ind w:left="7567" w:hanging="241"/>
      </w:pPr>
      <w:rPr>
        <w:rFonts w:hint="default"/>
        <w:lang w:val="pt-PT" w:eastAsia="en-US" w:bidi="ar-SA"/>
      </w:rPr>
    </w:lvl>
  </w:abstractNum>
  <w:abstractNum w:abstractNumId="1">
    <w:multiLevelType w:val="hybridMultilevel"/>
    <w:lvl w:ilvl="0">
      <w:start w:val="0"/>
      <w:numFmt w:val="bullet"/>
      <w:lvlText w:val=""/>
      <w:lvlJc w:val="left"/>
      <w:pPr>
        <w:ind w:left="826" w:hanging="360"/>
      </w:pPr>
      <w:rPr>
        <w:rFonts w:hint="default" w:ascii="Symbol" w:hAnsi="Symbol" w:eastAsia="Symbol" w:cs="Symbol"/>
        <w:b w:val="0"/>
        <w:bCs w:val="0"/>
        <w:i w:val="0"/>
        <w:iCs w:val="0"/>
        <w:w w:val="100"/>
        <w:sz w:val="24"/>
        <w:szCs w:val="24"/>
        <w:lang w:val="pt-PT" w:eastAsia="en-US" w:bidi="ar-SA"/>
      </w:rPr>
    </w:lvl>
    <w:lvl w:ilvl="1">
      <w:start w:val="0"/>
      <w:numFmt w:val="bullet"/>
      <w:lvlText w:val="•"/>
      <w:lvlJc w:val="left"/>
      <w:pPr>
        <w:ind w:left="1728" w:hanging="360"/>
      </w:pPr>
      <w:rPr>
        <w:rFonts w:hint="default"/>
        <w:lang w:val="pt-PT" w:eastAsia="en-US" w:bidi="ar-SA"/>
      </w:rPr>
    </w:lvl>
    <w:lvl w:ilvl="2">
      <w:start w:val="0"/>
      <w:numFmt w:val="bullet"/>
      <w:lvlText w:val="•"/>
      <w:lvlJc w:val="left"/>
      <w:pPr>
        <w:ind w:left="2637" w:hanging="360"/>
      </w:pPr>
      <w:rPr>
        <w:rFonts w:hint="default"/>
        <w:lang w:val="pt-PT" w:eastAsia="en-US" w:bidi="ar-SA"/>
      </w:rPr>
    </w:lvl>
    <w:lvl w:ilvl="3">
      <w:start w:val="0"/>
      <w:numFmt w:val="bullet"/>
      <w:lvlText w:val="•"/>
      <w:lvlJc w:val="left"/>
      <w:pPr>
        <w:ind w:left="3545" w:hanging="360"/>
      </w:pPr>
      <w:rPr>
        <w:rFonts w:hint="default"/>
        <w:lang w:val="pt-PT" w:eastAsia="en-US" w:bidi="ar-SA"/>
      </w:rPr>
    </w:lvl>
    <w:lvl w:ilvl="4">
      <w:start w:val="0"/>
      <w:numFmt w:val="bullet"/>
      <w:lvlText w:val="•"/>
      <w:lvlJc w:val="left"/>
      <w:pPr>
        <w:ind w:left="4454" w:hanging="360"/>
      </w:pPr>
      <w:rPr>
        <w:rFonts w:hint="default"/>
        <w:lang w:val="pt-PT" w:eastAsia="en-US" w:bidi="ar-SA"/>
      </w:rPr>
    </w:lvl>
    <w:lvl w:ilvl="5">
      <w:start w:val="0"/>
      <w:numFmt w:val="bullet"/>
      <w:lvlText w:val="•"/>
      <w:lvlJc w:val="left"/>
      <w:pPr>
        <w:ind w:left="5363" w:hanging="360"/>
      </w:pPr>
      <w:rPr>
        <w:rFonts w:hint="default"/>
        <w:lang w:val="pt-PT" w:eastAsia="en-US" w:bidi="ar-SA"/>
      </w:rPr>
    </w:lvl>
    <w:lvl w:ilvl="6">
      <w:start w:val="0"/>
      <w:numFmt w:val="bullet"/>
      <w:lvlText w:val="•"/>
      <w:lvlJc w:val="left"/>
      <w:pPr>
        <w:ind w:left="6271" w:hanging="360"/>
      </w:pPr>
      <w:rPr>
        <w:rFonts w:hint="default"/>
        <w:lang w:val="pt-PT" w:eastAsia="en-US" w:bidi="ar-SA"/>
      </w:rPr>
    </w:lvl>
    <w:lvl w:ilvl="7">
      <w:start w:val="0"/>
      <w:numFmt w:val="bullet"/>
      <w:lvlText w:val="•"/>
      <w:lvlJc w:val="left"/>
      <w:pPr>
        <w:ind w:left="7180" w:hanging="360"/>
      </w:pPr>
      <w:rPr>
        <w:rFonts w:hint="default"/>
        <w:lang w:val="pt-PT" w:eastAsia="en-US" w:bidi="ar-SA"/>
      </w:rPr>
    </w:lvl>
    <w:lvl w:ilvl="8">
      <w:start w:val="0"/>
      <w:numFmt w:val="bullet"/>
      <w:lvlText w:val="•"/>
      <w:lvlJc w:val="left"/>
      <w:pPr>
        <w:ind w:left="8089" w:hanging="360"/>
      </w:pPr>
      <w:rPr>
        <w:rFonts w:hint="default"/>
        <w:lang w:val="pt-PT" w:eastAsia="en-US" w:bidi="ar-SA"/>
      </w:rPr>
    </w:lvl>
  </w:abstractNum>
  <w:abstractNum w:abstractNumId="0">
    <w:multiLevelType w:val="hybridMultilevel"/>
    <w:lvl w:ilvl="0">
      <w:start w:val="1"/>
      <w:numFmt w:val="decimal"/>
      <w:lvlText w:val="%1."/>
      <w:lvlJc w:val="left"/>
      <w:pPr>
        <w:ind w:left="718" w:hanging="173"/>
        <w:jc w:val="left"/>
      </w:pPr>
      <w:rPr>
        <w:rFonts w:hint="default" w:ascii="Calibri" w:hAnsi="Calibri" w:eastAsia="Calibri" w:cs="Calibri"/>
        <w:b/>
        <w:bCs/>
        <w:i w:val="0"/>
        <w:iCs w:val="0"/>
        <w:color w:val="006666"/>
        <w:w w:val="100"/>
        <w:sz w:val="20"/>
        <w:szCs w:val="20"/>
        <w:lang w:val="pt-PT" w:eastAsia="en-US" w:bidi="ar-SA"/>
      </w:rPr>
    </w:lvl>
    <w:lvl w:ilvl="1">
      <w:start w:val="1"/>
      <w:numFmt w:val="decimal"/>
      <w:lvlText w:val="%1.%2"/>
      <w:lvlJc w:val="left"/>
      <w:pPr>
        <w:ind w:left="970" w:hanging="286"/>
        <w:jc w:val="left"/>
      </w:pPr>
      <w:rPr>
        <w:rFonts w:hint="default" w:ascii="Calibri" w:hAnsi="Calibri" w:eastAsia="Calibri" w:cs="Calibri"/>
        <w:b w:val="0"/>
        <w:bCs w:val="0"/>
        <w:i w:val="0"/>
        <w:iCs w:val="0"/>
        <w:spacing w:val="-1"/>
        <w:w w:val="100"/>
        <w:sz w:val="20"/>
        <w:szCs w:val="20"/>
        <w:lang w:val="pt-PT" w:eastAsia="en-US" w:bidi="ar-SA"/>
      </w:rPr>
    </w:lvl>
    <w:lvl w:ilvl="2">
      <w:start w:val="0"/>
      <w:numFmt w:val="bullet"/>
      <w:lvlText w:val="•"/>
      <w:lvlJc w:val="left"/>
      <w:pPr>
        <w:ind w:left="1971" w:hanging="286"/>
      </w:pPr>
      <w:rPr>
        <w:rFonts w:hint="default"/>
        <w:lang w:val="pt-PT" w:eastAsia="en-US" w:bidi="ar-SA"/>
      </w:rPr>
    </w:lvl>
    <w:lvl w:ilvl="3">
      <w:start w:val="0"/>
      <w:numFmt w:val="bullet"/>
      <w:lvlText w:val="•"/>
      <w:lvlJc w:val="left"/>
      <w:pPr>
        <w:ind w:left="2963" w:hanging="286"/>
      </w:pPr>
      <w:rPr>
        <w:rFonts w:hint="default"/>
        <w:lang w:val="pt-PT" w:eastAsia="en-US" w:bidi="ar-SA"/>
      </w:rPr>
    </w:lvl>
    <w:lvl w:ilvl="4">
      <w:start w:val="0"/>
      <w:numFmt w:val="bullet"/>
      <w:lvlText w:val="•"/>
      <w:lvlJc w:val="left"/>
      <w:pPr>
        <w:ind w:left="3955" w:hanging="286"/>
      </w:pPr>
      <w:rPr>
        <w:rFonts w:hint="default"/>
        <w:lang w:val="pt-PT" w:eastAsia="en-US" w:bidi="ar-SA"/>
      </w:rPr>
    </w:lvl>
    <w:lvl w:ilvl="5">
      <w:start w:val="0"/>
      <w:numFmt w:val="bullet"/>
      <w:lvlText w:val="•"/>
      <w:lvlJc w:val="left"/>
      <w:pPr>
        <w:ind w:left="4947" w:hanging="286"/>
      </w:pPr>
      <w:rPr>
        <w:rFonts w:hint="default"/>
        <w:lang w:val="pt-PT" w:eastAsia="en-US" w:bidi="ar-SA"/>
      </w:rPr>
    </w:lvl>
    <w:lvl w:ilvl="6">
      <w:start w:val="0"/>
      <w:numFmt w:val="bullet"/>
      <w:lvlText w:val="•"/>
      <w:lvlJc w:val="left"/>
      <w:pPr>
        <w:ind w:left="5939" w:hanging="286"/>
      </w:pPr>
      <w:rPr>
        <w:rFonts w:hint="default"/>
        <w:lang w:val="pt-PT" w:eastAsia="en-US" w:bidi="ar-SA"/>
      </w:rPr>
    </w:lvl>
    <w:lvl w:ilvl="7">
      <w:start w:val="0"/>
      <w:numFmt w:val="bullet"/>
      <w:lvlText w:val="•"/>
      <w:lvlJc w:val="left"/>
      <w:pPr>
        <w:ind w:left="6930" w:hanging="286"/>
      </w:pPr>
      <w:rPr>
        <w:rFonts w:hint="default"/>
        <w:lang w:val="pt-PT" w:eastAsia="en-US" w:bidi="ar-SA"/>
      </w:rPr>
    </w:lvl>
    <w:lvl w:ilvl="8">
      <w:start w:val="0"/>
      <w:numFmt w:val="bullet"/>
      <w:lvlText w:val="•"/>
      <w:lvlJc w:val="left"/>
      <w:pPr>
        <w:ind w:left="7922" w:hanging="286"/>
      </w:pPr>
      <w:rPr>
        <w:rFonts w:hint="default"/>
        <w:lang w:val="pt-PT" w:eastAsia="en-US" w:bidi="ar-SA"/>
      </w:rPr>
    </w:lvl>
  </w:abstractNum>
  <w:num w:numId="5">
    <w:abstractNumId w:val="4"/>
  </w:num>
  <w:num w:numId="8">
    <w:abstractNumId w:val="7"/>
  </w:num>
  <w:num w:numId="7">
    <w:abstractNumId w:val="6"/>
  </w:num>
  <w:num w:numId="6">
    <w:abstractNumId w:val="5"/>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pt-PT" w:eastAsia="en-US" w:bidi="ar-SA"/>
    </w:rPr>
  </w:style>
  <w:style w:styleId="TOC1" w:type="paragraph">
    <w:name w:val="TOC 1"/>
    <w:basedOn w:val="Normal"/>
    <w:uiPriority w:val="1"/>
    <w:qFormat/>
    <w:pPr>
      <w:spacing w:before="293"/>
      <w:ind w:left="766" w:hanging="221"/>
    </w:pPr>
    <w:rPr>
      <w:rFonts w:ascii="Calibri" w:hAnsi="Calibri" w:eastAsia="Calibri" w:cs="Calibri"/>
      <w:b/>
      <w:bCs/>
      <w:sz w:val="22"/>
      <w:szCs w:val="22"/>
      <w:lang w:val="pt-PT" w:eastAsia="en-US" w:bidi="ar-SA"/>
    </w:rPr>
  </w:style>
  <w:style w:styleId="TOC2" w:type="paragraph">
    <w:name w:val="TOC 2"/>
    <w:basedOn w:val="Normal"/>
    <w:uiPriority w:val="1"/>
    <w:qFormat/>
    <w:pPr>
      <w:spacing w:before="235"/>
      <w:ind w:left="546"/>
    </w:pPr>
    <w:rPr>
      <w:rFonts w:ascii="Calibri" w:hAnsi="Calibri" w:eastAsia="Calibri" w:cs="Calibri"/>
      <w:sz w:val="22"/>
      <w:szCs w:val="22"/>
      <w:lang w:val="pt-PT" w:eastAsia="en-US" w:bidi="ar-SA"/>
    </w:rPr>
  </w:style>
  <w:style w:styleId="TOC3" w:type="paragraph">
    <w:name w:val="TOC 3"/>
    <w:basedOn w:val="Normal"/>
    <w:uiPriority w:val="1"/>
    <w:qFormat/>
    <w:pPr>
      <w:spacing w:before="236"/>
      <w:ind w:left="970" w:hanging="329"/>
    </w:pPr>
    <w:rPr>
      <w:rFonts w:ascii="Calibri" w:hAnsi="Calibri" w:eastAsia="Calibri" w:cs="Calibri"/>
      <w:sz w:val="22"/>
      <w:szCs w:val="22"/>
      <w:lang w:val="pt-PT" w:eastAsia="en-US" w:bidi="ar-SA"/>
    </w:rPr>
  </w:style>
  <w:style w:styleId="BodyText" w:type="paragraph">
    <w:name w:val="Body Text"/>
    <w:basedOn w:val="Normal"/>
    <w:uiPriority w:val="1"/>
    <w:qFormat/>
    <w:pPr/>
    <w:rPr>
      <w:rFonts w:ascii="Calibri" w:hAnsi="Calibri" w:eastAsia="Calibri" w:cs="Calibri"/>
      <w:sz w:val="24"/>
      <w:szCs w:val="24"/>
      <w:lang w:val="pt-PT" w:eastAsia="en-US" w:bidi="ar-SA"/>
    </w:rPr>
  </w:style>
  <w:style w:styleId="Heading1" w:type="paragraph">
    <w:name w:val="Heading 1"/>
    <w:basedOn w:val="Normal"/>
    <w:uiPriority w:val="1"/>
    <w:qFormat/>
    <w:pPr>
      <w:spacing w:before="3"/>
      <w:ind w:left="1275" w:right="1268"/>
      <w:jc w:val="center"/>
      <w:outlineLvl w:val="1"/>
    </w:pPr>
    <w:rPr>
      <w:rFonts w:ascii="Calibri" w:hAnsi="Calibri" w:eastAsia="Calibri" w:cs="Calibri"/>
      <w:b/>
      <w:bCs/>
      <w:sz w:val="48"/>
      <w:szCs w:val="48"/>
      <w:lang w:val="pt-PT" w:eastAsia="en-US" w:bidi="ar-SA"/>
    </w:rPr>
  </w:style>
  <w:style w:styleId="Heading2" w:type="paragraph">
    <w:name w:val="Heading 2"/>
    <w:basedOn w:val="Normal"/>
    <w:uiPriority w:val="1"/>
    <w:qFormat/>
    <w:pPr>
      <w:spacing w:before="321"/>
      <w:ind w:left="124" w:right="117"/>
      <w:jc w:val="center"/>
      <w:outlineLvl w:val="2"/>
    </w:pPr>
    <w:rPr>
      <w:rFonts w:ascii="Calibri" w:hAnsi="Calibri" w:eastAsia="Calibri" w:cs="Calibri"/>
      <w:b/>
      <w:bCs/>
      <w:sz w:val="48"/>
      <w:szCs w:val="48"/>
      <w:lang w:val="pt-PT" w:eastAsia="en-US" w:bidi="ar-SA"/>
    </w:rPr>
  </w:style>
  <w:style w:styleId="Heading3" w:type="paragraph">
    <w:name w:val="Heading 3"/>
    <w:basedOn w:val="Normal"/>
    <w:uiPriority w:val="1"/>
    <w:qFormat/>
    <w:pPr>
      <w:spacing w:before="14"/>
      <w:ind w:left="397" w:hanging="280"/>
      <w:outlineLvl w:val="3"/>
    </w:pPr>
    <w:rPr>
      <w:rFonts w:ascii="Calibri" w:hAnsi="Calibri" w:eastAsia="Calibri" w:cs="Calibri"/>
      <w:b/>
      <w:bCs/>
      <w:sz w:val="28"/>
      <w:szCs w:val="28"/>
      <w:lang w:val="pt-PT" w:eastAsia="en-US" w:bidi="ar-SA"/>
    </w:rPr>
  </w:style>
  <w:style w:styleId="Heading4" w:type="paragraph">
    <w:name w:val="Heading 4"/>
    <w:basedOn w:val="Normal"/>
    <w:uiPriority w:val="1"/>
    <w:qFormat/>
    <w:pPr>
      <w:ind w:left="1362" w:hanging="450"/>
      <w:outlineLvl w:val="4"/>
    </w:pPr>
    <w:rPr>
      <w:rFonts w:ascii="Calibri" w:hAnsi="Calibri" w:eastAsia="Calibri" w:cs="Calibri"/>
      <w:b/>
      <w:bCs/>
      <w:sz w:val="26"/>
      <w:szCs w:val="26"/>
      <w:lang w:val="pt-PT" w:eastAsia="en-US" w:bidi="ar-SA"/>
    </w:rPr>
  </w:style>
  <w:style w:styleId="Heading5" w:type="paragraph">
    <w:name w:val="Heading 5"/>
    <w:basedOn w:val="Normal"/>
    <w:uiPriority w:val="1"/>
    <w:qFormat/>
    <w:pPr>
      <w:jc w:val="right"/>
      <w:outlineLvl w:val="5"/>
    </w:pPr>
    <w:rPr>
      <w:rFonts w:ascii="Calibri" w:hAnsi="Calibri" w:eastAsia="Calibri" w:cs="Calibri"/>
      <w:b/>
      <w:bCs/>
      <w:sz w:val="24"/>
      <w:szCs w:val="24"/>
      <w:lang w:val="pt-PT" w:eastAsia="en-US" w:bidi="ar-SA"/>
    </w:rPr>
  </w:style>
  <w:style w:styleId="ListParagraph" w:type="paragraph">
    <w:name w:val="List Paragraph"/>
    <w:basedOn w:val="Normal"/>
    <w:uiPriority w:val="1"/>
    <w:qFormat/>
    <w:pPr>
      <w:ind w:left="1690" w:hanging="360"/>
    </w:pPr>
    <w:rPr>
      <w:rFonts w:ascii="Calibri" w:hAnsi="Calibri" w:eastAsia="Calibri" w:cs="Calibri"/>
      <w:lang w:val="pt-PT" w:eastAsia="en-US" w:bidi="ar-SA"/>
    </w:rPr>
  </w:style>
  <w:style w:styleId="TableParagraph" w:type="paragraph">
    <w:name w:val="Table Paragraph"/>
    <w:basedOn w:val="Normal"/>
    <w:uiPriority w:val="1"/>
    <w:qFormat/>
    <w:pPr/>
    <w:rPr>
      <w:lang w:val="pt-P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hyperlink" Target="ftp://ftp.ibge.gov.br/Pib_Municipios/2015/base/%20base_de_dados_2010_2015_xls.zip" TargetMode="External"/><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png"/><Relationship Id="rId45" Type="http://schemas.openxmlformats.org/officeDocument/2006/relationships/image" Target="media/image38.jpe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jpeg"/><Relationship Id="rId49" Type="http://schemas.openxmlformats.org/officeDocument/2006/relationships/image" Target="media/image42.png"/><Relationship Id="rId50" Type="http://schemas.openxmlformats.org/officeDocument/2006/relationships/header" Target="header2.xml"/><Relationship Id="rId51" Type="http://schemas.openxmlformats.org/officeDocument/2006/relationships/footer" Target="footer2.xml"/><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header" Target="header3.xml"/><Relationship Id="rId55" Type="http://schemas.openxmlformats.org/officeDocument/2006/relationships/footer" Target="footer3.xml"/><Relationship Id="rId56" Type="http://schemas.openxmlformats.org/officeDocument/2006/relationships/image" Target="media/image46.jpeg"/><Relationship Id="rId57" Type="http://schemas.openxmlformats.org/officeDocument/2006/relationships/header" Target="header4.xml"/><Relationship Id="rId58" Type="http://schemas.openxmlformats.org/officeDocument/2006/relationships/footer" Target="footer4.xml"/><Relationship Id="rId59" Type="http://schemas.openxmlformats.org/officeDocument/2006/relationships/image" Target="media/image47.jpeg"/><Relationship Id="rId60" Type="http://schemas.openxmlformats.org/officeDocument/2006/relationships/image" Target="media/image48.jpeg"/><Relationship Id="rId61" Type="http://schemas.openxmlformats.org/officeDocument/2006/relationships/header" Target="header5.xml"/><Relationship Id="rId62" Type="http://schemas.openxmlformats.org/officeDocument/2006/relationships/footer" Target="footer5.xml"/><Relationship Id="rId63" Type="http://schemas.openxmlformats.org/officeDocument/2006/relationships/image" Target="media/image50.png"/><Relationship Id="rId64" Type="http://schemas.openxmlformats.org/officeDocument/2006/relationships/image" Target="media/image51.jpeg"/><Relationship Id="rId65" Type="http://schemas.openxmlformats.org/officeDocument/2006/relationships/header" Target="header6.xml"/><Relationship Id="rId66" Type="http://schemas.openxmlformats.org/officeDocument/2006/relationships/footer" Target="footer6.xml"/><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header" Target="header7.xml"/><Relationship Id="rId70" Type="http://schemas.openxmlformats.org/officeDocument/2006/relationships/footer" Target="footer7.xml"/><Relationship Id="rId71" Type="http://schemas.openxmlformats.org/officeDocument/2006/relationships/image" Target="media/image54.jpeg"/><Relationship Id="rId72" Type="http://schemas.openxmlformats.org/officeDocument/2006/relationships/header" Target="header8.xml"/><Relationship Id="rId73" Type="http://schemas.openxmlformats.org/officeDocument/2006/relationships/footer" Target="footer8.xml"/><Relationship Id="rId74" Type="http://schemas.openxmlformats.org/officeDocument/2006/relationships/image" Target="media/image55.jpeg"/><Relationship Id="rId75" Type="http://schemas.openxmlformats.org/officeDocument/2006/relationships/header" Target="header9.xml"/><Relationship Id="rId76" Type="http://schemas.openxmlformats.org/officeDocument/2006/relationships/footer" Target="footer9.xml"/><Relationship Id="rId77" Type="http://schemas.openxmlformats.org/officeDocument/2006/relationships/hyperlink" Target="https://transparencia.caubr.gov.br/arquivos/Parecer%20Reprograma&#195;&#167;&#195;&#163;o%202020_CAU_CE.xlsx" TargetMode="External"/><Relationship Id="rId78"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45.jpeg"/></Relationships>

</file>

<file path=word/_rels/header5.xml.rels><?xml version="1.0" encoding="UTF-8" standalone="yes"?>
<Relationships xmlns="http://schemas.openxmlformats.org/package/2006/relationships"><Relationship Id="rId1" Type="http://schemas.openxmlformats.org/officeDocument/2006/relationships/image" Target="media/image49.jpeg"/></Relationships>

</file>

<file path=word/_rels/header7.xml.rels><?xml version="1.0" encoding="UTF-8" standalone="yes"?>
<Relationships xmlns="http://schemas.openxmlformats.org/package/2006/relationships"><Relationship Id="rId1" Type="http://schemas.openxmlformats.org/officeDocument/2006/relationships/image" Target="media/image45.jpeg"/></Relationships>

</file>

<file path=word/_rels/header9.xml.rels><?xml version="1.0" encoding="UTF-8" standalone="yes"?>
<Relationships xmlns="http://schemas.openxmlformats.org/package/2006/relationships"><Relationship Id="rId1" Type="http://schemas.openxmlformats.org/officeDocument/2006/relationships/image" Target="media/image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Marcos Cristino de Oliveira</dc:creator>
  <cp:keywords>Reprogramação 2019</cp:keywords>
  <dc:subject>Reprogramação Orçamentária</dc:subject>
  <dcterms:created xsi:type="dcterms:W3CDTF">2022-10-31T17:18:20Z</dcterms:created>
  <dcterms:modified xsi:type="dcterms:W3CDTF">2022-10-31T17:18:20Z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2021-03-17T00:00:00Z</vt:filetime>
  </property>
  <property fmtid="{D5CDD505-2E9C-101B-9397-08002B2CF9AE}" pid="3" name="Creator">
    <vt:lpwstr>Microsoft® Word 2016</vt:lpwstr>
  </property>
  <property fmtid="{D5CDD505-2E9C-101B-9397-08002B2CF9AE}" pid="4" name="LastSaved">
    <vt:filetime>2022-10-31T00:00:00Z</vt:filetime>
  </property>
  <property fmtid="{D5CDD505-2E9C-101B-9397-08002B2CF9AE}" pid="5" name="Producer">
    <vt:lpwstr>Microsoft® Word 2016</vt:lpwstr>
  </property>
</Properties>
</file>