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07B" w:rsidRPr="002C5B96" w:rsidRDefault="0018407B" w:rsidP="0018407B">
      <w:pPr>
        <w:spacing w:after="0" w:line="240" w:lineRule="auto"/>
        <w:jc w:val="both"/>
        <w:rPr>
          <w:rFonts w:ascii="Times New Roman" w:eastAsia="Times New Roman" w:hAnsi="Times New Roman" w:cs="Times New Roman"/>
          <w:b/>
          <w:sz w:val="24"/>
          <w:szCs w:val="24"/>
          <w:lang w:eastAsia="pt-BR"/>
        </w:rPr>
      </w:pPr>
      <w:r w:rsidRPr="002C5B96">
        <w:rPr>
          <w:rFonts w:ascii="Times New Roman" w:eastAsia="Times New Roman" w:hAnsi="Times New Roman" w:cs="Times New Roman"/>
          <w:b/>
          <w:sz w:val="24"/>
          <w:szCs w:val="24"/>
          <w:lang w:eastAsia="pt-BR"/>
        </w:rPr>
        <w:t xml:space="preserve">NOTAS EXPLICATIVAS ÀS DEMONSTRAÇÕES CONTÁBEIS EM </w:t>
      </w:r>
      <w:r w:rsidR="00424CFB">
        <w:rPr>
          <w:rFonts w:ascii="Times New Roman" w:eastAsia="Times New Roman" w:hAnsi="Times New Roman" w:cs="Times New Roman"/>
          <w:b/>
          <w:sz w:val="24"/>
          <w:szCs w:val="24"/>
          <w:lang w:eastAsia="pt-BR"/>
        </w:rPr>
        <w:t>31 DE DEZEMBRO DE 2022</w:t>
      </w:r>
      <w:r w:rsidRPr="002C5B96">
        <w:rPr>
          <w:rFonts w:ascii="Times New Roman" w:eastAsia="Times New Roman" w:hAnsi="Times New Roman" w:cs="Times New Roman"/>
          <w:b/>
          <w:sz w:val="24"/>
          <w:szCs w:val="24"/>
          <w:lang w:eastAsia="pt-BR"/>
        </w:rPr>
        <w:t>, DO CONSELHO DE ARQUITETURA E URBANISMO DO BRASIL - CAU BR</w:t>
      </w:r>
    </w:p>
    <w:p w:rsidR="0018407B" w:rsidRPr="00CE2B53"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w:t>
      </w:r>
    </w:p>
    <w:p w:rsidR="0018407B" w:rsidRPr="002C5B96" w:rsidRDefault="0018407B" w:rsidP="0018407B">
      <w:pPr>
        <w:spacing w:after="0" w:line="240" w:lineRule="auto"/>
        <w:jc w:val="both"/>
        <w:rPr>
          <w:rFonts w:ascii="Times New Roman" w:eastAsia="Times New Roman" w:hAnsi="Times New Roman" w:cs="Times New Roman"/>
          <w:b/>
          <w:sz w:val="24"/>
          <w:szCs w:val="24"/>
          <w:lang w:eastAsia="pt-BR"/>
        </w:rPr>
      </w:pPr>
      <w:r w:rsidRPr="002C5B96">
        <w:rPr>
          <w:rFonts w:ascii="Times New Roman" w:eastAsia="Times New Roman" w:hAnsi="Times New Roman" w:cs="Times New Roman"/>
          <w:b/>
          <w:sz w:val="24"/>
          <w:szCs w:val="24"/>
          <w:lang w:eastAsia="pt-BR"/>
        </w:rPr>
        <w:t xml:space="preserve">1.    Informações Gerais </w:t>
      </w:r>
    </w:p>
    <w:p w:rsidR="0018407B" w:rsidRDefault="0018407B" w:rsidP="0018407B">
      <w:pPr>
        <w:spacing w:after="0" w:line="240" w:lineRule="auto"/>
        <w:jc w:val="both"/>
        <w:rPr>
          <w:rFonts w:ascii="Times New Roman" w:eastAsia="Times New Roman" w:hAnsi="Times New Roman" w:cs="Times New Roman"/>
          <w:sz w:val="24"/>
          <w:szCs w:val="24"/>
          <w:lang w:eastAsia="pt-BR"/>
        </w:rPr>
      </w:pPr>
    </w:p>
    <w:p w:rsidR="0018407B"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xml:space="preserve">O Conselho de Arquitetura e Urbanismo do Brasil – CAU/BR, criado pela </w:t>
      </w:r>
      <w:hyperlink r:id="rId8" w:history="1">
        <w:r w:rsidRPr="007F1186">
          <w:rPr>
            <w:rStyle w:val="Hyperlink"/>
            <w:rFonts w:eastAsia="Times New Roman" w:cs="Times New Roman"/>
            <w:lang w:eastAsia="pt-BR"/>
          </w:rPr>
          <w:t>Lei nº 12.378/2010</w:t>
        </w:r>
      </w:hyperlink>
      <w:r w:rsidRPr="00CE2B53">
        <w:rPr>
          <w:rFonts w:ascii="Times New Roman" w:eastAsia="Times New Roman" w:hAnsi="Times New Roman" w:cs="Times New Roman"/>
          <w:sz w:val="24"/>
          <w:szCs w:val="24"/>
          <w:lang w:eastAsia="pt-BR"/>
        </w:rPr>
        <w:t xml:space="preserve"> tem como principais atividades orientar e fiscalizar o exercício da profissão do arquiteto e urbanista.</w:t>
      </w:r>
    </w:p>
    <w:p w:rsidR="0018407B" w:rsidRPr="00CE2B53" w:rsidRDefault="0018407B" w:rsidP="0018407B">
      <w:pPr>
        <w:spacing w:after="0" w:line="240" w:lineRule="auto"/>
        <w:jc w:val="both"/>
        <w:rPr>
          <w:rFonts w:ascii="Times New Roman" w:eastAsia="Times New Roman" w:hAnsi="Times New Roman" w:cs="Times New Roman"/>
          <w:sz w:val="24"/>
          <w:szCs w:val="24"/>
          <w:lang w:eastAsia="pt-BR"/>
        </w:rPr>
      </w:pPr>
    </w:p>
    <w:p w:rsidR="0018407B" w:rsidRPr="00CE2B53"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xml:space="preserve">Dotado de personalidade jurídica, encontra-se vinculado à Administração Indireta e funciona como Autarquia Federal Especial, tendo sua estrutura e organização estabelecidas no Regimento Interno, </w:t>
      </w:r>
      <w:hyperlink r:id="rId9" w:history="1">
        <w:r w:rsidRPr="007F1186">
          <w:rPr>
            <w:rStyle w:val="Hyperlink"/>
            <w:rFonts w:eastAsia="Times New Roman" w:cs="Times New Roman"/>
            <w:lang w:eastAsia="pt-BR"/>
          </w:rPr>
          <w:t>Resolução CAU/BR nº 139/2017</w:t>
        </w:r>
      </w:hyperlink>
      <w:r w:rsidRPr="00CE2B53">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A Entidade goza de imunidade</w:t>
      </w:r>
      <w:r w:rsidRPr="004830A0">
        <w:rPr>
          <w:rFonts w:ascii="Times New Roman" w:eastAsia="Times New Roman" w:hAnsi="Times New Roman" w:cs="Times New Roman"/>
          <w:sz w:val="24"/>
          <w:szCs w:val="24"/>
          <w:lang w:eastAsia="pt-BR"/>
        </w:rPr>
        <w:t xml:space="preserve"> tributária, com base na Constituição da República Federativa do Brasil – CRFB de 1988 art. 150 Inciso VI.</w:t>
      </w:r>
    </w:p>
    <w:p w:rsidR="0018407B" w:rsidRDefault="0018407B" w:rsidP="0018407B">
      <w:pPr>
        <w:spacing w:after="0" w:line="240" w:lineRule="auto"/>
        <w:jc w:val="both"/>
        <w:rPr>
          <w:rFonts w:ascii="Times New Roman" w:eastAsia="Times New Roman" w:hAnsi="Times New Roman" w:cs="Times New Roman"/>
          <w:sz w:val="24"/>
          <w:szCs w:val="24"/>
          <w:lang w:eastAsia="pt-BR"/>
        </w:rPr>
      </w:pPr>
    </w:p>
    <w:p w:rsidR="0018407B" w:rsidRPr="00CE2B53"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xml:space="preserve">A sede do CAU/BR está localizada no Setor </w:t>
      </w:r>
      <w:r>
        <w:rPr>
          <w:rFonts w:ascii="Times New Roman" w:eastAsia="Times New Roman" w:hAnsi="Times New Roman" w:cs="Times New Roman"/>
          <w:sz w:val="24"/>
          <w:szCs w:val="24"/>
          <w:lang w:eastAsia="pt-BR"/>
        </w:rPr>
        <w:t>de Edifícios Públicos Sul – (SEPS), Quadra 702/902, Conjunto B, 2º andar – Edifício General Alencastro</w:t>
      </w:r>
      <w:r w:rsidRPr="00CE2B53">
        <w:rPr>
          <w:rFonts w:ascii="Times New Roman" w:eastAsia="Times New Roman" w:hAnsi="Times New Roman" w:cs="Times New Roman"/>
          <w:sz w:val="24"/>
          <w:szCs w:val="24"/>
          <w:lang w:eastAsia="pt-BR"/>
        </w:rPr>
        <w:t xml:space="preserve"> – Asa Sul – Brasília/DF.</w:t>
      </w:r>
    </w:p>
    <w:p w:rsidR="0018407B" w:rsidRPr="00CE2B53"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w:t>
      </w:r>
    </w:p>
    <w:p w:rsidR="0018407B" w:rsidRPr="002C5B96" w:rsidRDefault="0018407B" w:rsidP="0018407B">
      <w:pPr>
        <w:spacing w:after="0" w:line="240" w:lineRule="auto"/>
        <w:jc w:val="both"/>
        <w:rPr>
          <w:rFonts w:ascii="Times New Roman" w:eastAsia="Times New Roman" w:hAnsi="Times New Roman" w:cs="Times New Roman"/>
          <w:b/>
          <w:sz w:val="24"/>
          <w:szCs w:val="24"/>
          <w:lang w:eastAsia="pt-BR"/>
        </w:rPr>
      </w:pPr>
      <w:r w:rsidRPr="002C5B96">
        <w:rPr>
          <w:rFonts w:ascii="Times New Roman" w:eastAsia="Times New Roman" w:hAnsi="Times New Roman" w:cs="Times New Roman"/>
          <w:b/>
          <w:sz w:val="24"/>
          <w:szCs w:val="24"/>
          <w:lang w:eastAsia="pt-BR"/>
        </w:rPr>
        <w:t xml:space="preserve">2.    </w:t>
      </w:r>
      <w:r w:rsidRPr="003C315E">
        <w:rPr>
          <w:rFonts w:ascii="Times New Roman" w:eastAsia="Times New Roman" w:hAnsi="Times New Roman" w:cs="Times New Roman"/>
          <w:b/>
          <w:sz w:val="24"/>
          <w:szCs w:val="24"/>
          <w:lang w:eastAsia="pt-BR"/>
        </w:rPr>
        <w:t>Apresentação das demonstrações contábeis</w:t>
      </w:r>
      <w:r>
        <w:rPr>
          <w:rFonts w:ascii="Times New Roman" w:eastAsia="Times New Roman" w:hAnsi="Times New Roman" w:cs="Times New Roman"/>
          <w:b/>
          <w:sz w:val="24"/>
          <w:szCs w:val="24"/>
          <w:lang w:eastAsia="pt-BR"/>
        </w:rPr>
        <w:t xml:space="preserve"> </w:t>
      </w:r>
    </w:p>
    <w:p w:rsidR="0018407B" w:rsidRDefault="0018407B" w:rsidP="0018407B">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p>
    <w:p w:rsidR="0018407B" w:rsidRDefault="0018407B" w:rsidP="0018407B">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2</w:t>
      </w:r>
      <w:r w:rsidRPr="002C5B96">
        <w:rPr>
          <w:rFonts w:ascii="Times New Roman" w:eastAsia="Times New Roman" w:hAnsi="Times New Roman" w:cs="Times New Roman"/>
          <w:b/>
          <w:sz w:val="24"/>
          <w:szCs w:val="24"/>
          <w:lang w:eastAsia="pt-BR"/>
        </w:rPr>
        <w:t>.1. Base de preparação</w:t>
      </w:r>
    </w:p>
    <w:p w:rsidR="0018407B" w:rsidRDefault="0018407B" w:rsidP="0018407B">
      <w:pPr>
        <w:spacing w:after="0" w:line="240" w:lineRule="auto"/>
        <w:jc w:val="both"/>
        <w:rPr>
          <w:rFonts w:ascii="Times New Roman" w:eastAsia="Times New Roman" w:hAnsi="Times New Roman" w:cs="Times New Roman"/>
          <w:b/>
          <w:sz w:val="24"/>
          <w:szCs w:val="24"/>
          <w:lang w:eastAsia="pt-BR"/>
        </w:rPr>
      </w:pPr>
    </w:p>
    <w:p w:rsidR="0018407B" w:rsidRPr="006D797C" w:rsidRDefault="0018407B" w:rsidP="0018407B">
      <w:pPr>
        <w:autoSpaceDE w:val="0"/>
        <w:autoSpaceDN w:val="0"/>
        <w:adjustRightInd w:val="0"/>
        <w:spacing w:after="0" w:line="240" w:lineRule="auto"/>
        <w:jc w:val="both"/>
        <w:rPr>
          <w:rFonts w:ascii="Times New Roman" w:hAnsi="Times New Roman" w:cs="Times New Roman"/>
          <w:sz w:val="24"/>
          <w:szCs w:val="24"/>
        </w:rPr>
      </w:pPr>
      <w:r w:rsidRPr="00EE38B3">
        <w:rPr>
          <w:rFonts w:ascii="Times New Roman" w:hAnsi="Times New Roman" w:cs="Times New Roman"/>
          <w:sz w:val="24"/>
          <w:szCs w:val="24"/>
        </w:rPr>
        <w:t>As Demonstrações Contábeis estão fundamentadas na Lei nº 4.320/64 e em consonância com o Manual de Contabilidade aplicado ao Setor Público, aprovada pela Portaria Conjunta STN/SOF</w:t>
      </w:r>
      <w:r w:rsidR="00F75E88">
        <w:rPr>
          <w:rFonts w:ascii="Times New Roman" w:hAnsi="Times New Roman" w:cs="Times New Roman"/>
          <w:sz w:val="24"/>
          <w:szCs w:val="24"/>
        </w:rPr>
        <w:t>/ME</w:t>
      </w:r>
      <w:r w:rsidRPr="00EE38B3">
        <w:rPr>
          <w:rFonts w:ascii="Times New Roman" w:hAnsi="Times New Roman" w:cs="Times New Roman"/>
          <w:sz w:val="24"/>
          <w:szCs w:val="24"/>
        </w:rPr>
        <w:t xml:space="preserve"> nº </w:t>
      </w:r>
      <w:r w:rsidR="00F75E88">
        <w:rPr>
          <w:rFonts w:ascii="Times New Roman" w:hAnsi="Times New Roman" w:cs="Times New Roman"/>
          <w:sz w:val="24"/>
          <w:szCs w:val="24"/>
        </w:rPr>
        <w:t>117 DE 28/10/2021</w:t>
      </w:r>
      <w:r w:rsidRPr="00EE38B3">
        <w:rPr>
          <w:rFonts w:ascii="Times New Roman" w:hAnsi="Times New Roman" w:cs="Times New Roman"/>
          <w:sz w:val="24"/>
          <w:szCs w:val="24"/>
        </w:rPr>
        <w:t xml:space="preserve">, Portaria </w:t>
      </w:r>
      <w:r w:rsidR="00F75E88">
        <w:rPr>
          <w:rFonts w:ascii="Times New Roman" w:hAnsi="Times New Roman" w:cs="Times New Roman"/>
          <w:sz w:val="24"/>
          <w:szCs w:val="24"/>
        </w:rPr>
        <w:t xml:space="preserve">Interministerial </w:t>
      </w:r>
      <w:r w:rsidRPr="00EE38B3">
        <w:rPr>
          <w:rFonts w:ascii="Times New Roman" w:hAnsi="Times New Roman" w:cs="Times New Roman"/>
          <w:sz w:val="24"/>
          <w:szCs w:val="24"/>
        </w:rPr>
        <w:t>STN</w:t>
      </w:r>
      <w:r w:rsidR="00F75E88">
        <w:rPr>
          <w:rFonts w:ascii="Times New Roman" w:hAnsi="Times New Roman" w:cs="Times New Roman"/>
          <w:sz w:val="24"/>
          <w:szCs w:val="24"/>
        </w:rPr>
        <w:t>/SPREV/ME/MTP</w:t>
      </w:r>
      <w:r w:rsidRPr="00EE38B3">
        <w:rPr>
          <w:rFonts w:ascii="Times New Roman" w:hAnsi="Times New Roman" w:cs="Times New Roman"/>
          <w:sz w:val="24"/>
          <w:szCs w:val="24"/>
        </w:rPr>
        <w:t xml:space="preserve"> n° </w:t>
      </w:r>
      <w:r w:rsidR="00F75E88">
        <w:rPr>
          <w:rFonts w:ascii="Times New Roman" w:hAnsi="Times New Roman" w:cs="Times New Roman"/>
          <w:sz w:val="24"/>
          <w:szCs w:val="24"/>
        </w:rPr>
        <w:t>119</w:t>
      </w:r>
      <w:r w:rsidRPr="00EE38B3">
        <w:rPr>
          <w:rFonts w:ascii="Times New Roman" w:hAnsi="Times New Roman" w:cs="Times New Roman"/>
          <w:sz w:val="24"/>
          <w:szCs w:val="24"/>
        </w:rPr>
        <w:t xml:space="preserve"> de </w:t>
      </w:r>
      <w:r w:rsidR="00F75E88">
        <w:rPr>
          <w:rFonts w:ascii="Times New Roman" w:hAnsi="Times New Roman" w:cs="Times New Roman"/>
          <w:sz w:val="24"/>
          <w:szCs w:val="24"/>
        </w:rPr>
        <w:t>04</w:t>
      </w:r>
      <w:r w:rsidRPr="00EE38B3">
        <w:rPr>
          <w:rFonts w:ascii="Times New Roman" w:hAnsi="Times New Roman" w:cs="Times New Roman"/>
          <w:sz w:val="24"/>
          <w:szCs w:val="24"/>
        </w:rPr>
        <w:t>/</w:t>
      </w:r>
      <w:r w:rsidR="00F75E88">
        <w:rPr>
          <w:rFonts w:ascii="Times New Roman" w:hAnsi="Times New Roman" w:cs="Times New Roman"/>
          <w:sz w:val="24"/>
          <w:szCs w:val="24"/>
        </w:rPr>
        <w:t>11</w:t>
      </w:r>
      <w:r w:rsidRPr="00EE38B3">
        <w:rPr>
          <w:rFonts w:ascii="Times New Roman" w:hAnsi="Times New Roman" w:cs="Times New Roman"/>
          <w:sz w:val="24"/>
          <w:szCs w:val="24"/>
        </w:rPr>
        <w:t>/20</w:t>
      </w:r>
      <w:r w:rsidR="00F75E88">
        <w:rPr>
          <w:rFonts w:ascii="Times New Roman" w:hAnsi="Times New Roman" w:cs="Times New Roman"/>
          <w:sz w:val="24"/>
          <w:szCs w:val="24"/>
        </w:rPr>
        <w:t>21</w:t>
      </w:r>
      <w:r w:rsidRPr="00EE38B3">
        <w:rPr>
          <w:rFonts w:ascii="Times New Roman" w:hAnsi="Times New Roman" w:cs="Times New Roman"/>
          <w:sz w:val="24"/>
          <w:szCs w:val="24"/>
        </w:rPr>
        <w:t>,</w:t>
      </w:r>
      <w:r w:rsidR="00F75E88">
        <w:rPr>
          <w:rFonts w:ascii="Times New Roman" w:hAnsi="Times New Roman" w:cs="Times New Roman"/>
          <w:sz w:val="24"/>
          <w:szCs w:val="24"/>
        </w:rPr>
        <w:t xml:space="preserve"> e Portaria STN nº 1.131 de 04/112021, 9</w:t>
      </w:r>
      <w:r w:rsidRPr="00EE38B3">
        <w:rPr>
          <w:rFonts w:ascii="Times New Roman" w:hAnsi="Times New Roman" w:cs="Times New Roman"/>
          <w:sz w:val="24"/>
          <w:szCs w:val="24"/>
        </w:rPr>
        <w:t>ª edição, e Normas Brasileiras de Contabilidade aplicadas ao setor público conforme NBC TSP ESTRUTURA CONCEITUAL, NBC TSP 07, NBC TSP 11 e NBC TSP 17.</w:t>
      </w:r>
    </w:p>
    <w:p w:rsidR="0018407B" w:rsidRDefault="0018407B" w:rsidP="0018407B">
      <w:pPr>
        <w:spacing w:after="0" w:line="240" w:lineRule="auto"/>
        <w:jc w:val="both"/>
        <w:rPr>
          <w:rFonts w:ascii="Times New Roman" w:eastAsia="Times New Roman" w:hAnsi="Times New Roman" w:cs="Times New Roman"/>
          <w:sz w:val="24"/>
          <w:szCs w:val="24"/>
          <w:lang w:eastAsia="pt-BR"/>
        </w:rPr>
      </w:pPr>
    </w:p>
    <w:p w:rsidR="0018407B" w:rsidRDefault="0018407B" w:rsidP="0018407B">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2</w:t>
      </w:r>
      <w:r w:rsidRPr="002C5B96">
        <w:rPr>
          <w:rFonts w:ascii="Times New Roman" w:eastAsia="Times New Roman" w:hAnsi="Times New Roman" w:cs="Times New Roman"/>
          <w:b/>
          <w:sz w:val="24"/>
          <w:szCs w:val="24"/>
          <w:lang w:eastAsia="pt-BR"/>
        </w:rPr>
        <w:t>.2. Base de Mensuração</w:t>
      </w:r>
    </w:p>
    <w:p w:rsidR="0018407B" w:rsidRDefault="0018407B" w:rsidP="0018407B">
      <w:pPr>
        <w:spacing w:after="0" w:line="240" w:lineRule="auto"/>
        <w:jc w:val="both"/>
        <w:rPr>
          <w:rFonts w:ascii="Times New Roman" w:eastAsia="Times New Roman" w:hAnsi="Times New Roman" w:cs="Times New Roman"/>
          <w:b/>
          <w:sz w:val="24"/>
          <w:szCs w:val="24"/>
          <w:lang w:eastAsia="pt-BR"/>
        </w:rPr>
      </w:pPr>
    </w:p>
    <w:p w:rsidR="0018407B"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As demonstrações contábeis foram preparadas com base no custo histórico, com exceção dos seguintes itens:</w:t>
      </w:r>
    </w:p>
    <w:p w:rsidR="0018407B" w:rsidRPr="006D797C" w:rsidRDefault="0018407B" w:rsidP="0018407B">
      <w:pPr>
        <w:pStyle w:val="PargrafodaLista"/>
        <w:numPr>
          <w:ilvl w:val="0"/>
          <w:numId w:val="44"/>
        </w:num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Apropriações mensais</w:t>
      </w:r>
      <w:r w:rsidRPr="006D797C">
        <w:rPr>
          <w:rFonts w:ascii="Times New Roman" w:eastAsia="Times New Roman" w:hAnsi="Times New Roman" w:cs="Times New Roman"/>
          <w:sz w:val="24"/>
          <w:szCs w:val="24"/>
          <w:lang w:eastAsia="pt-BR"/>
        </w:rPr>
        <w:t xml:space="preserve"> para férias</w:t>
      </w:r>
      <w:r>
        <w:rPr>
          <w:rFonts w:ascii="Times New Roman" w:eastAsia="Times New Roman" w:hAnsi="Times New Roman" w:cs="Times New Roman"/>
          <w:sz w:val="24"/>
          <w:szCs w:val="24"/>
          <w:lang w:eastAsia="pt-BR"/>
        </w:rPr>
        <w:t xml:space="preserve"> e 13º salário</w:t>
      </w:r>
      <w:r w:rsidRPr="006D797C">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empregados</w:t>
      </w:r>
      <w:r w:rsidRPr="006D797C">
        <w:rPr>
          <w:rFonts w:ascii="Times New Roman" w:eastAsia="Times New Roman" w:hAnsi="Times New Roman" w:cs="Times New Roman"/>
          <w:sz w:val="24"/>
          <w:szCs w:val="24"/>
          <w:lang w:eastAsia="pt-BR"/>
        </w:rPr>
        <w:t>;</w:t>
      </w:r>
    </w:p>
    <w:p w:rsidR="0018407B" w:rsidRPr="006D797C" w:rsidRDefault="0018407B" w:rsidP="0018407B">
      <w:pPr>
        <w:pStyle w:val="PargrafodaLista"/>
        <w:numPr>
          <w:ilvl w:val="0"/>
          <w:numId w:val="44"/>
        </w:numPr>
        <w:spacing w:after="0" w:line="240" w:lineRule="auto"/>
        <w:jc w:val="both"/>
        <w:rPr>
          <w:rFonts w:ascii="Times New Roman" w:eastAsia="Times New Roman" w:hAnsi="Times New Roman" w:cs="Times New Roman"/>
          <w:sz w:val="24"/>
          <w:szCs w:val="24"/>
          <w:lang w:eastAsia="pt-BR"/>
        </w:rPr>
      </w:pPr>
      <w:r w:rsidRPr="006D797C">
        <w:rPr>
          <w:rFonts w:ascii="Times New Roman" w:eastAsia="Times New Roman" w:hAnsi="Times New Roman" w:cs="Times New Roman"/>
          <w:sz w:val="24"/>
          <w:szCs w:val="24"/>
          <w:lang w:eastAsia="pt-BR"/>
        </w:rPr>
        <w:t xml:space="preserve">Depreciações e amortizações do ativo imobilizado e intangível; </w:t>
      </w:r>
    </w:p>
    <w:p w:rsidR="0018407B" w:rsidRPr="006D797C" w:rsidRDefault="0018407B" w:rsidP="0018407B">
      <w:pPr>
        <w:pStyle w:val="PargrafodaLista"/>
        <w:numPr>
          <w:ilvl w:val="0"/>
          <w:numId w:val="43"/>
        </w:numPr>
        <w:spacing w:after="0" w:line="240" w:lineRule="auto"/>
        <w:jc w:val="both"/>
        <w:rPr>
          <w:rFonts w:ascii="Times New Roman" w:eastAsia="Times New Roman" w:hAnsi="Times New Roman" w:cs="Times New Roman"/>
          <w:color w:val="000000"/>
          <w:sz w:val="24"/>
          <w:szCs w:val="24"/>
          <w:lang w:eastAsia="pt-BR"/>
        </w:rPr>
      </w:pPr>
      <w:r w:rsidRPr="006D797C">
        <w:rPr>
          <w:rFonts w:ascii="Times New Roman" w:eastAsia="Times New Roman" w:hAnsi="Times New Roman" w:cs="Times New Roman"/>
          <w:color w:val="000000"/>
          <w:sz w:val="24"/>
          <w:szCs w:val="24"/>
          <w:lang w:eastAsia="pt-BR"/>
        </w:rPr>
        <w:t xml:space="preserve">Provisões para </w:t>
      </w:r>
      <w:r>
        <w:rPr>
          <w:rFonts w:ascii="Times New Roman" w:eastAsia="Times New Roman" w:hAnsi="Times New Roman" w:cs="Times New Roman"/>
          <w:color w:val="000000"/>
          <w:sz w:val="24"/>
          <w:szCs w:val="24"/>
          <w:lang w:eastAsia="pt-BR"/>
        </w:rPr>
        <w:t>passivos judiciais</w:t>
      </w:r>
      <w:r w:rsidRPr="006D797C">
        <w:rPr>
          <w:rFonts w:ascii="Times New Roman" w:eastAsia="Times New Roman" w:hAnsi="Times New Roman" w:cs="Times New Roman"/>
          <w:color w:val="000000"/>
          <w:sz w:val="24"/>
          <w:szCs w:val="24"/>
          <w:lang w:eastAsia="pt-BR"/>
        </w:rPr>
        <w:t>, sempre que constituídas; e</w:t>
      </w:r>
    </w:p>
    <w:p w:rsidR="0018407B" w:rsidRPr="006D797C" w:rsidRDefault="0018407B" w:rsidP="0018407B">
      <w:pPr>
        <w:pStyle w:val="PargrafodaLista"/>
        <w:numPr>
          <w:ilvl w:val="0"/>
          <w:numId w:val="43"/>
        </w:num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Controle dos itens de almoxarifado</w:t>
      </w:r>
      <w:r w:rsidRPr="006D797C">
        <w:rPr>
          <w:rFonts w:ascii="Times New Roman" w:eastAsia="Times New Roman" w:hAnsi="Times New Roman" w:cs="Times New Roman"/>
          <w:color w:val="000000"/>
          <w:sz w:val="24"/>
          <w:szCs w:val="24"/>
          <w:lang w:eastAsia="pt-BR"/>
        </w:rPr>
        <w:t>.</w:t>
      </w:r>
    </w:p>
    <w:p w:rsidR="0018407B" w:rsidRDefault="0018407B" w:rsidP="0018407B">
      <w:pPr>
        <w:spacing w:after="0" w:line="240" w:lineRule="auto"/>
        <w:jc w:val="both"/>
        <w:rPr>
          <w:rFonts w:ascii="Times New Roman" w:eastAsia="Times New Roman" w:hAnsi="Times New Roman" w:cs="Times New Roman"/>
          <w:sz w:val="24"/>
          <w:szCs w:val="24"/>
          <w:lang w:eastAsia="pt-BR"/>
        </w:rPr>
      </w:pPr>
      <w:r w:rsidRPr="006D797C">
        <w:rPr>
          <w:rFonts w:ascii="Times New Roman" w:eastAsia="Times New Roman" w:hAnsi="Times New Roman" w:cs="Times New Roman"/>
          <w:sz w:val="24"/>
          <w:szCs w:val="24"/>
          <w:lang w:eastAsia="pt-BR"/>
        </w:rPr>
        <w:t xml:space="preserve">        </w:t>
      </w:r>
    </w:p>
    <w:p w:rsidR="0018407B" w:rsidRDefault="0018407B" w:rsidP="0018407B">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2</w:t>
      </w:r>
      <w:r w:rsidRPr="002C5B96">
        <w:rPr>
          <w:rFonts w:ascii="Times New Roman" w:eastAsia="Times New Roman" w:hAnsi="Times New Roman" w:cs="Times New Roman"/>
          <w:b/>
          <w:sz w:val="24"/>
          <w:szCs w:val="24"/>
          <w:lang w:eastAsia="pt-BR"/>
        </w:rPr>
        <w:t>.3. Moeda funcional e moeda de apresentação</w:t>
      </w:r>
    </w:p>
    <w:p w:rsidR="0018407B" w:rsidRDefault="0018407B" w:rsidP="0018407B">
      <w:pPr>
        <w:spacing w:after="0" w:line="240" w:lineRule="auto"/>
        <w:jc w:val="both"/>
        <w:rPr>
          <w:rFonts w:ascii="Times New Roman" w:eastAsia="Times New Roman" w:hAnsi="Times New Roman" w:cs="Times New Roman"/>
          <w:b/>
          <w:sz w:val="24"/>
          <w:szCs w:val="24"/>
          <w:lang w:eastAsia="pt-BR"/>
        </w:rPr>
      </w:pPr>
    </w:p>
    <w:p w:rsidR="0018407B"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xml:space="preserve">As demonstrações contábeis estão apresentadas em Real, que é a moeda funcional da Entidade. </w:t>
      </w:r>
      <w:r>
        <w:rPr>
          <w:rFonts w:ascii="Times New Roman" w:eastAsia="Times New Roman" w:hAnsi="Times New Roman" w:cs="Times New Roman"/>
          <w:sz w:val="24"/>
          <w:szCs w:val="24"/>
          <w:lang w:eastAsia="pt-BR"/>
        </w:rPr>
        <w:t xml:space="preserve">Para este documento, os valores sofreram arredondamento no intuito de suprimir os dados decimais, simplificando a apresentação dos dados. </w:t>
      </w:r>
    </w:p>
    <w:p w:rsidR="0018407B" w:rsidRDefault="0018407B" w:rsidP="0018407B">
      <w:pPr>
        <w:spacing w:after="0" w:line="240" w:lineRule="auto"/>
        <w:jc w:val="both"/>
        <w:rPr>
          <w:rFonts w:ascii="Times New Roman" w:eastAsia="Times New Roman" w:hAnsi="Times New Roman" w:cs="Times New Roman"/>
          <w:sz w:val="24"/>
          <w:szCs w:val="24"/>
          <w:lang w:eastAsia="pt-BR"/>
        </w:rPr>
      </w:pPr>
    </w:p>
    <w:p w:rsidR="0018407B" w:rsidRDefault="0018407B" w:rsidP="0018407B">
      <w:pPr>
        <w:tabs>
          <w:tab w:val="left" w:pos="1116"/>
        </w:tabs>
        <w:spacing w:after="0" w:line="240" w:lineRule="auto"/>
        <w:jc w:val="both"/>
        <w:rPr>
          <w:rFonts w:ascii="Times New Roman" w:hAnsi="Times New Roman" w:cs="Times New Roman"/>
          <w:b/>
          <w:sz w:val="24"/>
          <w:szCs w:val="24"/>
        </w:rPr>
      </w:pPr>
      <w:r w:rsidRPr="00CB7C90">
        <w:rPr>
          <w:rFonts w:ascii="Times New Roman" w:hAnsi="Times New Roman" w:cs="Times New Roman"/>
          <w:b/>
          <w:sz w:val="24"/>
          <w:szCs w:val="24"/>
        </w:rPr>
        <w:t>2.4. Uso de estimativas e julgamentos</w:t>
      </w:r>
    </w:p>
    <w:p w:rsidR="0018407B" w:rsidRPr="00CB7C90" w:rsidRDefault="0018407B" w:rsidP="0018407B">
      <w:pPr>
        <w:tabs>
          <w:tab w:val="left" w:pos="1116"/>
        </w:tabs>
        <w:spacing w:after="0" w:line="240" w:lineRule="auto"/>
        <w:jc w:val="both"/>
        <w:rPr>
          <w:rFonts w:ascii="Times New Roman" w:hAnsi="Times New Roman" w:cs="Times New Roman"/>
          <w:b/>
          <w:sz w:val="24"/>
          <w:szCs w:val="24"/>
        </w:rPr>
      </w:pPr>
    </w:p>
    <w:p w:rsidR="0018407B" w:rsidRPr="00BB6EAD" w:rsidRDefault="0018407B" w:rsidP="0018407B">
      <w:pPr>
        <w:spacing w:after="0" w:line="240" w:lineRule="auto"/>
        <w:jc w:val="both"/>
        <w:rPr>
          <w:rFonts w:ascii="Times New Roman" w:hAnsi="Times New Roman" w:cs="Times New Roman"/>
          <w:color w:val="000000"/>
          <w:sz w:val="24"/>
          <w:szCs w:val="24"/>
        </w:rPr>
      </w:pPr>
      <w:r w:rsidRPr="00CB7C90">
        <w:rPr>
          <w:rFonts w:ascii="Times New Roman" w:hAnsi="Times New Roman" w:cs="Times New Roman"/>
          <w:sz w:val="24"/>
          <w:szCs w:val="24"/>
        </w:rPr>
        <w:t xml:space="preserve">A preparação das demonstrações contábeis de acordo com as práticas contábeis adotadas no Brasil exige que a Administração faça julgamentos, estimativas e premissas que afetam a aplicação de políticas contábeis e os valores reportados de ativos, passivos, receitas e despesas. </w:t>
      </w:r>
      <w:r w:rsidRPr="00CB7C90">
        <w:rPr>
          <w:rFonts w:ascii="Times New Roman" w:hAnsi="Times New Roman" w:cs="Times New Roman"/>
          <w:color w:val="000000"/>
          <w:sz w:val="24"/>
          <w:szCs w:val="24"/>
        </w:rPr>
        <w:t xml:space="preserve">Os resultados reais podem divergir dessas estimativas. Ativos e passivos significativos sujeitos a estimativas e premissas incluem, </w:t>
      </w:r>
      <w:r w:rsidRPr="00CB7C90">
        <w:rPr>
          <w:rFonts w:ascii="Times New Roman" w:hAnsi="Times New Roman" w:cs="Times New Roman"/>
          <w:color w:val="000000"/>
          <w:sz w:val="24"/>
          <w:szCs w:val="24"/>
        </w:rPr>
        <w:lastRenderedPageBreak/>
        <w:t xml:space="preserve">principalmente, o cálculo das depreciações sobre o ativo imobilizado </w:t>
      </w:r>
      <w:r w:rsidRPr="007D4E38">
        <w:rPr>
          <w:rFonts w:ascii="Times New Roman" w:hAnsi="Times New Roman" w:cs="Times New Roman"/>
          <w:b/>
          <w:color w:val="000000" w:themeColor="text1"/>
          <w:sz w:val="24"/>
          <w:szCs w:val="24"/>
        </w:rPr>
        <w:t>(Nota explicativa 3.3)</w:t>
      </w:r>
      <w:r w:rsidRPr="007D4E38">
        <w:rPr>
          <w:rFonts w:ascii="Times New Roman" w:hAnsi="Times New Roman" w:cs="Times New Roman"/>
          <w:color w:val="000000" w:themeColor="text1"/>
          <w:sz w:val="24"/>
          <w:szCs w:val="24"/>
        </w:rPr>
        <w:t xml:space="preserve"> </w:t>
      </w:r>
      <w:r w:rsidRPr="00CB7C90">
        <w:rPr>
          <w:rFonts w:ascii="Times New Roman" w:hAnsi="Times New Roman" w:cs="Times New Roman"/>
          <w:color w:val="000000"/>
          <w:sz w:val="24"/>
          <w:szCs w:val="24"/>
        </w:rPr>
        <w:t>e a provisão para riscos</w:t>
      </w:r>
      <w:r>
        <w:rPr>
          <w:rFonts w:ascii="Times New Roman" w:hAnsi="Times New Roman" w:cs="Times New Roman"/>
          <w:color w:val="000000"/>
          <w:sz w:val="24"/>
          <w:szCs w:val="24"/>
        </w:rPr>
        <w:t xml:space="preserve"> </w:t>
      </w:r>
      <w:r w:rsidRPr="00CB7C90">
        <w:rPr>
          <w:rFonts w:ascii="Times New Roman" w:hAnsi="Times New Roman" w:cs="Times New Roman"/>
          <w:color w:val="000000"/>
          <w:sz w:val="24"/>
          <w:szCs w:val="24"/>
        </w:rPr>
        <w:t xml:space="preserve">trabalhistas e cíveis </w:t>
      </w:r>
      <w:r w:rsidRPr="007D4E38">
        <w:rPr>
          <w:rFonts w:ascii="Times New Roman" w:hAnsi="Times New Roman" w:cs="Times New Roman"/>
          <w:b/>
          <w:color w:val="000000" w:themeColor="text1"/>
          <w:sz w:val="24"/>
          <w:szCs w:val="24"/>
        </w:rPr>
        <w:t>(Nota 3.7)</w:t>
      </w:r>
      <w:r w:rsidRPr="007D4E38">
        <w:rPr>
          <w:rFonts w:ascii="Times New Roman" w:hAnsi="Times New Roman" w:cs="Times New Roman"/>
          <w:color w:val="000000" w:themeColor="text1"/>
          <w:sz w:val="24"/>
          <w:szCs w:val="24"/>
        </w:rPr>
        <w:t xml:space="preserve">. </w:t>
      </w:r>
      <w:r w:rsidRPr="00CB7C90">
        <w:rPr>
          <w:rFonts w:ascii="Times New Roman" w:hAnsi="Times New Roman" w:cs="Times New Roman"/>
          <w:color w:val="000000"/>
          <w:sz w:val="24"/>
          <w:szCs w:val="24"/>
        </w:rPr>
        <w:t>Os valores definitivos das transações envolvendo essas estimativas somente são conhecidos por ocasião da sua realização ou liquidação.</w:t>
      </w:r>
    </w:p>
    <w:p w:rsidR="0018407B" w:rsidRDefault="0018407B" w:rsidP="0018407B">
      <w:pPr>
        <w:spacing w:after="0" w:line="240" w:lineRule="auto"/>
        <w:jc w:val="both"/>
        <w:rPr>
          <w:rFonts w:ascii="Times New Roman" w:eastAsia="Times New Roman" w:hAnsi="Times New Roman" w:cs="Times New Roman"/>
          <w:sz w:val="24"/>
          <w:szCs w:val="24"/>
          <w:lang w:eastAsia="pt-BR"/>
        </w:rPr>
      </w:pPr>
    </w:p>
    <w:p w:rsidR="0018407B" w:rsidRDefault="0018407B" w:rsidP="0018407B">
      <w:pPr>
        <w:pStyle w:val="BDOTtulo1"/>
        <w:widowControl w:val="0"/>
        <w:tabs>
          <w:tab w:val="clear" w:pos="567"/>
          <w:tab w:val="left" w:pos="426"/>
        </w:tabs>
        <w:suppressAutoHyphens w:val="0"/>
        <w:spacing w:line="230" w:lineRule="auto"/>
        <w:ind w:left="0" w:firstLine="0"/>
        <w:rPr>
          <w:rFonts w:ascii="Times New Roman" w:hAnsi="Times New Roman"/>
          <w:caps w:val="0"/>
          <w:sz w:val="24"/>
        </w:rPr>
      </w:pPr>
      <w:r w:rsidRPr="003E4C4A">
        <w:rPr>
          <w:rFonts w:ascii="Times New Roman" w:hAnsi="Times New Roman"/>
          <w:caps w:val="0"/>
          <w:sz w:val="24"/>
        </w:rPr>
        <w:t>3.</w:t>
      </w:r>
      <w:r w:rsidRPr="003E4C4A">
        <w:rPr>
          <w:rFonts w:ascii="Times New Roman" w:hAnsi="Times New Roman"/>
          <w:caps w:val="0"/>
          <w:sz w:val="24"/>
        </w:rPr>
        <w:tab/>
        <w:t>Políticas Contábeis</w:t>
      </w:r>
    </w:p>
    <w:p w:rsidR="0018407B" w:rsidRPr="004528B1" w:rsidRDefault="0018407B" w:rsidP="0018407B">
      <w:pPr>
        <w:spacing w:after="0"/>
        <w:rPr>
          <w:lang w:eastAsia="pt-BR"/>
        </w:rPr>
      </w:pPr>
    </w:p>
    <w:p w:rsidR="0018407B" w:rsidRPr="003E0EB4" w:rsidRDefault="0018407B" w:rsidP="0018407B">
      <w:pPr>
        <w:spacing w:after="0" w:line="240" w:lineRule="auto"/>
        <w:jc w:val="both"/>
        <w:rPr>
          <w:rFonts w:ascii="Times New Roman" w:hAnsi="Times New Roman" w:cs="Times New Roman"/>
          <w:color w:val="000000"/>
          <w:sz w:val="24"/>
          <w:szCs w:val="24"/>
        </w:rPr>
      </w:pPr>
      <w:r w:rsidRPr="003E0EB4">
        <w:rPr>
          <w:rFonts w:ascii="Times New Roman" w:hAnsi="Times New Roman" w:cs="Times New Roman"/>
          <w:color w:val="000000"/>
          <w:sz w:val="24"/>
          <w:szCs w:val="24"/>
        </w:rPr>
        <w:t>Dentre as principais práticas adotadas para a elaboração das demonstrações contábeis, aplicadas de forma uniforme com o exercício anterior, ressaltam-se:</w:t>
      </w:r>
    </w:p>
    <w:p w:rsidR="0018407B" w:rsidRDefault="0018407B" w:rsidP="0018407B">
      <w:pPr>
        <w:spacing w:after="0" w:line="240" w:lineRule="auto"/>
        <w:jc w:val="both"/>
        <w:rPr>
          <w:rFonts w:ascii="Times New Roman" w:eastAsia="Times New Roman" w:hAnsi="Times New Roman" w:cs="Times New Roman"/>
          <w:sz w:val="24"/>
          <w:szCs w:val="24"/>
          <w:lang w:eastAsia="pt-BR"/>
        </w:rPr>
      </w:pPr>
    </w:p>
    <w:p w:rsidR="0018407B" w:rsidRDefault="0018407B" w:rsidP="0018407B">
      <w:pPr>
        <w:tabs>
          <w:tab w:val="left" w:pos="709"/>
        </w:tabs>
        <w:autoSpaceDE w:val="0"/>
        <w:autoSpaceDN w:val="0"/>
        <w:adjustRightInd w:val="0"/>
        <w:spacing w:line="230" w:lineRule="auto"/>
        <w:rPr>
          <w:rFonts w:ascii="Trebuchet MS" w:hAnsi="Trebuchet MS" w:cs="Arial"/>
          <w:b/>
          <w:bCs/>
          <w:color w:val="000000" w:themeColor="text1"/>
        </w:rPr>
      </w:pPr>
      <w:r w:rsidRPr="00E65C01">
        <w:rPr>
          <w:rFonts w:ascii="Times New Roman" w:eastAsia="Times New Roman" w:hAnsi="Times New Roman" w:cs="Times New Roman"/>
          <w:b/>
          <w:sz w:val="24"/>
          <w:szCs w:val="24"/>
          <w:lang w:eastAsia="pt-BR"/>
        </w:rPr>
        <w:t>3.1.</w:t>
      </w:r>
      <w:r>
        <w:rPr>
          <w:rFonts w:ascii="Times New Roman" w:eastAsia="Times New Roman" w:hAnsi="Times New Roman" w:cs="Times New Roman"/>
          <w:b/>
          <w:sz w:val="24"/>
          <w:szCs w:val="24"/>
          <w:lang w:eastAsia="pt-BR"/>
        </w:rPr>
        <w:t xml:space="preserve"> </w:t>
      </w:r>
      <w:r w:rsidRPr="00E65C01">
        <w:rPr>
          <w:rFonts w:ascii="Times New Roman" w:eastAsia="Times New Roman" w:hAnsi="Times New Roman" w:cs="Times New Roman"/>
          <w:b/>
          <w:sz w:val="24"/>
          <w:szCs w:val="24"/>
          <w:lang w:eastAsia="pt-BR"/>
        </w:rPr>
        <w:t>Caixa e equivalente de caixa</w:t>
      </w:r>
    </w:p>
    <w:p w:rsidR="0018407B" w:rsidRPr="000A49B6" w:rsidRDefault="0018407B" w:rsidP="0018407B">
      <w:pPr>
        <w:spacing w:after="0" w:line="240" w:lineRule="auto"/>
        <w:jc w:val="both"/>
        <w:rPr>
          <w:rFonts w:ascii="Times New Roman" w:hAnsi="Times New Roman" w:cs="Times New Roman"/>
          <w:color w:val="000000"/>
          <w:sz w:val="24"/>
          <w:szCs w:val="24"/>
        </w:rPr>
      </w:pPr>
      <w:r w:rsidRPr="000A49B6">
        <w:rPr>
          <w:rFonts w:ascii="Times New Roman" w:hAnsi="Times New Roman" w:cs="Times New Roman"/>
          <w:color w:val="000000"/>
          <w:sz w:val="24"/>
          <w:szCs w:val="24"/>
        </w:rPr>
        <w:t>Os equivalentes de caixa são mantidos com a finalidade de atender a compromissos de caixa de curto prazo, e não para investimento ou outros fins. Incluem caixa, depósitos bancários à vista e aplicações financeiras realizáveis em até 90 dias da data original do título ou considerados de liquidez imediata ou conversíveis em um montante conhecido de caixa e que estão sujeitos a um risco insignificante de mudança de valor, os quais são registrados pelos valores de custo, acrescidos dos rendimentos auferidos até as datas dos balanços, que não excedem o seu valor de mercado ou de realização.</w:t>
      </w:r>
    </w:p>
    <w:p w:rsidR="0018407B" w:rsidRDefault="0018407B" w:rsidP="0018407B">
      <w:pPr>
        <w:spacing w:after="0" w:line="240" w:lineRule="auto"/>
        <w:jc w:val="both"/>
        <w:rPr>
          <w:rFonts w:ascii="Times New Roman" w:eastAsia="Times New Roman" w:hAnsi="Times New Roman" w:cs="Times New Roman"/>
          <w:sz w:val="24"/>
          <w:szCs w:val="24"/>
          <w:lang w:eastAsia="pt-BR"/>
        </w:rPr>
      </w:pPr>
    </w:p>
    <w:p w:rsidR="0018407B" w:rsidRPr="004E139A" w:rsidRDefault="0018407B" w:rsidP="0018407B">
      <w:pPr>
        <w:tabs>
          <w:tab w:val="left" w:pos="993"/>
        </w:tabs>
        <w:autoSpaceDE w:val="0"/>
        <w:autoSpaceDN w:val="0"/>
        <w:adjustRightInd w:val="0"/>
        <w:spacing w:line="230" w:lineRule="auto"/>
        <w:jc w:val="both"/>
        <w:rPr>
          <w:rFonts w:ascii="Trebuchet MS" w:hAnsi="Trebuchet MS" w:cs="Arial"/>
        </w:rPr>
      </w:pPr>
      <w:r w:rsidRPr="00CE2B53">
        <w:rPr>
          <w:rFonts w:ascii="Times New Roman" w:eastAsia="Times New Roman" w:hAnsi="Times New Roman" w:cs="Times New Roman"/>
          <w:sz w:val="24"/>
          <w:szCs w:val="24"/>
          <w:lang w:eastAsia="pt-BR"/>
        </w:rPr>
        <w:t>Registra os valores em Bancos, bem como equivalente</w:t>
      </w:r>
      <w:r>
        <w:rPr>
          <w:rFonts w:ascii="Times New Roman" w:eastAsia="Times New Roman" w:hAnsi="Times New Roman" w:cs="Times New Roman"/>
          <w:sz w:val="24"/>
          <w:szCs w:val="24"/>
          <w:lang w:eastAsia="pt-BR"/>
        </w:rPr>
        <w:t xml:space="preserve">s, que representam recursos com </w:t>
      </w:r>
      <w:r w:rsidRPr="00CE2B53">
        <w:rPr>
          <w:rFonts w:ascii="Times New Roman" w:eastAsia="Times New Roman" w:hAnsi="Times New Roman" w:cs="Times New Roman"/>
          <w:sz w:val="24"/>
          <w:szCs w:val="24"/>
          <w:lang w:eastAsia="pt-BR"/>
        </w:rPr>
        <w:t>livre movimentação para aplicação nas operações e para os quais não ha</w:t>
      </w:r>
      <w:r>
        <w:rPr>
          <w:rFonts w:ascii="Times New Roman" w:eastAsia="Times New Roman" w:hAnsi="Times New Roman" w:cs="Times New Roman"/>
          <w:sz w:val="24"/>
          <w:szCs w:val="24"/>
          <w:lang w:eastAsia="pt-BR"/>
        </w:rPr>
        <w:t xml:space="preserve">ja restrições para uso imediato, </w:t>
      </w:r>
      <w:r w:rsidRPr="00F41249">
        <w:rPr>
          <w:rFonts w:ascii="Times New Roman" w:eastAsia="Times New Roman" w:hAnsi="Times New Roman" w:cs="Times New Roman"/>
          <w:sz w:val="24"/>
          <w:szCs w:val="24"/>
          <w:lang w:eastAsia="pt-BR"/>
        </w:rPr>
        <w:t xml:space="preserve">conforme disposto na </w:t>
      </w:r>
      <w:r w:rsidRPr="007D4E38">
        <w:rPr>
          <w:rFonts w:ascii="Times New Roman" w:eastAsia="Times New Roman" w:hAnsi="Times New Roman" w:cs="Times New Roman"/>
          <w:b/>
          <w:color w:val="000000" w:themeColor="text1"/>
          <w:sz w:val="24"/>
          <w:szCs w:val="24"/>
          <w:lang w:eastAsia="pt-BR"/>
        </w:rPr>
        <w:t>nota 5</w:t>
      </w:r>
      <w:r w:rsidRPr="007D4E38">
        <w:rPr>
          <w:rFonts w:ascii="Times New Roman" w:eastAsia="Times New Roman" w:hAnsi="Times New Roman" w:cs="Times New Roman"/>
          <w:color w:val="000000" w:themeColor="text1"/>
          <w:sz w:val="24"/>
          <w:szCs w:val="24"/>
          <w:lang w:eastAsia="pt-BR"/>
        </w:rPr>
        <w:t>.</w:t>
      </w:r>
    </w:p>
    <w:p w:rsidR="0018407B" w:rsidRPr="00E65C01" w:rsidRDefault="0018407B" w:rsidP="0018407B">
      <w:pPr>
        <w:tabs>
          <w:tab w:val="left" w:pos="709"/>
        </w:tabs>
        <w:autoSpaceDE w:val="0"/>
        <w:autoSpaceDN w:val="0"/>
        <w:adjustRightInd w:val="0"/>
        <w:spacing w:line="230" w:lineRule="auto"/>
        <w:rPr>
          <w:rFonts w:ascii="Times New Roman" w:eastAsia="Times New Roman" w:hAnsi="Times New Roman" w:cs="Times New Roman"/>
          <w:b/>
          <w:sz w:val="24"/>
          <w:szCs w:val="24"/>
          <w:lang w:eastAsia="pt-BR"/>
        </w:rPr>
      </w:pPr>
      <w:r w:rsidRPr="00E65C01">
        <w:rPr>
          <w:rFonts w:ascii="Times New Roman" w:eastAsia="Times New Roman" w:hAnsi="Times New Roman" w:cs="Times New Roman"/>
          <w:b/>
          <w:sz w:val="24"/>
          <w:szCs w:val="24"/>
          <w:lang w:eastAsia="pt-BR"/>
        </w:rPr>
        <w:t>3.2. Estoques</w:t>
      </w:r>
    </w:p>
    <w:p w:rsidR="0018407B" w:rsidRPr="00F41249" w:rsidRDefault="0018407B" w:rsidP="0018407B">
      <w:pPr>
        <w:widowControl w:val="0"/>
        <w:spacing w:line="228" w:lineRule="auto"/>
        <w:jc w:val="both"/>
        <w:rPr>
          <w:rFonts w:ascii="Times New Roman" w:hAnsi="Times New Roman" w:cs="Times New Roman"/>
          <w:bCs/>
          <w:sz w:val="24"/>
          <w:szCs w:val="24"/>
        </w:rPr>
      </w:pPr>
      <w:r w:rsidRPr="00540ED9">
        <w:rPr>
          <w:rFonts w:ascii="Times New Roman" w:hAnsi="Times New Roman" w:cs="Times New Roman"/>
          <w:bCs/>
          <w:color w:val="000000"/>
          <w:sz w:val="24"/>
          <w:szCs w:val="24"/>
        </w:rPr>
        <w:t>Os estoques são registrados ao custo de aquisição, que não supera os valores de mercado ou valor líquido de realização. Os estoques estão representados exclusivamente pelo almoxarifado de materiais de uso e consumo em expediente</w:t>
      </w:r>
      <w:r>
        <w:rPr>
          <w:rFonts w:ascii="Times New Roman" w:hAnsi="Times New Roman" w:cs="Times New Roman"/>
          <w:bCs/>
          <w:color w:val="000000"/>
          <w:sz w:val="24"/>
          <w:szCs w:val="24"/>
        </w:rPr>
        <w:t xml:space="preserve">, </w:t>
      </w:r>
      <w:r w:rsidRPr="00F41249">
        <w:rPr>
          <w:rFonts w:ascii="Times New Roman" w:hAnsi="Times New Roman" w:cs="Times New Roman"/>
          <w:bCs/>
          <w:sz w:val="24"/>
          <w:szCs w:val="24"/>
        </w:rPr>
        <w:t xml:space="preserve">conforme apresentado </w:t>
      </w:r>
      <w:r w:rsidRPr="007D4E38">
        <w:rPr>
          <w:rFonts w:ascii="Times New Roman" w:hAnsi="Times New Roman" w:cs="Times New Roman"/>
          <w:bCs/>
          <w:color w:val="000000" w:themeColor="text1"/>
          <w:sz w:val="24"/>
          <w:szCs w:val="24"/>
        </w:rPr>
        <w:t xml:space="preserve">na </w:t>
      </w:r>
      <w:r w:rsidRPr="007D4E38">
        <w:rPr>
          <w:rFonts w:ascii="Times New Roman" w:hAnsi="Times New Roman" w:cs="Times New Roman"/>
          <w:b/>
          <w:bCs/>
          <w:color w:val="000000" w:themeColor="text1"/>
          <w:sz w:val="24"/>
          <w:szCs w:val="24"/>
        </w:rPr>
        <w:t>nota 8</w:t>
      </w:r>
      <w:r w:rsidRPr="007D4E38">
        <w:rPr>
          <w:rFonts w:ascii="Times New Roman" w:hAnsi="Times New Roman" w:cs="Times New Roman"/>
          <w:bCs/>
          <w:color w:val="000000" w:themeColor="text1"/>
          <w:sz w:val="24"/>
          <w:szCs w:val="24"/>
        </w:rPr>
        <w:t>.</w:t>
      </w:r>
    </w:p>
    <w:p w:rsidR="0018407B" w:rsidRPr="00C93132" w:rsidRDefault="0018407B" w:rsidP="0018407B">
      <w:pPr>
        <w:tabs>
          <w:tab w:val="left" w:pos="993"/>
        </w:tabs>
        <w:autoSpaceDE w:val="0"/>
        <w:autoSpaceDN w:val="0"/>
        <w:adjustRightInd w:val="0"/>
        <w:spacing w:line="228" w:lineRule="auto"/>
        <w:rPr>
          <w:rFonts w:ascii="Times New Roman" w:hAnsi="Times New Roman" w:cs="Times New Roman"/>
          <w:b/>
          <w:bCs/>
          <w:color w:val="000000"/>
          <w:sz w:val="24"/>
          <w:szCs w:val="24"/>
        </w:rPr>
      </w:pPr>
      <w:r w:rsidRPr="00C93132">
        <w:rPr>
          <w:rFonts w:ascii="Times New Roman" w:hAnsi="Times New Roman" w:cs="Times New Roman"/>
          <w:b/>
          <w:bCs/>
          <w:color w:val="000000"/>
          <w:sz w:val="24"/>
          <w:szCs w:val="24"/>
        </w:rPr>
        <w:t>3.3. Imobilizado</w:t>
      </w:r>
      <w:r>
        <w:rPr>
          <w:rFonts w:ascii="Times New Roman" w:hAnsi="Times New Roman" w:cs="Times New Roman"/>
          <w:b/>
          <w:bCs/>
          <w:color w:val="000000"/>
          <w:sz w:val="24"/>
          <w:szCs w:val="24"/>
        </w:rPr>
        <w:t xml:space="preserve"> e Intangível</w:t>
      </w:r>
    </w:p>
    <w:p w:rsidR="0018407B" w:rsidRPr="00753E89" w:rsidRDefault="0018407B" w:rsidP="0018407B">
      <w:pPr>
        <w:widowControl w:val="0"/>
        <w:spacing w:line="228" w:lineRule="auto"/>
        <w:jc w:val="both"/>
        <w:rPr>
          <w:rFonts w:ascii="Times New Roman" w:hAnsi="Times New Roman" w:cs="Times New Roman"/>
          <w:bCs/>
          <w:color w:val="000000"/>
          <w:sz w:val="24"/>
          <w:szCs w:val="24"/>
        </w:rPr>
      </w:pPr>
      <w:r w:rsidRPr="00753E89">
        <w:rPr>
          <w:rFonts w:ascii="Times New Roman" w:hAnsi="Times New Roman" w:cs="Times New Roman"/>
          <w:bCs/>
          <w:color w:val="000000"/>
          <w:sz w:val="24"/>
          <w:szCs w:val="24"/>
        </w:rPr>
        <w:t>Avaliado ao custo de aquisição e reduzido pela depreciação</w:t>
      </w:r>
      <w:r>
        <w:rPr>
          <w:rFonts w:ascii="Times New Roman" w:hAnsi="Times New Roman" w:cs="Times New Roman"/>
          <w:bCs/>
          <w:color w:val="000000"/>
          <w:sz w:val="24"/>
          <w:szCs w:val="24"/>
        </w:rPr>
        <w:t>/amortização</w:t>
      </w:r>
      <w:r w:rsidRPr="00753E89">
        <w:rPr>
          <w:rFonts w:ascii="Times New Roman" w:hAnsi="Times New Roman" w:cs="Times New Roman"/>
          <w:bCs/>
          <w:color w:val="000000"/>
          <w:sz w:val="24"/>
          <w:szCs w:val="24"/>
        </w:rPr>
        <w:t xml:space="preserve"> acumulada</w:t>
      </w:r>
      <w:r>
        <w:rPr>
          <w:rFonts w:ascii="Times New Roman" w:hAnsi="Times New Roman" w:cs="Times New Roman"/>
          <w:bCs/>
          <w:color w:val="000000"/>
          <w:sz w:val="24"/>
          <w:szCs w:val="24"/>
        </w:rPr>
        <w:t xml:space="preserve">. O procedimento de reavaliação dos bens, </w:t>
      </w:r>
      <w:r w:rsidRPr="00753E89">
        <w:rPr>
          <w:rFonts w:ascii="Times New Roman" w:hAnsi="Times New Roman" w:cs="Times New Roman"/>
          <w:bCs/>
          <w:color w:val="000000"/>
          <w:sz w:val="24"/>
          <w:szCs w:val="24"/>
        </w:rPr>
        <w:t>quando aplicável</w:t>
      </w:r>
      <w:r>
        <w:rPr>
          <w:rFonts w:ascii="Times New Roman" w:hAnsi="Times New Roman" w:cs="Times New Roman"/>
          <w:bCs/>
          <w:color w:val="000000"/>
          <w:sz w:val="24"/>
          <w:szCs w:val="24"/>
        </w:rPr>
        <w:t>, será realizado no próximo exercício</w:t>
      </w:r>
      <w:r w:rsidRPr="00753E89">
        <w:rPr>
          <w:rFonts w:ascii="Times New Roman" w:hAnsi="Times New Roman" w:cs="Times New Roman"/>
          <w:bCs/>
          <w:color w:val="000000"/>
          <w:sz w:val="24"/>
          <w:szCs w:val="24"/>
        </w:rPr>
        <w:t>.</w:t>
      </w:r>
    </w:p>
    <w:p w:rsidR="0018407B" w:rsidRPr="00753E89" w:rsidRDefault="0018407B" w:rsidP="0018407B">
      <w:pPr>
        <w:widowControl w:val="0"/>
        <w:spacing w:line="228" w:lineRule="auto"/>
        <w:jc w:val="both"/>
        <w:rPr>
          <w:rFonts w:ascii="Times New Roman" w:hAnsi="Times New Roman" w:cs="Times New Roman"/>
          <w:bCs/>
          <w:color w:val="000000"/>
          <w:sz w:val="24"/>
          <w:szCs w:val="24"/>
        </w:rPr>
      </w:pPr>
      <w:r w:rsidRPr="00753E89">
        <w:rPr>
          <w:rFonts w:ascii="Times New Roman" w:hAnsi="Times New Roman" w:cs="Times New Roman"/>
          <w:bCs/>
          <w:color w:val="000000"/>
          <w:sz w:val="24"/>
          <w:szCs w:val="24"/>
        </w:rPr>
        <w:t>Os direitos que tenham por objeto bens corpóreos destinados à manutenção das atividades da Entidade.</w:t>
      </w:r>
    </w:p>
    <w:p w:rsidR="0018407B" w:rsidRDefault="0018407B" w:rsidP="0018407B">
      <w:pPr>
        <w:widowControl w:val="0"/>
        <w:spacing w:line="228" w:lineRule="auto"/>
        <w:jc w:val="both"/>
        <w:rPr>
          <w:rFonts w:ascii="Times New Roman" w:hAnsi="Times New Roman" w:cs="Times New Roman"/>
          <w:bCs/>
          <w:color w:val="000000"/>
          <w:sz w:val="24"/>
          <w:szCs w:val="24"/>
        </w:rPr>
      </w:pPr>
      <w:r w:rsidRPr="00753E89">
        <w:rPr>
          <w:rFonts w:ascii="Times New Roman" w:hAnsi="Times New Roman" w:cs="Times New Roman"/>
          <w:bCs/>
          <w:color w:val="000000"/>
          <w:sz w:val="24"/>
          <w:szCs w:val="24"/>
        </w:rPr>
        <w:t>O CAU</w:t>
      </w:r>
      <w:r w:rsidR="00F270E5">
        <w:rPr>
          <w:rFonts w:ascii="Times New Roman" w:hAnsi="Times New Roman" w:cs="Times New Roman"/>
          <w:bCs/>
          <w:color w:val="000000"/>
          <w:sz w:val="24"/>
          <w:szCs w:val="24"/>
        </w:rPr>
        <w:t>/</w:t>
      </w:r>
      <w:r w:rsidRPr="00753E89">
        <w:rPr>
          <w:rFonts w:ascii="Times New Roman" w:hAnsi="Times New Roman" w:cs="Times New Roman"/>
          <w:bCs/>
          <w:color w:val="000000"/>
          <w:sz w:val="24"/>
          <w:szCs w:val="24"/>
        </w:rPr>
        <w:t xml:space="preserve">BR segue </w:t>
      </w:r>
      <w:r>
        <w:rPr>
          <w:rFonts w:ascii="Times New Roman" w:hAnsi="Times New Roman" w:cs="Times New Roman"/>
          <w:bCs/>
          <w:color w:val="000000"/>
          <w:sz w:val="24"/>
          <w:szCs w:val="24"/>
        </w:rPr>
        <w:t>o Manual de Procedimentos Contábeis do sistema CAU de 2017,</w:t>
      </w:r>
      <w:r w:rsidRPr="00753E89">
        <w:rPr>
          <w:rFonts w:ascii="Times New Roman" w:hAnsi="Times New Roman" w:cs="Times New Roman"/>
          <w:bCs/>
          <w:color w:val="000000"/>
          <w:sz w:val="24"/>
          <w:szCs w:val="24"/>
        </w:rPr>
        <w:t xml:space="preserve"> expedida pelo próprio CAU/BR, quanto aos procedimentos na aquisição, baixa e na depreciação/amortização dos seus bens patrimoniais</w:t>
      </w:r>
      <w:r w:rsidRPr="00466160">
        <w:rPr>
          <w:rFonts w:ascii="Times New Roman" w:hAnsi="Times New Roman" w:cs="Times New Roman"/>
          <w:bCs/>
          <w:color w:val="FF0000"/>
          <w:sz w:val="24"/>
          <w:szCs w:val="24"/>
        </w:rPr>
        <w:t xml:space="preserve"> </w:t>
      </w:r>
      <w:r>
        <w:rPr>
          <w:rFonts w:ascii="Times New Roman" w:hAnsi="Times New Roman" w:cs="Times New Roman"/>
          <w:bCs/>
          <w:sz w:val="24"/>
          <w:szCs w:val="24"/>
        </w:rPr>
        <w:t>e estão detalhado</w:t>
      </w:r>
      <w:r w:rsidRPr="00F41249">
        <w:rPr>
          <w:rFonts w:ascii="Times New Roman" w:hAnsi="Times New Roman" w:cs="Times New Roman"/>
          <w:bCs/>
          <w:sz w:val="24"/>
          <w:szCs w:val="24"/>
        </w:rPr>
        <w:t>s na</w:t>
      </w:r>
      <w:r>
        <w:rPr>
          <w:rFonts w:ascii="Times New Roman" w:hAnsi="Times New Roman" w:cs="Times New Roman"/>
          <w:bCs/>
          <w:sz w:val="24"/>
          <w:szCs w:val="24"/>
        </w:rPr>
        <w:t>s</w:t>
      </w:r>
      <w:r w:rsidRPr="00F41249">
        <w:rPr>
          <w:rFonts w:ascii="Times New Roman" w:hAnsi="Times New Roman" w:cs="Times New Roman"/>
          <w:bCs/>
          <w:sz w:val="24"/>
          <w:szCs w:val="24"/>
        </w:rPr>
        <w:t xml:space="preserve"> </w:t>
      </w:r>
      <w:r w:rsidRPr="00C92472">
        <w:rPr>
          <w:rFonts w:ascii="Times New Roman" w:hAnsi="Times New Roman" w:cs="Times New Roman"/>
          <w:b/>
          <w:bCs/>
          <w:color w:val="000000" w:themeColor="text1"/>
          <w:sz w:val="24"/>
          <w:szCs w:val="24"/>
        </w:rPr>
        <w:t>notas 9, 10 e 11.</w:t>
      </w:r>
    </w:p>
    <w:p w:rsidR="0018407B" w:rsidRDefault="0018407B" w:rsidP="0018407B">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T</w:t>
      </w:r>
      <w:r w:rsidRPr="00CE2B53">
        <w:rPr>
          <w:rFonts w:ascii="Times New Roman" w:eastAsia="Times New Roman" w:hAnsi="Times New Roman" w:cs="Times New Roman"/>
          <w:sz w:val="24"/>
          <w:szCs w:val="24"/>
          <w:lang w:eastAsia="pt-BR"/>
        </w:rPr>
        <w:t>odos os bens imobilizados</w:t>
      </w:r>
      <w:r>
        <w:rPr>
          <w:rFonts w:ascii="Times New Roman" w:eastAsia="Times New Roman" w:hAnsi="Times New Roman" w:cs="Times New Roman"/>
          <w:sz w:val="24"/>
          <w:szCs w:val="24"/>
          <w:lang w:eastAsia="pt-BR"/>
        </w:rPr>
        <w:t xml:space="preserve"> e intangíveis</w:t>
      </w:r>
      <w:r w:rsidRPr="00CE2B53">
        <w:rPr>
          <w:rFonts w:ascii="Times New Roman" w:eastAsia="Times New Roman" w:hAnsi="Times New Roman" w:cs="Times New Roman"/>
          <w:sz w:val="24"/>
          <w:szCs w:val="24"/>
          <w:lang w:eastAsia="pt-BR"/>
        </w:rPr>
        <w:t xml:space="preserve">, encontram-se registrados em sistema informatizado SISPAT.NET.         </w:t>
      </w:r>
    </w:p>
    <w:p w:rsidR="0018407B" w:rsidRPr="00B53827" w:rsidRDefault="0018407B" w:rsidP="0018407B">
      <w:pPr>
        <w:spacing w:after="0" w:line="240" w:lineRule="auto"/>
        <w:jc w:val="both"/>
        <w:rPr>
          <w:rFonts w:ascii="Times New Roman" w:eastAsia="Times New Roman" w:hAnsi="Times New Roman" w:cs="Times New Roman"/>
          <w:sz w:val="24"/>
          <w:szCs w:val="24"/>
          <w:lang w:eastAsia="pt-BR"/>
        </w:rPr>
      </w:pPr>
    </w:p>
    <w:p w:rsidR="0018407B" w:rsidRDefault="0018407B" w:rsidP="0018407B">
      <w:pPr>
        <w:widowControl w:val="0"/>
        <w:spacing w:line="228" w:lineRule="auto"/>
        <w:jc w:val="both"/>
        <w:rPr>
          <w:rFonts w:ascii="Times New Roman" w:hAnsi="Times New Roman" w:cs="Times New Roman"/>
          <w:bCs/>
          <w:color w:val="000000"/>
          <w:sz w:val="24"/>
          <w:szCs w:val="24"/>
        </w:rPr>
      </w:pPr>
      <w:r w:rsidRPr="00753E89">
        <w:rPr>
          <w:rFonts w:ascii="Times New Roman" w:hAnsi="Times New Roman" w:cs="Times New Roman"/>
          <w:bCs/>
          <w:color w:val="000000"/>
          <w:sz w:val="24"/>
          <w:szCs w:val="24"/>
        </w:rPr>
        <w:t>A depreciação é calculada pelo método linear, para distribuir seu valor de custo ao longo da vida útil estimada, como segue:</w:t>
      </w:r>
    </w:p>
    <w:p w:rsidR="0018407B" w:rsidRDefault="0018407B" w:rsidP="0018407B">
      <w:pPr>
        <w:widowControl w:val="0"/>
        <w:spacing w:line="228" w:lineRule="auto"/>
        <w:jc w:val="both"/>
        <w:rPr>
          <w:rFonts w:ascii="Times New Roman" w:hAnsi="Times New Roman" w:cs="Times New Roman"/>
          <w:bCs/>
          <w:color w:val="000000"/>
          <w:sz w:val="24"/>
          <w:szCs w:val="24"/>
        </w:rPr>
      </w:pPr>
    </w:p>
    <w:p w:rsidR="0018407B" w:rsidRDefault="0018407B" w:rsidP="0018407B">
      <w:pPr>
        <w:widowControl w:val="0"/>
        <w:spacing w:line="228" w:lineRule="auto"/>
        <w:jc w:val="both"/>
        <w:rPr>
          <w:rFonts w:ascii="Times New Roman" w:hAnsi="Times New Roman" w:cs="Times New Roman"/>
          <w:bCs/>
          <w:color w:val="000000"/>
          <w:sz w:val="24"/>
          <w:szCs w:val="24"/>
        </w:rPr>
      </w:pPr>
    </w:p>
    <w:p w:rsidR="0018407B" w:rsidRDefault="0018407B" w:rsidP="0018407B">
      <w:pPr>
        <w:widowControl w:val="0"/>
        <w:spacing w:line="228" w:lineRule="auto"/>
        <w:jc w:val="both"/>
        <w:rPr>
          <w:rFonts w:ascii="Times New Roman" w:hAnsi="Times New Roman" w:cs="Times New Roman"/>
          <w:bCs/>
          <w:color w:val="000000"/>
          <w:sz w:val="24"/>
          <w:szCs w:val="24"/>
        </w:rPr>
      </w:pPr>
    </w:p>
    <w:p w:rsidR="0018407B" w:rsidRPr="00BB6EAD" w:rsidRDefault="0018407B" w:rsidP="0018407B">
      <w:pPr>
        <w:widowControl w:val="0"/>
        <w:spacing w:line="228" w:lineRule="auto"/>
        <w:jc w:val="both"/>
        <w:rPr>
          <w:rFonts w:ascii="Times New Roman" w:hAnsi="Times New Roman" w:cs="Times New Roman"/>
          <w:bCs/>
          <w:color w:val="000000"/>
          <w:sz w:val="24"/>
          <w:szCs w:val="24"/>
        </w:rPr>
      </w:pPr>
    </w:p>
    <w:tbl>
      <w:tblPr>
        <w:tblW w:w="9274" w:type="dxa"/>
        <w:tblCellMar>
          <w:left w:w="70" w:type="dxa"/>
          <w:right w:w="70" w:type="dxa"/>
        </w:tblCellMar>
        <w:tblLook w:val="04A0" w:firstRow="1" w:lastRow="0" w:firstColumn="1" w:lastColumn="0" w:noHBand="0" w:noVBand="1"/>
      </w:tblPr>
      <w:tblGrid>
        <w:gridCol w:w="4508"/>
        <w:gridCol w:w="464"/>
        <w:gridCol w:w="464"/>
        <w:gridCol w:w="465"/>
        <w:gridCol w:w="1717"/>
        <w:gridCol w:w="1656"/>
      </w:tblGrid>
      <w:tr w:rsidR="0018407B" w:rsidRPr="00966069" w:rsidTr="00C843E2">
        <w:trPr>
          <w:trHeight w:val="292"/>
        </w:trPr>
        <w:tc>
          <w:tcPr>
            <w:tcW w:w="5901" w:type="dxa"/>
            <w:gridSpan w:val="4"/>
            <w:vMerge w:val="restart"/>
            <w:tcBorders>
              <w:top w:val="single" w:sz="4" w:space="0" w:color="auto"/>
              <w:left w:val="nil"/>
              <w:bottom w:val="single" w:sz="4" w:space="0" w:color="000000"/>
              <w:right w:val="nil"/>
            </w:tcBorders>
            <w:shd w:val="clear" w:color="auto" w:fill="006A71"/>
            <w:noWrap/>
            <w:vAlign w:val="center"/>
            <w:hideMark/>
          </w:tcPr>
          <w:p w:rsidR="0018407B" w:rsidRPr="00BB6EAD" w:rsidRDefault="0018407B" w:rsidP="00C843E2">
            <w:pPr>
              <w:spacing w:after="0" w:line="240" w:lineRule="auto"/>
              <w:jc w:val="center"/>
              <w:rPr>
                <w:rFonts w:ascii="Calibri" w:eastAsia="Times New Roman" w:hAnsi="Calibri" w:cs="Calibri"/>
                <w:b/>
                <w:bCs/>
                <w:color w:val="FFFFFF" w:themeColor="background1"/>
                <w:sz w:val="20"/>
                <w:lang w:eastAsia="pt-BR"/>
              </w:rPr>
            </w:pPr>
            <w:r w:rsidRPr="00BB6EAD">
              <w:rPr>
                <w:rFonts w:ascii="Calibri" w:eastAsia="Times New Roman" w:hAnsi="Calibri" w:cs="Calibri"/>
                <w:b/>
                <w:bCs/>
                <w:color w:val="FFFFFF" w:themeColor="background1"/>
                <w:sz w:val="20"/>
                <w:lang w:eastAsia="pt-BR"/>
              </w:rPr>
              <w:t>Tipo do Bem</w:t>
            </w:r>
          </w:p>
        </w:tc>
        <w:tc>
          <w:tcPr>
            <w:tcW w:w="1717" w:type="dxa"/>
            <w:tcBorders>
              <w:top w:val="single" w:sz="4" w:space="0" w:color="auto"/>
              <w:left w:val="single" w:sz="4" w:space="0" w:color="auto"/>
              <w:bottom w:val="nil"/>
              <w:right w:val="single" w:sz="4" w:space="0" w:color="auto"/>
            </w:tcBorders>
            <w:shd w:val="clear" w:color="auto" w:fill="006A71"/>
            <w:noWrap/>
            <w:vAlign w:val="bottom"/>
            <w:hideMark/>
          </w:tcPr>
          <w:p w:rsidR="0018407B" w:rsidRPr="00BB6EAD" w:rsidRDefault="0018407B" w:rsidP="00C843E2">
            <w:pPr>
              <w:spacing w:after="0" w:line="240" w:lineRule="auto"/>
              <w:jc w:val="center"/>
              <w:rPr>
                <w:rFonts w:ascii="Calibri" w:eastAsia="Times New Roman" w:hAnsi="Calibri" w:cs="Calibri"/>
                <w:b/>
                <w:bCs/>
                <w:color w:val="FFFFFF" w:themeColor="background1"/>
                <w:sz w:val="20"/>
                <w:lang w:eastAsia="pt-BR"/>
              </w:rPr>
            </w:pPr>
            <w:r w:rsidRPr="00BB6EAD">
              <w:rPr>
                <w:rFonts w:ascii="Calibri" w:eastAsia="Times New Roman" w:hAnsi="Calibri" w:cs="Calibri"/>
                <w:b/>
                <w:bCs/>
                <w:color w:val="FFFFFF" w:themeColor="background1"/>
                <w:sz w:val="20"/>
                <w:lang w:eastAsia="pt-BR"/>
              </w:rPr>
              <w:t>Taxa</w:t>
            </w:r>
          </w:p>
        </w:tc>
        <w:tc>
          <w:tcPr>
            <w:tcW w:w="1656" w:type="dxa"/>
            <w:tcBorders>
              <w:top w:val="single" w:sz="4" w:space="0" w:color="auto"/>
              <w:left w:val="nil"/>
              <w:bottom w:val="nil"/>
              <w:right w:val="nil"/>
            </w:tcBorders>
            <w:shd w:val="clear" w:color="auto" w:fill="006A71"/>
            <w:noWrap/>
            <w:vAlign w:val="bottom"/>
            <w:hideMark/>
          </w:tcPr>
          <w:p w:rsidR="0018407B" w:rsidRPr="00BB6EAD" w:rsidRDefault="0018407B" w:rsidP="00C843E2">
            <w:pPr>
              <w:spacing w:after="0" w:line="240" w:lineRule="auto"/>
              <w:jc w:val="center"/>
              <w:rPr>
                <w:rFonts w:ascii="Calibri" w:eastAsia="Times New Roman" w:hAnsi="Calibri" w:cs="Calibri"/>
                <w:b/>
                <w:color w:val="FFFFFF" w:themeColor="background1"/>
                <w:sz w:val="20"/>
                <w:lang w:eastAsia="pt-BR"/>
              </w:rPr>
            </w:pPr>
            <w:r w:rsidRPr="00BB6EAD">
              <w:rPr>
                <w:rFonts w:ascii="Calibri" w:eastAsia="Times New Roman" w:hAnsi="Calibri" w:cs="Calibri"/>
                <w:b/>
                <w:color w:val="FFFFFF" w:themeColor="background1"/>
                <w:sz w:val="20"/>
                <w:lang w:eastAsia="pt-BR"/>
              </w:rPr>
              <w:t>%</w:t>
            </w:r>
          </w:p>
        </w:tc>
      </w:tr>
      <w:tr w:rsidR="0018407B" w:rsidRPr="00966069" w:rsidTr="00C843E2">
        <w:trPr>
          <w:trHeight w:val="292"/>
        </w:trPr>
        <w:tc>
          <w:tcPr>
            <w:tcW w:w="5901" w:type="dxa"/>
            <w:gridSpan w:val="4"/>
            <w:vMerge/>
            <w:tcBorders>
              <w:top w:val="single" w:sz="4" w:space="0" w:color="auto"/>
              <w:left w:val="nil"/>
              <w:bottom w:val="single" w:sz="4" w:space="0" w:color="000000"/>
              <w:right w:val="nil"/>
            </w:tcBorders>
            <w:shd w:val="clear" w:color="auto" w:fill="006A71"/>
            <w:vAlign w:val="center"/>
            <w:hideMark/>
          </w:tcPr>
          <w:p w:rsidR="0018407B" w:rsidRPr="00BB6EAD" w:rsidRDefault="0018407B" w:rsidP="00C843E2">
            <w:pPr>
              <w:spacing w:after="0" w:line="240" w:lineRule="auto"/>
              <w:rPr>
                <w:rFonts w:ascii="Calibri" w:eastAsia="Times New Roman" w:hAnsi="Calibri" w:cs="Calibri"/>
                <w:b/>
                <w:bCs/>
                <w:color w:val="FFFFFF" w:themeColor="background1"/>
                <w:sz w:val="20"/>
                <w:lang w:eastAsia="pt-BR"/>
              </w:rPr>
            </w:pPr>
          </w:p>
        </w:tc>
        <w:tc>
          <w:tcPr>
            <w:tcW w:w="1717" w:type="dxa"/>
            <w:tcBorders>
              <w:top w:val="nil"/>
              <w:left w:val="single" w:sz="4" w:space="0" w:color="auto"/>
              <w:bottom w:val="single" w:sz="4" w:space="0" w:color="auto"/>
              <w:right w:val="single" w:sz="4" w:space="0" w:color="auto"/>
            </w:tcBorders>
            <w:shd w:val="clear" w:color="auto" w:fill="006A71"/>
            <w:noWrap/>
            <w:vAlign w:val="bottom"/>
            <w:hideMark/>
          </w:tcPr>
          <w:p w:rsidR="0018407B" w:rsidRPr="00BB6EAD" w:rsidRDefault="0018407B" w:rsidP="00C843E2">
            <w:pPr>
              <w:spacing w:after="0" w:line="240" w:lineRule="auto"/>
              <w:jc w:val="center"/>
              <w:rPr>
                <w:rFonts w:ascii="Calibri" w:eastAsia="Times New Roman" w:hAnsi="Calibri" w:cs="Calibri"/>
                <w:b/>
                <w:bCs/>
                <w:color w:val="FFFFFF" w:themeColor="background1"/>
                <w:sz w:val="20"/>
                <w:lang w:eastAsia="pt-BR"/>
              </w:rPr>
            </w:pPr>
            <w:r w:rsidRPr="00BB6EAD">
              <w:rPr>
                <w:rFonts w:ascii="Calibri" w:eastAsia="Times New Roman" w:hAnsi="Calibri" w:cs="Calibri"/>
                <w:b/>
                <w:bCs/>
                <w:color w:val="FFFFFF" w:themeColor="background1"/>
                <w:sz w:val="20"/>
                <w:lang w:eastAsia="pt-BR"/>
              </w:rPr>
              <w:t>Depreciação</w:t>
            </w:r>
          </w:p>
        </w:tc>
        <w:tc>
          <w:tcPr>
            <w:tcW w:w="1656" w:type="dxa"/>
            <w:tcBorders>
              <w:top w:val="nil"/>
              <w:left w:val="nil"/>
              <w:bottom w:val="single" w:sz="4" w:space="0" w:color="auto"/>
              <w:right w:val="nil"/>
            </w:tcBorders>
            <w:shd w:val="clear" w:color="auto" w:fill="006A71"/>
            <w:noWrap/>
            <w:vAlign w:val="bottom"/>
            <w:hideMark/>
          </w:tcPr>
          <w:p w:rsidR="0018407B" w:rsidRPr="00BB6EAD" w:rsidRDefault="0018407B" w:rsidP="00C843E2">
            <w:pPr>
              <w:spacing w:after="0" w:line="240" w:lineRule="auto"/>
              <w:jc w:val="center"/>
              <w:rPr>
                <w:rFonts w:ascii="Calibri" w:eastAsia="Times New Roman" w:hAnsi="Calibri" w:cs="Calibri"/>
                <w:b/>
                <w:color w:val="FFFFFF" w:themeColor="background1"/>
                <w:sz w:val="20"/>
                <w:lang w:eastAsia="pt-BR"/>
              </w:rPr>
            </w:pPr>
            <w:r w:rsidRPr="00BB6EAD">
              <w:rPr>
                <w:rFonts w:ascii="Calibri" w:eastAsia="Times New Roman" w:hAnsi="Calibri" w:cs="Calibri"/>
                <w:b/>
                <w:color w:val="FFFFFF" w:themeColor="background1"/>
                <w:sz w:val="20"/>
                <w:lang w:eastAsia="pt-BR"/>
              </w:rPr>
              <w:t>Residual</w:t>
            </w:r>
          </w:p>
        </w:tc>
      </w:tr>
      <w:tr w:rsidR="0018407B" w:rsidRPr="00966069" w:rsidTr="00C843E2">
        <w:trPr>
          <w:trHeight w:val="292"/>
        </w:trPr>
        <w:tc>
          <w:tcPr>
            <w:tcW w:w="4972" w:type="dxa"/>
            <w:gridSpan w:val="2"/>
            <w:tcBorders>
              <w:top w:val="single" w:sz="4" w:space="0" w:color="auto"/>
              <w:left w:val="nil"/>
              <w:bottom w:val="single" w:sz="4" w:space="0" w:color="auto"/>
              <w:right w:val="nil"/>
            </w:tcBorders>
            <w:shd w:val="clear" w:color="auto" w:fill="auto"/>
            <w:noWrap/>
            <w:vAlign w:val="bottom"/>
            <w:hideMark/>
          </w:tcPr>
          <w:p w:rsidR="0018407B" w:rsidRPr="00BB6EAD" w:rsidRDefault="0018407B" w:rsidP="00C843E2">
            <w:pPr>
              <w:spacing w:after="0" w:line="240" w:lineRule="auto"/>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Móveis e Utensílios</w:t>
            </w:r>
          </w:p>
        </w:tc>
        <w:tc>
          <w:tcPr>
            <w:tcW w:w="464" w:type="dxa"/>
            <w:tcBorders>
              <w:top w:val="nil"/>
              <w:left w:val="nil"/>
              <w:bottom w:val="single" w:sz="4" w:space="0" w:color="auto"/>
              <w:right w:val="nil"/>
            </w:tcBorders>
            <w:shd w:val="clear" w:color="auto" w:fill="auto"/>
            <w:noWrap/>
            <w:vAlign w:val="bottom"/>
            <w:hideMark/>
          </w:tcPr>
          <w:p w:rsidR="0018407B" w:rsidRPr="00BB6EAD" w:rsidRDefault="0018407B" w:rsidP="00C843E2">
            <w:pPr>
              <w:spacing w:after="0" w:line="240" w:lineRule="auto"/>
              <w:rPr>
                <w:rFonts w:ascii="Calibri" w:eastAsia="Times New Roman" w:hAnsi="Calibri" w:cs="Calibri"/>
                <w:b/>
                <w:bCs/>
                <w:color w:val="000000"/>
                <w:sz w:val="20"/>
                <w:lang w:eastAsia="pt-BR"/>
              </w:rPr>
            </w:pPr>
            <w:r w:rsidRPr="00BB6EAD">
              <w:rPr>
                <w:rFonts w:ascii="Calibri" w:eastAsia="Times New Roman" w:hAnsi="Calibri" w:cs="Calibri"/>
                <w:b/>
                <w:bCs/>
                <w:color w:val="000000"/>
                <w:sz w:val="20"/>
                <w:lang w:eastAsia="pt-BR"/>
              </w:rPr>
              <w:t> </w:t>
            </w:r>
          </w:p>
        </w:tc>
        <w:tc>
          <w:tcPr>
            <w:tcW w:w="465" w:type="dxa"/>
            <w:tcBorders>
              <w:top w:val="nil"/>
              <w:left w:val="nil"/>
              <w:bottom w:val="single" w:sz="4" w:space="0" w:color="auto"/>
              <w:right w:val="nil"/>
            </w:tcBorders>
            <w:shd w:val="clear" w:color="auto" w:fill="auto"/>
            <w:noWrap/>
            <w:vAlign w:val="bottom"/>
            <w:hideMark/>
          </w:tcPr>
          <w:p w:rsidR="0018407B" w:rsidRPr="00BB6EAD" w:rsidRDefault="0018407B" w:rsidP="00C843E2">
            <w:pPr>
              <w:spacing w:after="0" w:line="240" w:lineRule="auto"/>
              <w:rPr>
                <w:rFonts w:ascii="Calibri" w:eastAsia="Times New Roman" w:hAnsi="Calibri" w:cs="Calibri"/>
                <w:b/>
                <w:bCs/>
                <w:color w:val="000000"/>
                <w:sz w:val="20"/>
                <w:lang w:eastAsia="pt-BR"/>
              </w:rPr>
            </w:pPr>
            <w:r w:rsidRPr="00BB6EAD">
              <w:rPr>
                <w:rFonts w:ascii="Calibri" w:eastAsia="Times New Roman" w:hAnsi="Calibri" w:cs="Calibri"/>
                <w:b/>
                <w:bCs/>
                <w:color w:val="000000"/>
                <w:sz w:val="20"/>
                <w:lang w:eastAsia="pt-BR"/>
              </w:rPr>
              <w:t> </w:t>
            </w:r>
          </w:p>
        </w:tc>
        <w:tc>
          <w:tcPr>
            <w:tcW w:w="1717" w:type="dxa"/>
            <w:tcBorders>
              <w:top w:val="nil"/>
              <w:left w:val="single" w:sz="4" w:space="0" w:color="auto"/>
              <w:bottom w:val="single" w:sz="4" w:space="0" w:color="auto"/>
              <w:right w:val="single" w:sz="4" w:space="0" w:color="auto"/>
            </w:tcBorders>
            <w:shd w:val="clear" w:color="auto" w:fill="auto"/>
            <w:noWrap/>
            <w:vAlign w:val="bottom"/>
            <w:hideMark/>
          </w:tcPr>
          <w:p w:rsidR="0018407B" w:rsidRPr="00BB6EAD" w:rsidRDefault="0018407B" w:rsidP="00C843E2">
            <w:pPr>
              <w:spacing w:after="0" w:line="240" w:lineRule="auto"/>
              <w:jc w:val="center"/>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10%</w:t>
            </w:r>
          </w:p>
        </w:tc>
        <w:tc>
          <w:tcPr>
            <w:tcW w:w="1656" w:type="dxa"/>
            <w:tcBorders>
              <w:top w:val="nil"/>
              <w:left w:val="nil"/>
              <w:bottom w:val="single" w:sz="4" w:space="0" w:color="auto"/>
              <w:right w:val="nil"/>
            </w:tcBorders>
            <w:shd w:val="clear" w:color="auto" w:fill="auto"/>
            <w:noWrap/>
            <w:vAlign w:val="bottom"/>
            <w:hideMark/>
          </w:tcPr>
          <w:p w:rsidR="0018407B" w:rsidRPr="00BB6EAD" w:rsidRDefault="0018407B" w:rsidP="00C843E2">
            <w:pPr>
              <w:spacing w:after="0" w:line="240" w:lineRule="auto"/>
              <w:jc w:val="center"/>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10%</w:t>
            </w:r>
          </w:p>
        </w:tc>
      </w:tr>
      <w:tr w:rsidR="0018407B" w:rsidRPr="00966069" w:rsidTr="00C843E2">
        <w:trPr>
          <w:trHeight w:val="292"/>
        </w:trPr>
        <w:tc>
          <w:tcPr>
            <w:tcW w:w="5436" w:type="dxa"/>
            <w:gridSpan w:val="3"/>
            <w:tcBorders>
              <w:top w:val="nil"/>
              <w:left w:val="nil"/>
              <w:bottom w:val="single" w:sz="4" w:space="0" w:color="auto"/>
              <w:right w:val="nil"/>
            </w:tcBorders>
            <w:shd w:val="clear" w:color="auto" w:fill="auto"/>
            <w:noWrap/>
            <w:vAlign w:val="bottom"/>
            <w:hideMark/>
          </w:tcPr>
          <w:p w:rsidR="0018407B" w:rsidRPr="00BB6EAD" w:rsidRDefault="0018407B" w:rsidP="00C843E2">
            <w:pPr>
              <w:spacing w:after="0" w:line="240" w:lineRule="auto"/>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Máquinas e Equipamentos</w:t>
            </w:r>
          </w:p>
        </w:tc>
        <w:tc>
          <w:tcPr>
            <w:tcW w:w="465" w:type="dxa"/>
            <w:tcBorders>
              <w:top w:val="nil"/>
              <w:left w:val="nil"/>
              <w:bottom w:val="single" w:sz="4" w:space="0" w:color="auto"/>
              <w:right w:val="nil"/>
            </w:tcBorders>
            <w:shd w:val="clear" w:color="auto" w:fill="auto"/>
            <w:noWrap/>
            <w:vAlign w:val="bottom"/>
            <w:hideMark/>
          </w:tcPr>
          <w:p w:rsidR="0018407B" w:rsidRPr="00BB6EAD" w:rsidRDefault="0018407B" w:rsidP="00C843E2">
            <w:pPr>
              <w:spacing w:after="0" w:line="240" w:lineRule="auto"/>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 </w:t>
            </w:r>
          </w:p>
        </w:tc>
        <w:tc>
          <w:tcPr>
            <w:tcW w:w="1717" w:type="dxa"/>
            <w:tcBorders>
              <w:top w:val="nil"/>
              <w:left w:val="single" w:sz="4" w:space="0" w:color="auto"/>
              <w:bottom w:val="single" w:sz="4" w:space="0" w:color="auto"/>
              <w:right w:val="single" w:sz="4" w:space="0" w:color="auto"/>
            </w:tcBorders>
            <w:shd w:val="clear" w:color="auto" w:fill="auto"/>
            <w:noWrap/>
            <w:vAlign w:val="bottom"/>
            <w:hideMark/>
          </w:tcPr>
          <w:p w:rsidR="0018407B" w:rsidRPr="00BB6EAD" w:rsidRDefault="0018407B" w:rsidP="00C843E2">
            <w:pPr>
              <w:spacing w:after="0" w:line="240" w:lineRule="auto"/>
              <w:jc w:val="center"/>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20%</w:t>
            </w:r>
          </w:p>
        </w:tc>
        <w:tc>
          <w:tcPr>
            <w:tcW w:w="1656" w:type="dxa"/>
            <w:tcBorders>
              <w:top w:val="nil"/>
              <w:left w:val="nil"/>
              <w:bottom w:val="single" w:sz="4" w:space="0" w:color="auto"/>
              <w:right w:val="nil"/>
            </w:tcBorders>
            <w:shd w:val="clear" w:color="auto" w:fill="auto"/>
            <w:noWrap/>
            <w:vAlign w:val="bottom"/>
            <w:hideMark/>
          </w:tcPr>
          <w:p w:rsidR="0018407B" w:rsidRPr="00BB6EAD" w:rsidRDefault="0018407B" w:rsidP="00C843E2">
            <w:pPr>
              <w:spacing w:after="0" w:line="240" w:lineRule="auto"/>
              <w:jc w:val="center"/>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10%</w:t>
            </w:r>
          </w:p>
        </w:tc>
      </w:tr>
      <w:tr w:rsidR="0018407B" w:rsidRPr="00966069" w:rsidTr="00C843E2">
        <w:trPr>
          <w:trHeight w:val="292"/>
        </w:trPr>
        <w:tc>
          <w:tcPr>
            <w:tcW w:w="4972" w:type="dxa"/>
            <w:gridSpan w:val="2"/>
            <w:tcBorders>
              <w:top w:val="single" w:sz="4" w:space="0" w:color="auto"/>
              <w:left w:val="nil"/>
              <w:bottom w:val="single" w:sz="4" w:space="0" w:color="auto"/>
              <w:right w:val="nil"/>
            </w:tcBorders>
            <w:shd w:val="clear" w:color="auto" w:fill="auto"/>
            <w:noWrap/>
            <w:vAlign w:val="bottom"/>
            <w:hideMark/>
          </w:tcPr>
          <w:p w:rsidR="0018407B" w:rsidRPr="00BB6EAD" w:rsidRDefault="0018407B" w:rsidP="00C843E2">
            <w:pPr>
              <w:spacing w:after="0" w:line="240" w:lineRule="auto"/>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Instalações</w:t>
            </w:r>
          </w:p>
        </w:tc>
        <w:tc>
          <w:tcPr>
            <w:tcW w:w="464" w:type="dxa"/>
            <w:tcBorders>
              <w:top w:val="nil"/>
              <w:left w:val="nil"/>
              <w:bottom w:val="single" w:sz="4" w:space="0" w:color="auto"/>
              <w:right w:val="nil"/>
            </w:tcBorders>
            <w:shd w:val="clear" w:color="auto" w:fill="auto"/>
            <w:noWrap/>
            <w:vAlign w:val="bottom"/>
            <w:hideMark/>
          </w:tcPr>
          <w:p w:rsidR="0018407B" w:rsidRPr="00BB6EAD" w:rsidRDefault="0018407B" w:rsidP="00C843E2">
            <w:pPr>
              <w:spacing w:after="0" w:line="240" w:lineRule="auto"/>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 </w:t>
            </w:r>
          </w:p>
        </w:tc>
        <w:tc>
          <w:tcPr>
            <w:tcW w:w="465" w:type="dxa"/>
            <w:tcBorders>
              <w:top w:val="nil"/>
              <w:left w:val="nil"/>
              <w:bottom w:val="single" w:sz="4" w:space="0" w:color="auto"/>
              <w:right w:val="nil"/>
            </w:tcBorders>
            <w:shd w:val="clear" w:color="auto" w:fill="auto"/>
            <w:noWrap/>
            <w:vAlign w:val="bottom"/>
            <w:hideMark/>
          </w:tcPr>
          <w:p w:rsidR="0018407B" w:rsidRPr="00BB6EAD" w:rsidRDefault="0018407B" w:rsidP="00C843E2">
            <w:pPr>
              <w:spacing w:after="0" w:line="240" w:lineRule="auto"/>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 </w:t>
            </w:r>
          </w:p>
        </w:tc>
        <w:tc>
          <w:tcPr>
            <w:tcW w:w="1717" w:type="dxa"/>
            <w:tcBorders>
              <w:top w:val="nil"/>
              <w:left w:val="single" w:sz="4" w:space="0" w:color="auto"/>
              <w:bottom w:val="single" w:sz="4" w:space="0" w:color="auto"/>
              <w:right w:val="single" w:sz="4" w:space="0" w:color="auto"/>
            </w:tcBorders>
            <w:shd w:val="clear" w:color="auto" w:fill="auto"/>
            <w:noWrap/>
            <w:vAlign w:val="bottom"/>
            <w:hideMark/>
          </w:tcPr>
          <w:p w:rsidR="0018407B" w:rsidRPr="00BB6EAD" w:rsidRDefault="0018407B" w:rsidP="00C843E2">
            <w:pPr>
              <w:spacing w:after="0" w:line="240" w:lineRule="auto"/>
              <w:jc w:val="center"/>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10%</w:t>
            </w:r>
          </w:p>
        </w:tc>
        <w:tc>
          <w:tcPr>
            <w:tcW w:w="1656" w:type="dxa"/>
            <w:tcBorders>
              <w:top w:val="nil"/>
              <w:left w:val="nil"/>
              <w:bottom w:val="single" w:sz="4" w:space="0" w:color="auto"/>
              <w:right w:val="nil"/>
            </w:tcBorders>
            <w:shd w:val="clear" w:color="auto" w:fill="auto"/>
            <w:noWrap/>
            <w:vAlign w:val="bottom"/>
            <w:hideMark/>
          </w:tcPr>
          <w:p w:rsidR="0018407B" w:rsidRPr="00BB6EAD" w:rsidRDefault="0018407B" w:rsidP="00C843E2">
            <w:pPr>
              <w:spacing w:after="0" w:line="240" w:lineRule="auto"/>
              <w:jc w:val="center"/>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10%</w:t>
            </w:r>
          </w:p>
        </w:tc>
      </w:tr>
      <w:tr w:rsidR="0018407B" w:rsidRPr="00966069" w:rsidTr="00C843E2">
        <w:trPr>
          <w:trHeight w:val="292"/>
        </w:trPr>
        <w:tc>
          <w:tcPr>
            <w:tcW w:w="5436" w:type="dxa"/>
            <w:gridSpan w:val="3"/>
            <w:tcBorders>
              <w:top w:val="single" w:sz="4" w:space="0" w:color="auto"/>
              <w:left w:val="nil"/>
              <w:bottom w:val="single" w:sz="4" w:space="0" w:color="auto"/>
              <w:right w:val="nil"/>
            </w:tcBorders>
            <w:shd w:val="clear" w:color="auto" w:fill="auto"/>
            <w:noWrap/>
            <w:vAlign w:val="bottom"/>
            <w:hideMark/>
          </w:tcPr>
          <w:p w:rsidR="0018407B" w:rsidRPr="00BB6EAD" w:rsidRDefault="0018407B" w:rsidP="00C843E2">
            <w:pPr>
              <w:spacing w:after="0" w:line="240" w:lineRule="auto"/>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Utensílios de Copa e Cozinha</w:t>
            </w:r>
          </w:p>
        </w:tc>
        <w:tc>
          <w:tcPr>
            <w:tcW w:w="465" w:type="dxa"/>
            <w:tcBorders>
              <w:top w:val="nil"/>
              <w:left w:val="nil"/>
              <w:bottom w:val="single" w:sz="4" w:space="0" w:color="auto"/>
              <w:right w:val="nil"/>
            </w:tcBorders>
            <w:shd w:val="clear" w:color="auto" w:fill="auto"/>
            <w:noWrap/>
            <w:vAlign w:val="bottom"/>
            <w:hideMark/>
          </w:tcPr>
          <w:p w:rsidR="0018407B" w:rsidRPr="00BB6EAD" w:rsidRDefault="0018407B" w:rsidP="00C843E2">
            <w:pPr>
              <w:spacing w:after="0" w:line="240" w:lineRule="auto"/>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 </w:t>
            </w:r>
          </w:p>
        </w:tc>
        <w:tc>
          <w:tcPr>
            <w:tcW w:w="1717" w:type="dxa"/>
            <w:tcBorders>
              <w:top w:val="nil"/>
              <w:left w:val="single" w:sz="4" w:space="0" w:color="auto"/>
              <w:bottom w:val="single" w:sz="4" w:space="0" w:color="auto"/>
              <w:right w:val="single" w:sz="4" w:space="0" w:color="auto"/>
            </w:tcBorders>
            <w:shd w:val="clear" w:color="auto" w:fill="auto"/>
            <w:noWrap/>
            <w:vAlign w:val="bottom"/>
            <w:hideMark/>
          </w:tcPr>
          <w:p w:rsidR="0018407B" w:rsidRPr="00BB6EAD" w:rsidRDefault="0018407B" w:rsidP="00C843E2">
            <w:pPr>
              <w:spacing w:after="0" w:line="240" w:lineRule="auto"/>
              <w:jc w:val="center"/>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20%</w:t>
            </w:r>
          </w:p>
        </w:tc>
        <w:tc>
          <w:tcPr>
            <w:tcW w:w="1656" w:type="dxa"/>
            <w:tcBorders>
              <w:top w:val="nil"/>
              <w:left w:val="nil"/>
              <w:bottom w:val="single" w:sz="4" w:space="0" w:color="auto"/>
              <w:right w:val="nil"/>
            </w:tcBorders>
            <w:shd w:val="clear" w:color="auto" w:fill="auto"/>
            <w:noWrap/>
            <w:vAlign w:val="bottom"/>
            <w:hideMark/>
          </w:tcPr>
          <w:p w:rsidR="0018407B" w:rsidRPr="00BB6EAD" w:rsidRDefault="0018407B" w:rsidP="00C843E2">
            <w:pPr>
              <w:spacing w:after="0" w:line="240" w:lineRule="auto"/>
              <w:jc w:val="center"/>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10%</w:t>
            </w:r>
          </w:p>
        </w:tc>
      </w:tr>
      <w:tr w:rsidR="0018407B" w:rsidRPr="00966069" w:rsidTr="00C843E2">
        <w:trPr>
          <w:trHeight w:val="292"/>
        </w:trPr>
        <w:tc>
          <w:tcPr>
            <w:tcW w:w="4508" w:type="dxa"/>
            <w:tcBorders>
              <w:top w:val="nil"/>
              <w:left w:val="nil"/>
              <w:bottom w:val="single" w:sz="4" w:space="0" w:color="auto"/>
              <w:right w:val="nil"/>
            </w:tcBorders>
            <w:shd w:val="clear" w:color="auto" w:fill="auto"/>
            <w:noWrap/>
            <w:vAlign w:val="bottom"/>
            <w:hideMark/>
          </w:tcPr>
          <w:p w:rsidR="0018407B" w:rsidRPr="00BB6EAD" w:rsidRDefault="0018407B" w:rsidP="00C843E2">
            <w:pPr>
              <w:spacing w:after="0" w:line="240" w:lineRule="auto"/>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Veículos</w:t>
            </w:r>
          </w:p>
        </w:tc>
        <w:tc>
          <w:tcPr>
            <w:tcW w:w="464" w:type="dxa"/>
            <w:tcBorders>
              <w:top w:val="nil"/>
              <w:left w:val="nil"/>
              <w:bottom w:val="single" w:sz="4" w:space="0" w:color="auto"/>
              <w:right w:val="nil"/>
            </w:tcBorders>
            <w:shd w:val="clear" w:color="auto" w:fill="auto"/>
            <w:noWrap/>
            <w:vAlign w:val="bottom"/>
            <w:hideMark/>
          </w:tcPr>
          <w:p w:rsidR="0018407B" w:rsidRPr="00BB6EAD" w:rsidRDefault="0018407B" w:rsidP="00C843E2">
            <w:pPr>
              <w:spacing w:after="0" w:line="240" w:lineRule="auto"/>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 </w:t>
            </w:r>
          </w:p>
        </w:tc>
        <w:tc>
          <w:tcPr>
            <w:tcW w:w="464" w:type="dxa"/>
            <w:tcBorders>
              <w:top w:val="nil"/>
              <w:left w:val="nil"/>
              <w:bottom w:val="single" w:sz="4" w:space="0" w:color="auto"/>
              <w:right w:val="nil"/>
            </w:tcBorders>
            <w:shd w:val="clear" w:color="auto" w:fill="auto"/>
            <w:noWrap/>
            <w:vAlign w:val="bottom"/>
            <w:hideMark/>
          </w:tcPr>
          <w:p w:rsidR="0018407B" w:rsidRPr="00BB6EAD" w:rsidRDefault="0018407B" w:rsidP="00C843E2">
            <w:pPr>
              <w:spacing w:after="0" w:line="240" w:lineRule="auto"/>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 </w:t>
            </w:r>
          </w:p>
        </w:tc>
        <w:tc>
          <w:tcPr>
            <w:tcW w:w="465" w:type="dxa"/>
            <w:tcBorders>
              <w:top w:val="nil"/>
              <w:left w:val="nil"/>
              <w:bottom w:val="single" w:sz="4" w:space="0" w:color="auto"/>
              <w:right w:val="nil"/>
            </w:tcBorders>
            <w:shd w:val="clear" w:color="auto" w:fill="auto"/>
            <w:noWrap/>
            <w:vAlign w:val="bottom"/>
            <w:hideMark/>
          </w:tcPr>
          <w:p w:rsidR="0018407B" w:rsidRPr="00BB6EAD" w:rsidRDefault="0018407B" w:rsidP="00C843E2">
            <w:pPr>
              <w:spacing w:after="0" w:line="240" w:lineRule="auto"/>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 </w:t>
            </w:r>
          </w:p>
        </w:tc>
        <w:tc>
          <w:tcPr>
            <w:tcW w:w="1717" w:type="dxa"/>
            <w:tcBorders>
              <w:top w:val="nil"/>
              <w:left w:val="single" w:sz="4" w:space="0" w:color="auto"/>
              <w:bottom w:val="single" w:sz="4" w:space="0" w:color="auto"/>
              <w:right w:val="single" w:sz="4" w:space="0" w:color="auto"/>
            </w:tcBorders>
            <w:shd w:val="clear" w:color="auto" w:fill="auto"/>
            <w:noWrap/>
            <w:vAlign w:val="bottom"/>
            <w:hideMark/>
          </w:tcPr>
          <w:p w:rsidR="0018407B" w:rsidRPr="00BB6EAD" w:rsidRDefault="0018407B" w:rsidP="00C843E2">
            <w:pPr>
              <w:spacing w:after="0" w:line="240" w:lineRule="auto"/>
              <w:jc w:val="center"/>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12,50%</w:t>
            </w:r>
          </w:p>
        </w:tc>
        <w:tc>
          <w:tcPr>
            <w:tcW w:w="1656" w:type="dxa"/>
            <w:tcBorders>
              <w:top w:val="nil"/>
              <w:left w:val="nil"/>
              <w:bottom w:val="single" w:sz="4" w:space="0" w:color="auto"/>
              <w:right w:val="nil"/>
            </w:tcBorders>
            <w:shd w:val="clear" w:color="auto" w:fill="auto"/>
            <w:noWrap/>
            <w:vAlign w:val="bottom"/>
            <w:hideMark/>
          </w:tcPr>
          <w:p w:rsidR="0018407B" w:rsidRPr="00BB6EAD" w:rsidRDefault="0018407B" w:rsidP="00C843E2">
            <w:pPr>
              <w:spacing w:after="0" w:line="240" w:lineRule="auto"/>
              <w:jc w:val="center"/>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10%</w:t>
            </w:r>
          </w:p>
        </w:tc>
      </w:tr>
      <w:tr w:rsidR="0018407B" w:rsidRPr="00966069" w:rsidTr="00C843E2">
        <w:trPr>
          <w:trHeight w:val="292"/>
        </w:trPr>
        <w:tc>
          <w:tcPr>
            <w:tcW w:w="5901" w:type="dxa"/>
            <w:gridSpan w:val="4"/>
            <w:tcBorders>
              <w:top w:val="single" w:sz="4" w:space="0" w:color="auto"/>
              <w:left w:val="nil"/>
              <w:bottom w:val="single" w:sz="4" w:space="0" w:color="auto"/>
              <w:right w:val="nil"/>
            </w:tcBorders>
            <w:shd w:val="clear" w:color="auto" w:fill="auto"/>
            <w:noWrap/>
            <w:vAlign w:val="bottom"/>
            <w:hideMark/>
          </w:tcPr>
          <w:p w:rsidR="0018407B" w:rsidRPr="00BB6EAD" w:rsidRDefault="0018407B" w:rsidP="00C843E2">
            <w:pPr>
              <w:spacing w:after="0" w:line="240" w:lineRule="auto"/>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Equipamentos de Processamento de Dados</w:t>
            </w:r>
          </w:p>
        </w:tc>
        <w:tc>
          <w:tcPr>
            <w:tcW w:w="1717" w:type="dxa"/>
            <w:tcBorders>
              <w:top w:val="nil"/>
              <w:left w:val="single" w:sz="4" w:space="0" w:color="auto"/>
              <w:bottom w:val="single" w:sz="4" w:space="0" w:color="auto"/>
              <w:right w:val="single" w:sz="4" w:space="0" w:color="auto"/>
            </w:tcBorders>
            <w:shd w:val="clear" w:color="auto" w:fill="auto"/>
            <w:noWrap/>
            <w:vAlign w:val="bottom"/>
            <w:hideMark/>
          </w:tcPr>
          <w:p w:rsidR="0018407B" w:rsidRPr="00BB6EAD" w:rsidRDefault="0018407B" w:rsidP="00C843E2">
            <w:pPr>
              <w:spacing w:after="0" w:line="240" w:lineRule="auto"/>
              <w:jc w:val="center"/>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20%</w:t>
            </w:r>
          </w:p>
        </w:tc>
        <w:tc>
          <w:tcPr>
            <w:tcW w:w="1656" w:type="dxa"/>
            <w:tcBorders>
              <w:top w:val="nil"/>
              <w:left w:val="nil"/>
              <w:bottom w:val="single" w:sz="4" w:space="0" w:color="auto"/>
              <w:right w:val="nil"/>
            </w:tcBorders>
            <w:shd w:val="clear" w:color="auto" w:fill="auto"/>
            <w:noWrap/>
            <w:vAlign w:val="bottom"/>
            <w:hideMark/>
          </w:tcPr>
          <w:p w:rsidR="0018407B" w:rsidRPr="00BB6EAD" w:rsidRDefault="0018407B" w:rsidP="00C843E2">
            <w:pPr>
              <w:spacing w:after="0" w:line="240" w:lineRule="auto"/>
              <w:jc w:val="center"/>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10%</w:t>
            </w:r>
          </w:p>
        </w:tc>
      </w:tr>
      <w:tr w:rsidR="0018407B" w:rsidRPr="00966069" w:rsidTr="00C843E2">
        <w:trPr>
          <w:trHeight w:val="292"/>
        </w:trPr>
        <w:tc>
          <w:tcPr>
            <w:tcW w:w="4972" w:type="dxa"/>
            <w:gridSpan w:val="2"/>
            <w:tcBorders>
              <w:top w:val="single" w:sz="4" w:space="0" w:color="auto"/>
              <w:left w:val="nil"/>
              <w:bottom w:val="single" w:sz="4" w:space="0" w:color="auto"/>
              <w:right w:val="nil"/>
            </w:tcBorders>
            <w:shd w:val="clear" w:color="auto" w:fill="auto"/>
            <w:noWrap/>
            <w:vAlign w:val="bottom"/>
            <w:hideMark/>
          </w:tcPr>
          <w:p w:rsidR="0018407B" w:rsidRPr="00BB6EAD" w:rsidRDefault="0018407B" w:rsidP="00C843E2">
            <w:pPr>
              <w:spacing w:after="0" w:line="240" w:lineRule="auto"/>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Biblioteca</w:t>
            </w:r>
          </w:p>
        </w:tc>
        <w:tc>
          <w:tcPr>
            <w:tcW w:w="464" w:type="dxa"/>
            <w:tcBorders>
              <w:top w:val="nil"/>
              <w:left w:val="nil"/>
              <w:bottom w:val="single" w:sz="4" w:space="0" w:color="auto"/>
              <w:right w:val="nil"/>
            </w:tcBorders>
            <w:shd w:val="clear" w:color="auto" w:fill="auto"/>
            <w:noWrap/>
            <w:vAlign w:val="bottom"/>
            <w:hideMark/>
          </w:tcPr>
          <w:p w:rsidR="0018407B" w:rsidRPr="00BB6EAD" w:rsidRDefault="0018407B" w:rsidP="00C843E2">
            <w:pPr>
              <w:spacing w:after="0" w:line="240" w:lineRule="auto"/>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 </w:t>
            </w:r>
          </w:p>
        </w:tc>
        <w:tc>
          <w:tcPr>
            <w:tcW w:w="465" w:type="dxa"/>
            <w:tcBorders>
              <w:top w:val="nil"/>
              <w:left w:val="nil"/>
              <w:bottom w:val="single" w:sz="4" w:space="0" w:color="auto"/>
              <w:right w:val="nil"/>
            </w:tcBorders>
            <w:shd w:val="clear" w:color="auto" w:fill="auto"/>
            <w:noWrap/>
            <w:vAlign w:val="bottom"/>
            <w:hideMark/>
          </w:tcPr>
          <w:p w:rsidR="0018407B" w:rsidRPr="00BB6EAD" w:rsidRDefault="0018407B" w:rsidP="00C843E2">
            <w:pPr>
              <w:spacing w:after="0" w:line="240" w:lineRule="auto"/>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 </w:t>
            </w:r>
          </w:p>
        </w:tc>
        <w:tc>
          <w:tcPr>
            <w:tcW w:w="1717" w:type="dxa"/>
            <w:tcBorders>
              <w:top w:val="nil"/>
              <w:left w:val="single" w:sz="4" w:space="0" w:color="auto"/>
              <w:bottom w:val="single" w:sz="4" w:space="0" w:color="auto"/>
              <w:right w:val="single" w:sz="4" w:space="0" w:color="auto"/>
            </w:tcBorders>
            <w:shd w:val="clear" w:color="auto" w:fill="auto"/>
            <w:noWrap/>
            <w:vAlign w:val="bottom"/>
            <w:hideMark/>
          </w:tcPr>
          <w:p w:rsidR="0018407B" w:rsidRPr="00BB6EAD" w:rsidRDefault="0018407B" w:rsidP="00C843E2">
            <w:pPr>
              <w:spacing w:after="0" w:line="240" w:lineRule="auto"/>
              <w:jc w:val="center"/>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10%</w:t>
            </w:r>
          </w:p>
        </w:tc>
        <w:tc>
          <w:tcPr>
            <w:tcW w:w="1656" w:type="dxa"/>
            <w:tcBorders>
              <w:top w:val="nil"/>
              <w:left w:val="nil"/>
              <w:bottom w:val="single" w:sz="4" w:space="0" w:color="auto"/>
              <w:right w:val="nil"/>
            </w:tcBorders>
            <w:shd w:val="clear" w:color="auto" w:fill="auto"/>
            <w:noWrap/>
            <w:vAlign w:val="bottom"/>
            <w:hideMark/>
          </w:tcPr>
          <w:p w:rsidR="0018407B" w:rsidRPr="00BB6EAD" w:rsidRDefault="0018407B" w:rsidP="00C843E2">
            <w:pPr>
              <w:spacing w:after="0" w:line="240" w:lineRule="auto"/>
              <w:jc w:val="center"/>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 xml:space="preserve"> - </w:t>
            </w:r>
          </w:p>
        </w:tc>
      </w:tr>
      <w:tr w:rsidR="0018407B" w:rsidRPr="00966069" w:rsidTr="00C843E2">
        <w:trPr>
          <w:trHeight w:val="292"/>
        </w:trPr>
        <w:tc>
          <w:tcPr>
            <w:tcW w:w="5901" w:type="dxa"/>
            <w:gridSpan w:val="4"/>
            <w:tcBorders>
              <w:top w:val="single" w:sz="4" w:space="0" w:color="auto"/>
              <w:left w:val="nil"/>
              <w:bottom w:val="single" w:sz="4" w:space="0" w:color="auto"/>
              <w:right w:val="nil"/>
            </w:tcBorders>
            <w:shd w:val="clear" w:color="auto" w:fill="auto"/>
            <w:noWrap/>
            <w:vAlign w:val="bottom"/>
            <w:hideMark/>
          </w:tcPr>
          <w:p w:rsidR="0018407B" w:rsidRPr="00BB6EAD" w:rsidRDefault="0018407B" w:rsidP="00C843E2">
            <w:pPr>
              <w:spacing w:after="0" w:line="240" w:lineRule="auto"/>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Sistemas de Informática -Softwares</w:t>
            </w:r>
          </w:p>
        </w:tc>
        <w:tc>
          <w:tcPr>
            <w:tcW w:w="1717" w:type="dxa"/>
            <w:tcBorders>
              <w:top w:val="nil"/>
              <w:left w:val="single" w:sz="4" w:space="0" w:color="auto"/>
              <w:bottom w:val="single" w:sz="4" w:space="0" w:color="auto"/>
              <w:right w:val="single" w:sz="4" w:space="0" w:color="auto"/>
            </w:tcBorders>
            <w:shd w:val="clear" w:color="auto" w:fill="auto"/>
            <w:noWrap/>
            <w:vAlign w:val="bottom"/>
            <w:hideMark/>
          </w:tcPr>
          <w:p w:rsidR="0018407B" w:rsidRPr="00BB6EAD" w:rsidRDefault="0018407B" w:rsidP="00C843E2">
            <w:pPr>
              <w:spacing w:after="0" w:line="240" w:lineRule="auto"/>
              <w:jc w:val="center"/>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10%</w:t>
            </w:r>
          </w:p>
        </w:tc>
        <w:tc>
          <w:tcPr>
            <w:tcW w:w="1656" w:type="dxa"/>
            <w:tcBorders>
              <w:top w:val="nil"/>
              <w:left w:val="nil"/>
              <w:bottom w:val="single" w:sz="4" w:space="0" w:color="auto"/>
              <w:right w:val="nil"/>
            </w:tcBorders>
            <w:shd w:val="clear" w:color="auto" w:fill="auto"/>
            <w:noWrap/>
            <w:vAlign w:val="bottom"/>
            <w:hideMark/>
          </w:tcPr>
          <w:p w:rsidR="0018407B" w:rsidRPr="00BB6EAD" w:rsidRDefault="0018407B" w:rsidP="00C843E2">
            <w:pPr>
              <w:spacing w:after="0" w:line="240" w:lineRule="auto"/>
              <w:jc w:val="center"/>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10%</w:t>
            </w:r>
          </w:p>
        </w:tc>
      </w:tr>
    </w:tbl>
    <w:p w:rsidR="0018407B" w:rsidRPr="00AF2928" w:rsidRDefault="0018407B" w:rsidP="0018407B">
      <w:pPr>
        <w:widowControl w:val="0"/>
        <w:spacing w:line="228" w:lineRule="auto"/>
        <w:jc w:val="both"/>
        <w:rPr>
          <w:rFonts w:ascii="Trebuchet MS" w:hAnsi="Trebuchet MS" w:cs="Arial"/>
          <w:bCs/>
          <w:color w:val="000000"/>
        </w:rPr>
      </w:pPr>
      <w:r w:rsidRPr="00AF2928">
        <w:rPr>
          <w:rFonts w:ascii="Trebuchet MS" w:hAnsi="Trebuchet MS" w:cs="Arial"/>
          <w:bCs/>
          <w:color w:val="000000"/>
        </w:rPr>
        <w:t xml:space="preserve"> </w:t>
      </w:r>
    </w:p>
    <w:p w:rsidR="0018407B" w:rsidRPr="00753E89" w:rsidRDefault="0018407B" w:rsidP="0018407B">
      <w:pPr>
        <w:widowControl w:val="0"/>
        <w:spacing w:line="228" w:lineRule="auto"/>
        <w:jc w:val="both"/>
        <w:rPr>
          <w:rFonts w:ascii="Times New Roman" w:hAnsi="Times New Roman" w:cs="Times New Roman"/>
          <w:bCs/>
          <w:color w:val="000000"/>
          <w:sz w:val="24"/>
          <w:szCs w:val="24"/>
        </w:rPr>
      </w:pPr>
      <w:bookmarkStart w:id="0" w:name="_MON_1611562707"/>
      <w:bookmarkEnd w:id="0"/>
      <w:r w:rsidRPr="00753E89">
        <w:rPr>
          <w:rFonts w:ascii="Times New Roman" w:hAnsi="Times New Roman" w:cs="Times New Roman"/>
          <w:bCs/>
          <w:color w:val="000000"/>
          <w:sz w:val="24"/>
          <w:szCs w:val="24"/>
        </w:rPr>
        <w:t>Os ganhos e as perdas em alienações, sempre que aplicável, são apurados comparando-se o valor da venda com o valor residual contábil e são reconhecidos na execução orçamentária.</w:t>
      </w:r>
    </w:p>
    <w:p w:rsidR="0018407B" w:rsidRPr="00C93132" w:rsidRDefault="0018407B" w:rsidP="0018407B">
      <w:pPr>
        <w:tabs>
          <w:tab w:val="left" w:pos="993"/>
        </w:tabs>
        <w:autoSpaceDE w:val="0"/>
        <w:autoSpaceDN w:val="0"/>
        <w:adjustRightInd w:val="0"/>
        <w:spacing w:line="228" w:lineRule="auto"/>
        <w:rPr>
          <w:rFonts w:ascii="Times New Roman" w:hAnsi="Times New Roman" w:cs="Times New Roman"/>
          <w:b/>
          <w:bCs/>
          <w:color w:val="000000"/>
          <w:sz w:val="24"/>
          <w:szCs w:val="24"/>
        </w:rPr>
      </w:pPr>
      <w:r w:rsidRPr="00C93132">
        <w:rPr>
          <w:rFonts w:ascii="Times New Roman" w:hAnsi="Times New Roman" w:cs="Times New Roman"/>
          <w:b/>
          <w:bCs/>
          <w:color w:val="000000"/>
          <w:sz w:val="24"/>
          <w:szCs w:val="24"/>
        </w:rPr>
        <w:t xml:space="preserve">3.4. Provisões para perdas por </w:t>
      </w:r>
      <w:proofErr w:type="spellStart"/>
      <w:r w:rsidRPr="00C93132">
        <w:rPr>
          <w:rFonts w:ascii="Times New Roman" w:hAnsi="Times New Roman" w:cs="Times New Roman"/>
          <w:b/>
          <w:bCs/>
          <w:i/>
          <w:color w:val="000000"/>
          <w:sz w:val="24"/>
          <w:szCs w:val="24"/>
        </w:rPr>
        <w:t>impairment</w:t>
      </w:r>
      <w:proofErr w:type="spellEnd"/>
      <w:r w:rsidRPr="00C93132">
        <w:rPr>
          <w:rFonts w:ascii="Times New Roman" w:hAnsi="Times New Roman" w:cs="Times New Roman"/>
          <w:b/>
          <w:bCs/>
          <w:color w:val="000000"/>
          <w:sz w:val="24"/>
          <w:szCs w:val="24"/>
        </w:rPr>
        <w:t xml:space="preserve"> em ativos não financeiros</w:t>
      </w:r>
    </w:p>
    <w:p w:rsidR="0018407B" w:rsidRPr="00753E89" w:rsidRDefault="0018407B" w:rsidP="0018407B">
      <w:pPr>
        <w:widowControl w:val="0"/>
        <w:spacing w:line="228" w:lineRule="auto"/>
        <w:jc w:val="both"/>
        <w:rPr>
          <w:rFonts w:ascii="Times New Roman" w:hAnsi="Times New Roman" w:cs="Times New Roman"/>
          <w:color w:val="000000"/>
          <w:sz w:val="24"/>
          <w:szCs w:val="24"/>
        </w:rPr>
      </w:pPr>
      <w:r w:rsidRPr="00753E89">
        <w:rPr>
          <w:rFonts w:ascii="Times New Roman" w:hAnsi="Times New Roman" w:cs="Times New Roman"/>
          <w:bCs/>
          <w:color w:val="000000"/>
          <w:sz w:val="24"/>
          <w:szCs w:val="24"/>
        </w:rPr>
        <w:t xml:space="preserve">Os ativos que estão sujeitos à amortização são revisados para a verificação de </w:t>
      </w:r>
      <w:proofErr w:type="spellStart"/>
      <w:r w:rsidRPr="00753E89">
        <w:rPr>
          <w:rFonts w:ascii="Times New Roman" w:hAnsi="Times New Roman" w:cs="Times New Roman"/>
          <w:bCs/>
          <w:i/>
          <w:color w:val="000000"/>
          <w:sz w:val="24"/>
          <w:szCs w:val="24"/>
        </w:rPr>
        <w:t>impairment</w:t>
      </w:r>
      <w:proofErr w:type="spellEnd"/>
      <w:r w:rsidRPr="00753E89">
        <w:rPr>
          <w:rFonts w:ascii="Times New Roman" w:hAnsi="Times New Roman" w:cs="Times New Roman"/>
          <w:bCs/>
          <w:color w:val="000000"/>
          <w:sz w:val="24"/>
          <w:szCs w:val="24"/>
        </w:rPr>
        <w:t xml:space="preserve"> sempre que eventos ou mudanças nas circunstâncias indicarem que o valor contábil pode não ser recuperável. Uma perda por </w:t>
      </w:r>
      <w:proofErr w:type="spellStart"/>
      <w:r w:rsidRPr="00753E89">
        <w:rPr>
          <w:rFonts w:ascii="Times New Roman" w:hAnsi="Times New Roman" w:cs="Times New Roman"/>
          <w:bCs/>
          <w:i/>
          <w:color w:val="000000"/>
          <w:sz w:val="24"/>
          <w:szCs w:val="24"/>
        </w:rPr>
        <w:t>impairment</w:t>
      </w:r>
      <w:proofErr w:type="spellEnd"/>
      <w:r w:rsidRPr="00753E89">
        <w:rPr>
          <w:rFonts w:ascii="Times New Roman" w:hAnsi="Times New Roman" w:cs="Times New Roman"/>
          <w:bCs/>
          <w:color w:val="000000"/>
          <w:sz w:val="24"/>
          <w:szCs w:val="24"/>
        </w:rPr>
        <w:t xml:space="preserve"> é reconhecida quando o valor contábil do ativo excede seu valor recuperável, o qual representa o maior valor entre o valor justo de um ativo menos seus custos de venda e o seu valor em uso.</w:t>
      </w:r>
    </w:p>
    <w:p w:rsidR="0018407B" w:rsidRPr="00C93132" w:rsidRDefault="0018407B" w:rsidP="0018407B">
      <w:pPr>
        <w:tabs>
          <w:tab w:val="left" w:pos="993"/>
        </w:tabs>
        <w:autoSpaceDE w:val="0"/>
        <w:autoSpaceDN w:val="0"/>
        <w:adjustRightInd w:val="0"/>
        <w:spacing w:line="228" w:lineRule="auto"/>
        <w:rPr>
          <w:rFonts w:ascii="Times New Roman" w:hAnsi="Times New Roman" w:cs="Times New Roman"/>
          <w:b/>
          <w:bCs/>
          <w:color w:val="000000"/>
          <w:sz w:val="24"/>
          <w:szCs w:val="24"/>
        </w:rPr>
      </w:pPr>
      <w:r w:rsidRPr="00C93132">
        <w:rPr>
          <w:rFonts w:ascii="Times New Roman" w:hAnsi="Times New Roman" w:cs="Times New Roman"/>
          <w:b/>
          <w:bCs/>
          <w:color w:val="000000"/>
          <w:sz w:val="24"/>
          <w:szCs w:val="24"/>
        </w:rPr>
        <w:t>3.5. Outros ativos e passivos</w:t>
      </w:r>
    </w:p>
    <w:p w:rsidR="0018407B" w:rsidRPr="00C93132" w:rsidRDefault="0018407B" w:rsidP="0018407B">
      <w:pPr>
        <w:widowControl w:val="0"/>
        <w:spacing w:line="228" w:lineRule="auto"/>
        <w:jc w:val="both"/>
        <w:rPr>
          <w:rFonts w:ascii="Times New Roman" w:hAnsi="Times New Roman" w:cs="Times New Roman"/>
          <w:bCs/>
          <w:color w:val="000000"/>
          <w:sz w:val="24"/>
          <w:szCs w:val="24"/>
        </w:rPr>
      </w:pPr>
      <w:r w:rsidRPr="00C93132">
        <w:rPr>
          <w:rFonts w:ascii="Times New Roman" w:hAnsi="Times New Roman" w:cs="Times New Roman"/>
          <w:bCs/>
          <w:color w:val="000000"/>
          <w:sz w:val="24"/>
          <w:szCs w:val="24"/>
        </w:rPr>
        <w:t xml:space="preserve">Outros ativos são apresentados ao valor de custo ou de realização, incluindo, quando aplicável, os rendimentos e </w:t>
      </w:r>
      <w:r>
        <w:rPr>
          <w:rFonts w:ascii="Times New Roman" w:hAnsi="Times New Roman" w:cs="Times New Roman"/>
          <w:bCs/>
          <w:color w:val="000000"/>
          <w:sz w:val="24"/>
          <w:szCs w:val="24"/>
        </w:rPr>
        <w:t>as variações monetárias auferida</w:t>
      </w:r>
      <w:r w:rsidRPr="00C93132">
        <w:rPr>
          <w:rFonts w:ascii="Times New Roman" w:hAnsi="Times New Roman" w:cs="Times New Roman"/>
          <w:bCs/>
          <w:color w:val="000000"/>
          <w:sz w:val="24"/>
          <w:szCs w:val="24"/>
        </w:rPr>
        <w:t xml:space="preserve">s. Quando requerido, os elementos do ativo decorrentes de operações de longo prazo são ajustados a valor presente, sendo os demais ajustados quando houver efeito relevante. </w:t>
      </w:r>
    </w:p>
    <w:p w:rsidR="0018407B" w:rsidRDefault="0018407B" w:rsidP="0018407B">
      <w:pPr>
        <w:tabs>
          <w:tab w:val="left" w:pos="709"/>
        </w:tabs>
        <w:autoSpaceDE w:val="0"/>
        <w:autoSpaceDN w:val="0"/>
        <w:adjustRightInd w:val="0"/>
        <w:spacing w:after="0" w:line="230" w:lineRule="auto"/>
        <w:jc w:val="both"/>
        <w:rPr>
          <w:rFonts w:ascii="Times New Roman" w:eastAsia="Times New Roman" w:hAnsi="Times New Roman" w:cs="Times New Roman"/>
          <w:b/>
          <w:sz w:val="24"/>
          <w:szCs w:val="24"/>
          <w:lang w:eastAsia="pt-BR"/>
        </w:rPr>
      </w:pPr>
      <w:r w:rsidRPr="00C93132">
        <w:rPr>
          <w:rFonts w:ascii="Times New Roman" w:hAnsi="Times New Roman" w:cs="Times New Roman"/>
          <w:bCs/>
          <w:color w:val="000000"/>
          <w:sz w:val="24"/>
          <w:szCs w:val="24"/>
        </w:rPr>
        <w:t>Outros passivos são demonstrados pelo valor de realização e compreendem as obrigações com terceiros resultantes de operações. Quando requerido, os elementos do passivo decorrentes de operações de longo prazo são ajustados a valor presente, sendo os demais ajustados quando houver efeito relevante.</w:t>
      </w:r>
    </w:p>
    <w:p w:rsidR="0018407B" w:rsidRPr="00BB6EAD" w:rsidRDefault="0018407B" w:rsidP="0018407B">
      <w:pPr>
        <w:tabs>
          <w:tab w:val="left" w:pos="709"/>
        </w:tabs>
        <w:autoSpaceDE w:val="0"/>
        <w:autoSpaceDN w:val="0"/>
        <w:adjustRightInd w:val="0"/>
        <w:spacing w:after="0" w:line="230" w:lineRule="auto"/>
        <w:jc w:val="both"/>
        <w:rPr>
          <w:rFonts w:ascii="Times New Roman" w:eastAsia="Times New Roman" w:hAnsi="Times New Roman" w:cs="Times New Roman"/>
          <w:b/>
          <w:sz w:val="24"/>
          <w:szCs w:val="24"/>
          <w:lang w:eastAsia="pt-BR"/>
        </w:rPr>
      </w:pPr>
    </w:p>
    <w:p w:rsidR="0018407B" w:rsidRPr="00505F62" w:rsidRDefault="0018407B" w:rsidP="0018407B">
      <w:pPr>
        <w:tabs>
          <w:tab w:val="left" w:pos="993"/>
        </w:tabs>
        <w:autoSpaceDE w:val="0"/>
        <w:autoSpaceDN w:val="0"/>
        <w:adjustRightInd w:val="0"/>
        <w:spacing w:line="228" w:lineRule="auto"/>
        <w:rPr>
          <w:rFonts w:ascii="Times New Roman" w:hAnsi="Times New Roman" w:cs="Times New Roman"/>
          <w:b/>
          <w:bCs/>
          <w:color w:val="000000"/>
          <w:sz w:val="24"/>
          <w:szCs w:val="24"/>
        </w:rPr>
      </w:pPr>
      <w:r w:rsidRPr="00505F62">
        <w:rPr>
          <w:rFonts w:ascii="Times New Roman" w:hAnsi="Times New Roman" w:cs="Times New Roman"/>
          <w:b/>
          <w:bCs/>
          <w:color w:val="000000"/>
          <w:sz w:val="24"/>
          <w:szCs w:val="24"/>
        </w:rPr>
        <w:t>3.6. Fornecedores</w:t>
      </w:r>
    </w:p>
    <w:p w:rsidR="0018407B" w:rsidRPr="00505F62" w:rsidRDefault="0018407B" w:rsidP="0018407B">
      <w:pPr>
        <w:widowControl w:val="0"/>
        <w:spacing w:after="0" w:line="240" w:lineRule="auto"/>
        <w:jc w:val="both"/>
        <w:rPr>
          <w:rFonts w:ascii="Times New Roman" w:hAnsi="Times New Roman" w:cs="Times New Roman"/>
          <w:color w:val="000000"/>
          <w:sz w:val="24"/>
          <w:szCs w:val="24"/>
        </w:rPr>
      </w:pPr>
      <w:r w:rsidRPr="00505F62">
        <w:rPr>
          <w:rFonts w:ascii="Times New Roman" w:hAnsi="Times New Roman" w:cs="Times New Roman"/>
          <w:color w:val="000000"/>
          <w:sz w:val="24"/>
          <w:szCs w:val="24"/>
        </w:rPr>
        <w:t xml:space="preserve">As contas a pagar aos fornecedores e as outras contas a pagar são obrigações a pagar por bens ou serviços que foram adquiridos de fornecedores no curso normal das atividades, sendo classificadas como passivos circulantes se o pagamento for devido no período de até um ano. Caso contrário, as contas a pagar são apresentadas como passivo não circulante. </w:t>
      </w:r>
    </w:p>
    <w:p w:rsidR="0018407B" w:rsidRPr="00505F62" w:rsidRDefault="0018407B" w:rsidP="0018407B">
      <w:pPr>
        <w:widowControl w:val="0"/>
        <w:spacing w:after="0" w:line="240" w:lineRule="auto"/>
        <w:jc w:val="both"/>
        <w:rPr>
          <w:rFonts w:ascii="Times New Roman" w:hAnsi="Times New Roman" w:cs="Times New Roman"/>
          <w:color w:val="000000"/>
          <w:sz w:val="24"/>
          <w:szCs w:val="24"/>
        </w:rPr>
      </w:pPr>
    </w:p>
    <w:p w:rsidR="0018407B" w:rsidRDefault="0018407B" w:rsidP="0018407B">
      <w:pPr>
        <w:widowControl w:val="0"/>
        <w:spacing w:after="0" w:line="240" w:lineRule="auto"/>
        <w:jc w:val="both"/>
        <w:rPr>
          <w:rFonts w:ascii="Times New Roman" w:hAnsi="Times New Roman" w:cs="Times New Roman"/>
          <w:color w:val="000000"/>
          <w:sz w:val="24"/>
          <w:szCs w:val="24"/>
        </w:rPr>
      </w:pPr>
      <w:r w:rsidRPr="00505F62">
        <w:rPr>
          <w:rFonts w:ascii="Times New Roman" w:hAnsi="Times New Roman" w:cs="Times New Roman"/>
          <w:color w:val="000000"/>
          <w:sz w:val="24"/>
          <w:szCs w:val="24"/>
        </w:rPr>
        <w:t xml:space="preserve">Elas são reconhecidas ao </w:t>
      </w:r>
      <w:r>
        <w:rPr>
          <w:rFonts w:ascii="Times New Roman" w:hAnsi="Times New Roman" w:cs="Times New Roman"/>
          <w:color w:val="000000"/>
          <w:sz w:val="24"/>
          <w:szCs w:val="24"/>
        </w:rPr>
        <w:t>valor da fatura correspondente.</w:t>
      </w:r>
    </w:p>
    <w:p w:rsidR="0018407B" w:rsidRPr="00505F62" w:rsidRDefault="0018407B" w:rsidP="0018407B">
      <w:pPr>
        <w:widowControl w:val="0"/>
        <w:spacing w:after="0" w:line="240" w:lineRule="auto"/>
        <w:jc w:val="both"/>
        <w:rPr>
          <w:rFonts w:ascii="Times New Roman" w:hAnsi="Times New Roman" w:cs="Times New Roman"/>
          <w:color w:val="000000"/>
          <w:sz w:val="24"/>
          <w:szCs w:val="24"/>
        </w:rPr>
      </w:pPr>
    </w:p>
    <w:p w:rsidR="0018407B" w:rsidRPr="00505F62" w:rsidRDefault="0018407B" w:rsidP="0018407B">
      <w:pPr>
        <w:tabs>
          <w:tab w:val="left" w:pos="993"/>
        </w:tabs>
        <w:spacing w:after="0" w:line="240" w:lineRule="auto"/>
        <w:rPr>
          <w:rStyle w:val="Forte"/>
          <w:rFonts w:ascii="Times New Roman" w:hAnsi="Times New Roman" w:cs="Times New Roman"/>
          <w:color w:val="000000"/>
          <w:sz w:val="24"/>
          <w:szCs w:val="24"/>
        </w:rPr>
      </w:pPr>
      <w:r w:rsidRPr="00505F62">
        <w:rPr>
          <w:rFonts w:ascii="Times New Roman" w:hAnsi="Times New Roman" w:cs="Times New Roman"/>
          <w:b/>
          <w:bCs/>
          <w:color w:val="000000"/>
          <w:sz w:val="24"/>
          <w:szCs w:val="24"/>
        </w:rPr>
        <w:t xml:space="preserve">3.7. </w:t>
      </w:r>
      <w:r w:rsidRPr="00505F62">
        <w:rPr>
          <w:rStyle w:val="Forte"/>
          <w:rFonts w:ascii="Times New Roman" w:hAnsi="Times New Roman" w:cs="Times New Roman"/>
          <w:color w:val="000000"/>
          <w:sz w:val="24"/>
          <w:szCs w:val="24"/>
        </w:rPr>
        <w:t>Provisões para riscos cíveis e trabalhistas</w:t>
      </w:r>
    </w:p>
    <w:p w:rsidR="0018407B" w:rsidRPr="00505F62" w:rsidRDefault="0018407B" w:rsidP="0018407B">
      <w:pPr>
        <w:tabs>
          <w:tab w:val="left" w:pos="993"/>
        </w:tabs>
        <w:spacing w:after="0" w:line="240" w:lineRule="auto"/>
        <w:rPr>
          <w:rStyle w:val="Forte"/>
          <w:rFonts w:ascii="Times New Roman" w:hAnsi="Times New Roman" w:cs="Times New Roman"/>
          <w:bCs w:val="0"/>
          <w:sz w:val="24"/>
          <w:szCs w:val="24"/>
        </w:rPr>
      </w:pPr>
    </w:p>
    <w:p w:rsidR="0018407B" w:rsidRPr="00505F62" w:rsidRDefault="0018407B" w:rsidP="0018407B">
      <w:pPr>
        <w:widowControl w:val="0"/>
        <w:spacing w:after="0" w:line="240" w:lineRule="auto"/>
        <w:jc w:val="both"/>
        <w:rPr>
          <w:rFonts w:ascii="Times New Roman" w:hAnsi="Times New Roman" w:cs="Times New Roman"/>
          <w:bCs/>
          <w:color w:val="000000"/>
          <w:sz w:val="24"/>
          <w:szCs w:val="24"/>
        </w:rPr>
      </w:pPr>
      <w:r w:rsidRPr="00505F62">
        <w:rPr>
          <w:rFonts w:ascii="Times New Roman" w:hAnsi="Times New Roman" w:cs="Times New Roman"/>
          <w:bCs/>
          <w:color w:val="000000"/>
          <w:sz w:val="24"/>
          <w:szCs w:val="24"/>
        </w:rPr>
        <w:t xml:space="preserve">Reconhecidas quando a Entidade possui uma obrigação presente ou não formalizada como resultado de eventos passados, sendo provável que uma saída de recursos seja necessária para liquidar a obrigação e </w:t>
      </w:r>
      <w:r w:rsidRPr="00505F62">
        <w:rPr>
          <w:rFonts w:ascii="Times New Roman" w:hAnsi="Times New Roman" w:cs="Times New Roman"/>
          <w:bCs/>
          <w:color w:val="000000"/>
          <w:sz w:val="24"/>
          <w:szCs w:val="24"/>
        </w:rPr>
        <w:lastRenderedPageBreak/>
        <w:t>o valor possa ser estimado com segurança. As provisões são quantificadas ao valor presente do desembolso esperado para liquidar a obrigação, sendo utilizada a taxa adequada de desconto de acordo com os riscos relacionados ao passivo.</w:t>
      </w:r>
    </w:p>
    <w:p w:rsidR="0018407B" w:rsidRPr="00505F62" w:rsidRDefault="0018407B" w:rsidP="0018407B">
      <w:pPr>
        <w:widowControl w:val="0"/>
        <w:spacing w:after="0" w:line="240" w:lineRule="auto"/>
        <w:jc w:val="both"/>
        <w:rPr>
          <w:rFonts w:ascii="Times New Roman" w:hAnsi="Times New Roman" w:cs="Times New Roman"/>
          <w:bCs/>
          <w:color w:val="000000"/>
          <w:sz w:val="24"/>
          <w:szCs w:val="24"/>
        </w:rPr>
      </w:pPr>
      <w:r w:rsidRPr="00505F62">
        <w:rPr>
          <w:rFonts w:ascii="Times New Roman" w:hAnsi="Times New Roman" w:cs="Times New Roman"/>
          <w:bCs/>
          <w:color w:val="000000"/>
          <w:sz w:val="24"/>
          <w:szCs w:val="24"/>
        </w:rPr>
        <w:t xml:space="preserve">São atualizadas até as datas dos balanços pelo montante estimado das perdas prováveis, observadas suas naturezas e apoiadas na opinião dos assessores legais da Entidade. Os fundamentos e a natureza das provisões para riscos cíveis e trabalhistas estão descritos </w:t>
      </w:r>
      <w:r w:rsidRPr="00C92472">
        <w:rPr>
          <w:rFonts w:ascii="Times New Roman" w:hAnsi="Times New Roman" w:cs="Times New Roman"/>
          <w:bCs/>
          <w:color w:val="000000" w:themeColor="text1"/>
          <w:sz w:val="24"/>
          <w:szCs w:val="24"/>
        </w:rPr>
        <w:t xml:space="preserve">na </w:t>
      </w:r>
      <w:r w:rsidRPr="00C92472">
        <w:rPr>
          <w:rFonts w:ascii="Times New Roman" w:hAnsi="Times New Roman" w:cs="Times New Roman"/>
          <w:b/>
          <w:bCs/>
          <w:color w:val="000000" w:themeColor="text1"/>
          <w:sz w:val="24"/>
          <w:szCs w:val="24"/>
        </w:rPr>
        <w:t>nota 16</w:t>
      </w:r>
      <w:r w:rsidRPr="00C92472">
        <w:rPr>
          <w:rFonts w:ascii="Times New Roman" w:hAnsi="Times New Roman" w:cs="Times New Roman"/>
          <w:bCs/>
          <w:color w:val="000000" w:themeColor="text1"/>
          <w:sz w:val="24"/>
          <w:szCs w:val="24"/>
        </w:rPr>
        <w:t>.</w:t>
      </w:r>
    </w:p>
    <w:p w:rsidR="0018407B" w:rsidRPr="00505F62" w:rsidRDefault="0018407B" w:rsidP="0018407B">
      <w:pPr>
        <w:widowControl w:val="0"/>
        <w:spacing w:after="0" w:line="240" w:lineRule="auto"/>
        <w:jc w:val="both"/>
        <w:rPr>
          <w:rFonts w:ascii="Times New Roman" w:hAnsi="Times New Roman" w:cs="Times New Roman"/>
          <w:b/>
          <w:color w:val="000000"/>
          <w:sz w:val="24"/>
          <w:szCs w:val="24"/>
        </w:rPr>
      </w:pPr>
    </w:p>
    <w:p w:rsidR="0018407B" w:rsidRPr="00505F62" w:rsidRDefault="0018407B" w:rsidP="0018407B">
      <w:pPr>
        <w:widowControl w:val="0"/>
        <w:spacing w:after="0" w:line="240" w:lineRule="auto"/>
        <w:jc w:val="both"/>
        <w:rPr>
          <w:rFonts w:ascii="Times New Roman" w:hAnsi="Times New Roman" w:cs="Times New Roman"/>
          <w:color w:val="000000"/>
          <w:sz w:val="24"/>
          <w:szCs w:val="24"/>
        </w:rPr>
      </w:pPr>
      <w:r w:rsidRPr="00505F62">
        <w:rPr>
          <w:rFonts w:ascii="Times New Roman" w:hAnsi="Times New Roman" w:cs="Times New Roman"/>
          <w:b/>
          <w:color w:val="000000"/>
          <w:sz w:val="24"/>
          <w:szCs w:val="24"/>
        </w:rPr>
        <w:t>Implantação de política contábil em 2017</w:t>
      </w:r>
      <w:r w:rsidRPr="00505F62">
        <w:rPr>
          <w:rFonts w:ascii="Times New Roman" w:hAnsi="Times New Roman" w:cs="Times New Roman"/>
          <w:color w:val="000000"/>
          <w:sz w:val="24"/>
          <w:szCs w:val="24"/>
        </w:rPr>
        <w:t xml:space="preserve"> – Em atendimento aos prazos normativos de implantação emanados pela Secretaria do Tesouro Nacional, por meio da Portaria STN nº 539/2015, anexo único (Plano de Implantação dos Procedimentos Contábeis Patrimoniais – PIPCP), e pelo Conselho Federal de Contabilidade, mediante a Norma Brasileira de Contabilidade, NBC TSP Estrutura Conceitual, de 23/09/2016 (Mensuração de Ativos e Passivos nas Demonstrações Contábeis), o CAU BR procedeu ao registro contábil de Provisões para Contingências Cíveis e Trabalhistas ao encerramento do exercício de </w:t>
      </w:r>
      <w:r>
        <w:rPr>
          <w:rFonts w:ascii="Times New Roman" w:hAnsi="Times New Roman" w:cs="Times New Roman"/>
          <w:color w:val="000000"/>
          <w:sz w:val="24"/>
          <w:szCs w:val="24"/>
        </w:rPr>
        <w:t>2021</w:t>
      </w:r>
      <w:r w:rsidRPr="00505F62">
        <w:rPr>
          <w:rFonts w:ascii="Times New Roman" w:hAnsi="Times New Roman" w:cs="Times New Roman"/>
          <w:color w:val="000000"/>
          <w:sz w:val="24"/>
          <w:szCs w:val="24"/>
        </w:rPr>
        <w:t>.</w:t>
      </w:r>
    </w:p>
    <w:p w:rsidR="0018407B" w:rsidRPr="00505F62" w:rsidRDefault="0018407B" w:rsidP="0018407B">
      <w:pPr>
        <w:widowControl w:val="0"/>
        <w:spacing w:after="0" w:line="240" w:lineRule="auto"/>
        <w:jc w:val="both"/>
        <w:rPr>
          <w:rFonts w:ascii="Times New Roman" w:hAnsi="Times New Roman" w:cs="Times New Roman"/>
          <w:b/>
          <w:color w:val="000000"/>
          <w:sz w:val="24"/>
          <w:szCs w:val="24"/>
        </w:rPr>
      </w:pPr>
    </w:p>
    <w:p w:rsidR="0018407B" w:rsidRPr="00505F62" w:rsidRDefault="0018407B" w:rsidP="0018407B">
      <w:pPr>
        <w:widowControl w:val="0"/>
        <w:spacing w:after="0" w:line="240" w:lineRule="auto"/>
        <w:jc w:val="both"/>
        <w:rPr>
          <w:rFonts w:ascii="Times New Roman" w:hAnsi="Times New Roman" w:cs="Times New Roman"/>
          <w:color w:val="000000"/>
          <w:sz w:val="24"/>
          <w:szCs w:val="24"/>
        </w:rPr>
      </w:pPr>
      <w:r w:rsidRPr="00505F62">
        <w:rPr>
          <w:rFonts w:ascii="Times New Roman" w:hAnsi="Times New Roman" w:cs="Times New Roman"/>
          <w:b/>
          <w:color w:val="000000"/>
          <w:sz w:val="24"/>
          <w:szCs w:val="24"/>
        </w:rPr>
        <w:t>Base de mensuração</w:t>
      </w:r>
      <w:r>
        <w:rPr>
          <w:rFonts w:ascii="Times New Roman" w:hAnsi="Times New Roman" w:cs="Times New Roman"/>
          <w:color w:val="000000"/>
          <w:sz w:val="24"/>
          <w:szCs w:val="24"/>
        </w:rPr>
        <w:t xml:space="preserve"> – O CAU BR adota o</w:t>
      </w:r>
      <w:r w:rsidRPr="00505F62">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Manual de Procedimentos Contábeis do sistema CAU de 2017</w:t>
      </w:r>
      <w:r w:rsidRPr="00753E89">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expedido</w:t>
      </w:r>
      <w:r w:rsidRPr="00505F62">
        <w:rPr>
          <w:rFonts w:ascii="Times New Roman" w:hAnsi="Times New Roman" w:cs="Times New Roman"/>
          <w:color w:val="000000"/>
          <w:sz w:val="24"/>
          <w:szCs w:val="24"/>
        </w:rPr>
        <w:t xml:space="preserve"> pelo CAU/BR, em consonância com as instruções contidas no Manual de Contabilidade Aplicada ao Setor Público (MCASP).</w:t>
      </w:r>
    </w:p>
    <w:p w:rsidR="0018407B" w:rsidRPr="00505F62" w:rsidRDefault="0018407B" w:rsidP="0018407B">
      <w:pPr>
        <w:widowControl w:val="0"/>
        <w:spacing w:after="0" w:line="240" w:lineRule="auto"/>
        <w:jc w:val="both"/>
        <w:rPr>
          <w:rFonts w:ascii="Times New Roman" w:hAnsi="Times New Roman" w:cs="Times New Roman"/>
          <w:color w:val="000000"/>
          <w:sz w:val="24"/>
          <w:szCs w:val="24"/>
        </w:rPr>
      </w:pPr>
    </w:p>
    <w:p w:rsidR="0018407B" w:rsidRPr="00505F62" w:rsidRDefault="0018407B" w:rsidP="0018407B">
      <w:pPr>
        <w:widowControl w:val="0"/>
        <w:spacing w:after="0" w:line="240" w:lineRule="auto"/>
        <w:jc w:val="both"/>
        <w:rPr>
          <w:rFonts w:ascii="Times New Roman" w:hAnsi="Times New Roman" w:cs="Times New Roman"/>
          <w:color w:val="000000"/>
          <w:sz w:val="24"/>
          <w:szCs w:val="24"/>
        </w:rPr>
      </w:pPr>
      <w:r w:rsidRPr="00505F62">
        <w:rPr>
          <w:rFonts w:ascii="Times New Roman" w:hAnsi="Times New Roman" w:cs="Times New Roman"/>
          <w:color w:val="000000"/>
          <w:sz w:val="24"/>
          <w:szCs w:val="24"/>
        </w:rPr>
        <w:t>As contingências que compõem o passivo circulante e/ou passivo não circulante, se aplicável, observa os critérios do estudo de possibilidade de perdas cuja elaboração é de responsabilidade da Assessoria Jurídica do Conselho.</w:t>
      </w:r>
    </w:p>
    <w:p w:rsidR="0018407B" w:rsidRPr="00505F62" w:rsidRDefault="0018407B" w:rsidP="0018407B">
      <w:pPr>
        <w:widowControl w:val="0"/>
        <w:spacing w:after="0" w:line="240" w:lineRule="auto"/>
        <w:jc w:val="both"/>
        <w:rPr>
          <w:rFonts w:ascii="Times New Roman" w:hAnsi="Times New Roman" w:cs="Times New Roman"/>
          <w:color w:val="000000"/>
          <w:sz w:val="24"/>
          <w:szCs w:val="24"/>
        </w:rPr>
      </w:pPr>
    </w:p>
    <w:p w:rsidR="0018407B" w:rsidRPr="00505F62" w:rsidRDefault="0018407B" w:rsidP="0018407B">
      <w:pPr>
        <w:widowControl w:val="0"/>
        <w:spacing w:after="0" w:line="240" w:lineRule="auto"/>
        <w:jc w:val="both"/>
        <w:rPr>
          <w:rFonts w:ascii="Times New Roman" w:hAnsi="Times New Roman" w:cs="Times New Roman"/>
          <w:color w:val="000000"/>
          <w:sz w:val="24"/>
          <w:szCs w:val="24"/>
        </w:rPr>
      </w:pPr>
      <w:r w:rsidRPr="00505F62">
        <w:rPr>
          <w:rFonts w:ascii="Times New Roman" w:hAnsi="Times New Roman" w:cs="Times New Roman"/>
          <w:color w:val="000000"/>
          <w:sz w:val="24"/>
          <w:szCs w:val="24"/>
        </w:rPr>
        <w:t>As ações judiciais trabalhistas ou cíveis com estimativa de valor confiável e que apresentam uma situação de saída de recurso provável são tratadas como provisão no passivo circulante e/ou passivo não circulante. As ações que não possuem estimativa confiável ou que não demonstram probabilidade de saída de recursos são tratadas como passivos contingentes, integrando as notas explicativas às demonstrações contábeis</w:t>
      </w:r>
      <w:r>
        <w:rPr>
          <w:rFonts w:ascii="Times New Roman" w:hAnsi="Times New Roman" w:cs="Times New Roman"/>
          <w:color w:val="000000"/>
          <w:sz w:val="24"/>
          <w:szCs w:val="24"/>
        </w:rPr>
        <w:t xml:space="preserve">, conforme </w:t>
      </w:r>
      <w:r w:rsidRPr="00C92472">
        <w:rPr>
          <w:rFonts w:ascii="Times New Roman" w:hAnsi="Times New Roman" w:cs="Times New Roman"/>
          <w:b/>
          <w:color w:val="000000" w:themeColor="text1"/>
          <w:sz w:val="24"/>
          <w:szCs w:val="24"/>
        </w:rPr>
        <w:t>nota 16.1</w:t>
      </w:r>
      <w:r w:rsidRPr="00C92472">
        <w:rPr>
          <w:rFonts w:ascii="Times New Roman" w:hAnsi="Times New Roman" w:cs="Times New Roman"/>
          <w:color w:val="000000" w:themeColor="text1"/>
          <w:sz w:val="24"/>
          <w:szCs w:val="24"/>
        </w:rPr>
        <w:t>.</w:t>
      </w:r>
    </w:p>
    <w:p w:rsidR="0018407B" w:rsidRPr="00CF75C9" w:rsidRDefault="0018407B" w:rsidP="0018407B">
      <w:pPr>
        <w:spacing w:after="0" w:line="240" w:lineRule="auto"/>
        <w:jc w:val="both"/>
        <w:rPr>
          <w:rFonts w:ascii="Times New Roman" w:eastAsia="Times New Roman" w:hAnsi="Times New Roman" w:cs="Times New Roman"/>
          <w:b/>
          <w:sz w:val="24"/>
          <w:szCs w:val="24"/>
          <w:lang w:eastAsia="pt-BR"/>
        </w:rPr>
      </w:pPr>
    </w:p>
    <w:p w:rsidR="0018407B" w:rsidRPr="00E45020" w:rsidRDefault="00FF62EC" w:rsidP="0018407B">
      <w:pPr>
        <w:tabs>
          <w:tab w:val="left" w:pos="993"/>
        </w:tabs>
        <w:spacing w:after="0" w:line="240" w:lineRule="auto"/>
        <w:rPr>
          <w:rStyle w:val="Forte"/>
          <w:rFonts w:ascii="Times New Roman" w:hAnsi="Times New Roman" w:cs="Times New Roman"/>
          <w:sz w:val="24"/>
          <w:szCs w:val="24"/>
        </w:rPr>
      </w:pPr>
      <w:hyperlink r:id="rId10" w:history="1">
        <w:r w:rsidR="0018407B" w:rsidRPr="00E45020">
          <w:rPr>
            <w:rStyle w:val="Hyperlink"/>
            <w:rFonts w:ascii="Times New Roman" w:hAnsi="Times New Roman" w:cs="Times New Roman"/>
            <w:bCs/>
            <w:color w:val="auto"/>
            <w:sz w:val="24"/>
            <w:szCs w:val="24"/>
            <w:u w:val="none"/>
          </w:rPr>
          <w:t xml:space="preserve">3.8. </w:t>
        </w:r>
        <w:r w:rsidR="0018407B" w:rsidRPr="00E45020">
          <w:rPr>
            <w:rStyle w:val="Hyperlink"/>
            <w:rFonts w:ascii="Times New Roman" w:hAnsi="Times New Roman" w:cs="Times New Roman"/>
            <w:color w:val="auto"/>
            <w:sz w:val="24"/>
            <w:szCs w:val="24"/>
            <w:u w:val="none"/>
          </w:rPr>
          <w:t>Balanço Patrimonial</w:t>
        </w:r>
      </w:hyperlink>
    </w:p>
    <w:p w:rsidR="0018407B" w:rsidRDefault="0018407B" w:rsidP="0018407B">
      <w:pPr>
        <w:tabs>
          <w:tab w:val="left" w:pos="993"/>
        </w:tabs>
        <w:spacing w:after="0" w:line="240" w:lineRule="auto"/>
        <w:rPr>
          <w:rStyle w:val="Forte"/>
          <w:rFonts w:ascii="Times New Roman" w:hAnsi="Times New Roman" w:cs="Times New Roman"/>
          <w:color w:val="000000"/>
          <w:sz w:val="24"/>
          <w:szCs w:val="24"/>
        </w:rPr>
      </w:pPr>
    </w:p>
    <w:p w:rsidR="0018407B" w:rsidRPr="00CE2B53"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O Balanço Patrimonial tem a finalidade de apresentar a posição financeira e patrimonial do Conselho de Arquitetura e Urbanismo do Brasil – C</w:t>
      </w:r>
      <w:r>
        <w:rPr>
          <w:rFonts w:ascii="Times New Roman" w:eastAsia="Times New Roman" w:hAnsi="Times New Roman" w:cs="Times New Roman"/>
          <w:sz w:val="24"/>
          <w:szCs w:val="24"/>
          <w:lang w:eastAsia="pt-BR"/>
        </w:rPr>
        <w:t xml:space="preserve">AU/BR, representando, portanto, </w:t>
      </w:r>
      <w:r w:rsidRPr="00CE2B53">
        <w:rPr>
          <w:rFonts w:ascii="Times New Roman" w:eastAsia="Times New Roman" w:hAnsi="Times New Roman" w:cs="Times New Roman"/>
          <w:sz w:val="24"/>
          <w:szCs w:val="24"/>
          <w:lang w:eastAsia="pt-BR"/>
        </w:rPr>
        <w:t xml:space="preserve">uma posição estática. </w:t>
      </w:r>
    </w:p>
    <w:p w:rsidR="0018407B" w:rsidRPr="00CF75C9" w:rsidRDefault="0018407B" w:rsidP="0018407B">
      <w:pPr>
        <w:widowControl w:val="0"/>
        <w:spacing w:after="0" w:line="240" w:lineRule="auto"/>
        <w:jc w:val="both"/>
        <w:rPr>
          <w:rFonts w:ascii="Times New Roman" w:hAnsi="Times New Roman" w:cs="Times New Roman"/>
          <w:bCs/>
          <w:color w:val="000000"/>
          <w:sz w:val="24"/>
          <w:szCs w:val="24"/>
        </w:rPr>
      </w:pPr>
    </w:p>
    <w:p w:rsidR="0018407B" w:rsidRPr="00CF75C9" w:rsidRDefault="0018407B" w:rsidP="0018407B">
      <w:pPr>
        <w:widowControl w:val="0"/>
        <w:spacing w:after="0" w:line="240" w:lineRule="auto"/>
        <w:jc w:val="both"/>
        <w:rPr>
          <w:rFonts w:ascii="Times New Roman" w:hAnsi="Times New Roman" w:cs="Times New Roman"/>
          <w:bCs/>
          <w:color w:val="000000"/>
          <w:sz w:val="24"/>
          <w:szCs w:val="24"/>
        </w:rPr>
      </w:pPr>
      <w:r w:rsidRPr="00CF75C9">
        <w:rPr>
          <w:rFonts w:ascii="Times New Roman" w:hAnsi="Times New Roman" w:cs="Times New Roman"/>
          <w:bCs/>
          <w:color w:val="000000"/>
          <w:sz w:val="24"/>
          <w:szCs w:val="24"/>
        </w:rPr>
        <w:t>O Balanço Patrimonial, estruturado em Ativo, Passivo e Patrimônio Líquido, evidencia qualitativa e quantitativamente a situação patrimonial da Entidade.</w:t>
      </w:r>
    </w:p>
    <w:p w:rsidR="0018407B" w:rsidRPr="00CF75C9" w:rsidRDefault="0018407B" w:rsidP="0018407B">
      <w:pPr>
        <w:widowControl w:val="0"/>
        <w:spacing w:after="0" w:line="240" w:lineRule="auto"/>
        <w:jc w:val="both"/>
        <w:rPr>
          <w:rFonts w:ascii="Times New Roman" w:hAnsi="Times New Roman" w:cs="Times New Roman"/>
          <w:bCs/>
          <w:color w:val="000000"/>
          <w:sz w:val="24"/>
          <w:szCs w:val="24"/>
        </w:rPr>
      </w:pPr>
    </w:p>
    <w:p w:rsidR="0018407B" w:rsidRPr="00CF75C9" w:rsidRDefault="0018407B" w:rsidP="0018407B">
      <w:pPr>
        <w:widowControl w:val="0"/>
        <w:spacing w:after="0" w:line="240" w:lineRule="auto"/>
        <w:jc w:val="both"/>
        <w:rPr>
          <w:rFonts w:ascii="Times New Roman" w:hAnsi="Times New Roman" w:cs="Times New Roman"/>
          <w:bCs/>
          <w:color w:val="000000"/>
          <w:sz w:val="24"/>
          <w:szCs w:val="24"/>
        </w:rPr>
      </w:pPr>
      <w:r w:rsidRPr="00CF75C9">
        <w:rPr>
          <w:rFonts w:ascii="Times New Roman" w:hAnsi="Times New Roman" w:cs="Times New Roman"/>
          <w:bCs/>
          <w:color w:val="000000"/>
          <w:sz w:val="24"/>
          <w:szCs w:val="24"/>
        </w:rPr>
        <w:t>A classificação dos elementos patrimoniais considera a segregação em “circulante” e “não circulante”, com base em seus atributos de conversibilidade e exigibilidade.</w:t>
      </w:r>
    </w:p>
    <w:p w:rsidR="0018407B" w:rsidRDefault="0018407B" w:rsidP="0018407B">
      <w:pPr>
        <w:spacing w:after="0" w:line="240" w:lineRule="auto"/>
        <w:jc w:val="both"/>
        <w:rPr>
          <w:rFonts w:ascii="Times New Roman" w:eastAsia="Times New Roman" w:hAnsi="Times New Roman" w:cs="Times New Roman"/>
          <w:b/>
          <w:sz w:val="24"/>
          <w:szCs w:val="24"/>
          <w:lang w:eastAsia="pt-BR"/>
        </w:rPr>
      </w:pPr>
    </w:p>
    <w:p w:rsidR="0018407B" w:rsidRPr="00E45020" w:rsidRDefault="00FF62EC" w:rsidP="0018407B">
      <w:pPr>
        <w:spacing w:after="0" w:line="240" w:lineRule="auto"/>
        <w:jc w:val="both"/>
        <w:rPr>
          <w:rFonts w:ascii="Times New Roman" w:eastAsia="Times New Roman" w:hAnsi="Times New Roman" w:cs="Times New Roman"/>
          <w:b/>
          <w:sz w:val="24"/>
          <w:szCs w:val="24"/>
          <w:lang w:eastAsia="pt-BR"/>
        </w:rPr>
      </w:pPr>
      <w:hyperlink r:id="rId11" w:history="1">
        <w:r w:rsidR="0018407B" w:rsidRPr="00E45020">
          <w:rPr>
            <w:rStyle w:val="Hyperlink"/>
            <w:rFonts w:ascii="Times New Roman" w:eastAsia="Times New Roman" w:hAnsi="Times New Roman" w:cs="Times New Roman"/>
            <w:color w:val="auto"/>
            <w:sz w:val="24"/>
            <w:szCs w:val="24"/>
            <w:u w:val="none"/>
            <w:lang w:eastAsia="pt-BR"/>
          </w:rPr>
          <w:t>3.9. Balanço Orçamentário</w:t>
        </w:r>
      </w:hyperlink>
    </w:p>
    <w:p w:rsidR="0018407B" w:rsidRPr="00EC1D90" w:rsidRDefault="0018407B" w:rsidP="0018407B">
      <w:pPr>
        <w:spacing w:after="0" w:line="240" w:lineRule="auto"/>
        <w:ind w:firstLine="708"/>
        <w:jc w:val="both"/>
        <w:rPr>
          <w:rFonts w:ascii="Times New Roman" w:eastAsia="Times New Roman" w:hAnsi="Times New Roman" w:cs="Times New Roman"/>
          <w:b/>
          <w:sz w:val="24"/>
          <w:szCs w:val="24"/>
          <w:lang w:eastAsia="pt-BR"/>
        </w:rPr>
      </w:pPr>
    </w:p>
    <w:p w:rsidR="0018407B"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O Balanço Orçamentário evidencia as receitas e as despesas orçamentárias, detalhadas em níveis relevantes de análise, confrontando o orçamento inicial e as suas alterações com a execução, demonstrando o resultado orçamentário.</w:t>
      </w:r>
    </w:p>
    <w:p w:rsidR="0018407B" w:rsidRPr="00CE2B53" w:rsidRDefault="0018407B" w:rsidP="0018407B">
      <w:pPr>
        <w:spacing w:after="0" w:line="240" w:lineRule="auto"/>
        <w:jc w:val="both"/>
        <w:rPr>
          <w:rFonts w:ascii="Times New Roman" w:eastAsia="Times New Roman" w:hAnsi="Times New Roman" w:cs="Times New Roman"/>
          <w:sz w:val="24"/>
          <w:szCs w:val="24"/>
          <w:lang w:eastAsia="pt-BR"/>
        </w:rPr>
      </w:pPr>
    </w:p>
    <w:p w:rsidR="0018407B"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lastRenderedPageBreak/>
        <w:t>O Balanço Orçamentário é estruturado de forma a evidenciar a integração entre o planejamento e a execução orçamentária.</w:t>
      </w:r>
    </w:p>
    <w:p w:rsidR="0018407B" w:rsidRDefault="0018407B" w:rsidP="0018407B">
      <w:pPr>
        <w:spacing w:after="0" w:line="240" w:lineRule="auto"/>
        <w:jc w:val="both"/>
        <w:rPr>
          <w:rFonts w:ascii="Times New Roman" w:eastAsia="Times New Roman" w:hAnsi="Times New Roman" w:cs="Times New Roman"/>
          <w:sz w:val="24"/>
          <w:szCs w:val="24"/>
          <w:lang w:eastAsia="pt-BR"/>
        </w:rPr>
      </w:pPr>
    </w:p>
    <w:p w:rsidR="0018407B" w:rsidRPr="00E45020" w:rsidRDefault="00FF62EC" w:rsidP="0018407B">
      <w:pPr>
        <w:spacing w:after="0" w:line="240" w:lineRule="auto"/>
        <w:jc w:val="both"/>
        <w:rPr>
          <w:rFonts w:ascii="Times New Roman" w:eastAsia="Times New Roman" w:hAnsi="Times New Roman" w:cs="Times New Roman"/>
          <w:b/>
          <w:sz w:val="24"/>
          <w:szCs w:val="24"/>
          <w:lang w:eastAsia="pt-BR"/>
        </w:rPr>
      </w:pPr>
      <w:hyperlink r:id="rId12" w:history="1">
        <w:r w:rsidR="0018407B" w:rsidRPr="00E45020">
          <w:rPr>
            <w:rStyle w:val="Hyperlink"/>
            <w:rFonts w:ascii="Times New Roman" w:eastAsia="Times New Roman" w:hAnsi="Times New Roman" w:cs="Times New Roman"/>
            <w:color w:val="auto"/>
            <w:sz w:val="24"/>
            <w:szCs w:val="24"/>
            <w:u w:val="none"/>
            <w:lang w:eastAsia="pt-BR"/>
          </w:rPr>
          <w:t>3.10. Balanço Financeiro</w:t>
        </w:r>
      </w:hyperlink>
    </w:p>
    <w:p w:rsidR="0018407B" w:rsidRPr="00EC1D90" w:rsidRDefault="0018407B" w:rsidP="0018407B">
      <w:pPr>
        <w:spacing w:after="0" w:line="240" w:lineRule="auto"/>
        <w:ind w:firstLine="708"/>
        <w:jc w:val="both"/>
        <w:rPr>
          <w:rFonts w:ascii="Times New Roman" w:eastAsia="Times New Roman" w:hAnsi="Times New Roman" w:cs="Times New Roman"/>
          <w:b/>
          <w:sz w:val="24"/>
          <w:szCs w:val="24"/>
          <w:lang w:eastAsia="pt-BR"/>
        </w:rPr>
      </w:pPr>
    </w:p>
    <w:p w:rsidR="0018407B"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xml:space="preserve">O Balanço Financeiro evidencia as receitas e despesas orçamentárias, bem como os ingressos e dispêndios </w:t>
      </w:r>
      <w:proofErr w:type="spellStart"/>
      <w:r>
        <w:rPr>
          <w:rFonts w:ascii="Times New Roman" w:eastAsia="Times New Roman" w:hAnsi="Times New Roman" w:cs="Times New Roman"/>
          <w:sz w:val="24"/>
          <w:szCs w:val="24"/>
          <w:lang w:eastAsia="pt-BR"/>
        </w:rPr>
        <w:t>extra</w:t>
      </w:r>
      <w:r w:rsidRPr="00CE2B53">
        <w:rPr>
          <w:rFonts w:ascii="Times New Roman" w:eastAsia="Times New Roman" w:hAnsi="Times New Roman" w:cs="Times New Roman"/>
          <w:sz w:val="24"/>
          <w:szCs w:val="24"/>
          <w:lang w:eastAsia="pt-BR"/>
        </w:rPr>
        <w:t>orçamentários</w:t>
      </w:r>
      <w:proofErr w:type="spellEnd"/>
      <w:r w:rsidRPr="00CE2B53">
        <w:rPr>
          <w:rFonts w:ascii="Times New Roman" w:eastAsia="Times New Roman" w:hAnsi="Times New Roman" w:cs="Times New Roman"/>
          <w:sz w:val="24"/>
          <w:szCs w:val="24"/>
          <w:lang w:eastAsia="pt-BR"/>
        </w:rPr>
        <w:t>, conjugados com os saldos de caixa do exercício anterior e os que se transferem para o início do exercício seguinte.</w:t>
      </w:r>
    </w:p>
    <w:p w:rsidR="0018407B" w:rsidRDefault="0018407B" w:rsidP="0018407B">
      <w:pPr>
        <w:spacing w:after="0" w:line="240" w:lineRule="auto"/>
        <w:jc w:val="both"/>
        <w:rPr>
          <w:rFonts w:ascii="Times New Roman" w:eastAsia="Times New Roman" w:hAnsi="Times New Roman" w:cs="Times New Roman"/>
          <w:sz w:val="24"/>
          <w:szCs w:val="24"/>
          <w:lang w:eastAsia="pt-BR"/>
        </w:rPr>
      </w:pPr>
    </w:p>
    <w:p w:rsidR="0018407B" w:rsidRPr="00E45020" w:rsidRDefault="00FF62EC" w:rsidP="0018407B">
      <w:pPr>
        <w:spacing w:after="0" w:line="240" w:lineRule="auto"/>
        <w:jc w:val="both"/>
        <w:rPr>
          <w:rFonts w:ascii="Times New Roman" w:eastAsia="Times New Roman" w:hAnsi="Times New Roman" w:cs="Times New Roman"/>
          <w:b/>
          <w:sz w:val="24"/>
          <w:szCs w:val="24"/>
          <w:lang w:eastAsia="pt-BR"/>
        </w:rPr>
      </w:pPr>
      <w:hyperlink r:id="rId13" w:history="1">
        <w:r w:rsidR="0018407B" w:rsidRPr="00E45020">
          <w:rPr>
            <w:rStyle w:val="Hyperlink"/>
            <w:rFonts w:ascii="Times New Roman" w:eastAsia="Times New Roman" w:hAnsi="Times New Roman" w:cs="Times New Roman"/>
            <w:color w:val="auto"/>
            <w:sz w:val="24"/>
            <w:szCs w:val="24"/>
            <w:u w:val="none"/>
            <w:lang w:eastAsia="pt-BR"/>
          </w:rPr>
          <w:t>3.11. Demonstração das Variações Patrimoniais</w:t>
        </w:r>
      </w:hyperlink>
    </w:p>
    <w:p w:rsidR="0018407B" w:rsidRPr="00EC1D90" w:rsidRDefault="0018407B" w:rsidP="0018407B">
      <w:pPr>
        <w:spacing w:after="0" w:line="240" w:lineRule="auto"/>
        <w:ind w:firstLine="708"/>
        <w:jc w:val="both"/>
        <w:rPr>
          <w:rFonts w:ascii="Times New Roman" w:eastAsia="Times New Roman" w:hAnsi="Times New Roman" w:cs="Times New Roman"/>
          <w:b/>
          <w:sz w:val="24"/>
          <w:szCs w:val="24"/>
          <w:lang w:eastAsia="pt-BR"/>
        </w:rPr>
      </w:pPr>
    </w:p>
    <w:p w:rsidR="0018407B"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A Demonstração das Variações Patrimoniais evidencia as variações verificadas no patrimônio e indica o resultado patrimonial do exercício.</w:t>
      </w:r>
    </w:p>
    <w:p w:rsidR="0018407B" w:rsidRPr="00CE2B53" w:rsidRDefault="0018407B" w:rsidP="0018407B">
      <w:pPr>
        <w:spacing w:after="0" w:line="240" w:lineRule="auto"/>
        <w:jc w:val="both"/>
        <w:rPr>
          <w:rFonts w:ascii="Times New Roman" w:eastAsia="Times New Roman" w:hAnsi="Times New Roman" w:cs="Times New Roman"/>
          <w:sz w:val="24"/>
          <w:szCs w:val="24"/>
          <w:lang w:eastAsia="pt-BR"/>
        </w:rPr>
      </w:pPr>
    </w:p>
    <w:p w:rsidR="0018407B" w:rsidRPr="00CE2B53"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As variações quantitativas são decorrentes de transações no setor público que aumentam ou diminuem o patrimônio líquido.</w:t>
      </w:r>
    </w:p>
    <w:p w:rsidR="0018407B" w:rsidRDefault="0018407B" w:rsidP="0018407B">
      <w:pPr>
        <w:spacing w:after="0" w:line="240" w:lineRule="auto"/>
        <w:jc w:val="both"/>
        <w:rPr>
          <w:rFonts w:ascii="Times New Roman" w:eastAsia="Times New Roman" w:hAnsi="Times New Roman" w:cs="Times New Roman"/>
          <w:sz w:val="24"/>
          <w:szCs w:val="24"/>
          <w:lang w:eastAsia="pt-BR"/>
        </w:rPr>
      </w:pPr>
    </w:p>
    <w:p w:rsidR="0018407B" w:rsidRPr="00CE2B53"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O resultado patrimonial do período é apurado pelo confronto entre as variações quantitativas aumentativas e diminutivas.</w:t>
      </w:r>
    </w:p>
    <w:p w:rsidR="0018407B" w:rsidRDefault="0018407B" w:rsidP="0018407B">
      <w:pPr>
        <w:spacing w:after="0" w:line="240" w:lineRule="auto"/>
        <w:jc w:val="both"/>
        <w:rPr>
          <w:rFonts w:ascii="Times New Roman" w:eastAsia="Times New Roman" w:hAnsi="Times New Roman" w:cs="Times New Roman"/>
          <w:sz w:val="24"/>
          <w:szCs w:val="24"/>
          <w:lang w:eastAsia="pt-BR"/>
        </w:rPr>
      </w:pPr>
    </w:p>
    <w:p w:rsidR="0018407B"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O Resultado Patrimonial foi apurado de acordo com o Artigo 104 da Lei nº 4.320/64</w:t>
      </w:r>
      <w:r>
        <w:rPr>
          <w:rFonts w:ascii="Times New Roman" w:eastAsia="Times New Roman" w:hAnsi="Times New Roman" w:cs="Times New Roman"/>
          <w:sz w:val="24"/>
          <w:szCs w:val="24"/>
          <w:lang w:eastAsia="pt-BR"/>
        </w:rPr>
        <w:t>.</w:t>
      </w:r>
    </w:p>
    <w:p w:rsidR="0018407B" w:rsidRDefault="0018407B" w:rsidP="0018407B">
      <w:pPr>
        <w:spacing w:after="0" w:line="240" w:lineRule="auto"/>
        <w:ind w:firstLine="708"/>
        <w:jc w:val="both"/>
        <w:rPr>
          <w:rFonts w:ascii="Times New Roman" w:eastAsia="Times New Roman" w:hAnsi="Times New Roman" w:cs="Times New Roman"/>
          <w:b/>
          <w:sz w:val="24"/>
          <w:szCs w:val="24"/>
          <w:lang w:eastAsia="pt-BR"/>
        </w:rPr>
      </w:pPr>
    </w:p>
    <w:p w:rsidR="0018407B" w:rsidRPr="00E45020" w:rsidRDefault="00FF62EC" w:rsidP="0018407B">
      <w:pPr>
        <w:spacing w:after="0" w:line="240" w:lineRule="auto"/>
        <w:jc w:val="both"/>
        <w:rPr>
          <w:rFonts w:ascii="Times New Roman" w:eastAsia="Times New Roman" w:hAnsi="Times New Roman" w:cs="Times New Roman"/>
          <w:b/>
          <w:sz w:val="24"/>
          <w:szCs w:val="24"/>
          <w:lang w:eastAsia="pt-BR"/>
        </w:rPr>
      </w:pPr>
      <w:hyperlink r:id="rId14" w:history="1">
        <w:r w:rsidR="0018407B" w:rsidRPr="00E45020">
          <w:rPr>
            <w:rStyle w:val="Hyperlink"/>
            <w:rFonts w:ascii="Times New Roman" w:eastAsia="Times New Roman" w:hAnsi="Times New Roman" w:cs="Times New Roman"/>
            <w:color w:val="auto"/>
            <w:sz w:val="24"/>
            <w:szCs w:val="24"/>
            <w:u w:val="none"/>
            <w:lang w:eastAsia="pt-BR"/>
          </w:rPr>
          <w:t>3.12. Demonstração do Fluxo de Caixa – DFC</w:t>
        </w:r>
      </w:hyperlink>
    </w:p>
    <w:p w:rsidR="0018407B" w:rsidRPr="00EC1D90" w:rsidRDefault="0018407B" w:rsidP="0018407B">
      <w:pPr>
        <w:spacing w:after="0" w:line="240" w:lineRule="auto"/>
        <w:jc w:val="both"/>
        <w:rPr>
          <w:rFonts w:ascii="Times New Roman" w:eastAsia="Times New Roman" w:hAnsi="Times New Roman" w:cs="Times New Roman"/>
          <w:b/>
          <w:sz w:val="24"/>
          <w:szCs w:val="24"/>
          <w:lang w:eastAsia="pt-BR"/>
        </w:rPr>
      </w:pPr>
    </w:p>
    <w:p w:rsidR="0018407B" w:rsidRDefault="0018407B" w:rsidP="0018407B">
      <w:pPr>
        <w:widowControl w:val="0"/>
        <w:spacing w:line="228" w:lineRule="auto"/>
        <w:jc w:val="both"/>
        <w:rPr>
          <w:rFonts w:ascii="Times New Roman" w:hAnsi="Times New Roman" w:cs="Times New Roman"/>
          <w:bCs/>
          <w:color w:val="000000"/>
          <w:sz w:val="24"/>
          <w:szCs w:val="24"/>
        </w:rPr>
      </w:pPr>
      <w:r w:rsidRPr="009F248A">
        <w:rPr>
          <w:rFonts w:ascii="Times New Roman" w:hAnsi="Times New Roman" w:cs="Times New Roman"/>
          <w:bCs/>
          <w:color w:val="000000"/>
          <w:sz w:val="24"/>
          <w:szCs w:val="24"/>
        </w:rPr>
        <w:t>A Demonstração dos Fluxos de Caixa permite aos usuários projetar cenários de fluxos futuros de caixa e elaborar análise sobre eventuais mudanças em torno da capacidade de manutenção do regular financiamento dos serviços.</w:t>
      </w:r>
    </w:p>
    <w:p w:rsidR="0018407B"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xml:space="preserve">O Fluxo de Caixa foi elaborado pelo método direto, evidenciando as movimentações ocorridas no caixa e seus equivalentes. </w:t>
      </w:r>
    </w:p>
    <w:p w:rsidR="0018407B" w:rsidRDefault="0018407B" w:rsidP="0018407B">
      <w:pPr>
        <w:spacing w:after="0" w:line="240" w:lineRule="auto"/>
        <w:jc w:val="both"/>
        <w:rPr>
          <w:rFonts w:ascii="Times New Roman" w:eastAsia="Times New Roman" w:hAnsi="Times New Roman" w:cs="Times New Roman"/>
          <w:b/>
          <w:sz w:val="24"/>
          <w:szCs w:val="24"/>
          <w:lang w:eastAsia="pt-BR"/>
        </w:rPr>
      </w:pPr>
    </w:p>
    <w:p w:rsidR="0018407B" w:rsidRDefault="0018407B" w:rsidP="0018407B">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4</w:t>
      </w:r>
      <w:r w:rsidRPr="00967CFC">
        <w:rPr>
          <w:rFonts w:ascii="Times New Roman" w:eastAsia="Times New Roman" w:hAnsi="Times New Roman" w:cs="Times New Roman"/>
          <w:b/>
          <w:sz w:val="24"/>
          <w:szCs w:val="24"/>
          <w:lang w:eastAsia="pt-BR"/>
        </w:rPr>
        <w:t>.    Gestão de Risco Financeiro</w:t>
      </w:r>
    </w:p>
    <w:p w:rsidR="0018407B" w:rsidRPr="00F213BA" w:rsidRDefault="0018407B" w:rsidP="0018407B">
      <w:pPr>
        <w:spacing w:after="0" w:line="240" w:lineRule="auto"/>
        <w:jc w:val="both"/>
        <w:rPr>
          <w:rFonts w:ascii="Times New Roman" w:eastAsia="Times New Roman" w:hAnsi="Times New Roman" w:cs="Times New Roman"/>
          <w:b/>
          <w:sz w:val="24"/>
          <w:szCs w:val="24"/>
          <w:lang w:eastAsia="pt-BR"/>
        </w:rPr>
      </w:pPr>
    </w:p>
    <w:p w:rsidR="0018407B" w:rsidRPr="00F213BA" w:rsidRDefault="0018407B" w:rsidP="0018407B">
      <w:pPr>
        <w:pStyle w:val="PargrafodaLista"/>
        <w:numPr>
          <w:ilvl w:val="1"/>
          <w:numId w:val="45"/>
        </w:numPr>
        <w:tabs>
          <w:tab w:val="left" w:pos="851"/>
        </w:tabs>
        <w:spacing w:line="252" w:lineRule="auto"/>
        <w:ind w:left="284"/>
        <w:rPr>
          <w:rFonts w:ascii="Times New Roman" w:hAnsi="Times New Roman" w:cs="Times New Roman"/>
          <w:b/>
          <w:bCs/>
          <w:color w:val="000000"/>
          <w:sz w:val="24"/>
          <w:szCs w:val="24"/>
        </w:rPr>
      </w:pPr>
      <w:r w:rsidRPr="00F213BA">
        <w:rPr>
          <w:rFonts w:ascii="Times New Roman" w:hAnsi="Times New Roman" w:cs="Times New Roman"/>
          <w:b/>
          <w:bCs/>
          <w:color w:val="000000"/>
          <w:sz w:val="24"/>
          <w:szCs w:val="24"/>
        </w:rPr>
        <w:t xml:space="preserve">. Considerações gerais e políticas </w:t>
      </w:r>
    </w:p>
    <w:p w:rsidR="0018407B" w:rsidRPr="00F213BA" w:rsidRDefault="0018407B" w:rsidP="0018407B">
      <w:pPr>
        <w:widowControl w:val="0"/>
        <w:spacing w:before="120"/>
        <w:jc w:val="both"/>
        <w:rPr>
          <w:rFonts w:ascii="Times New Roman" w:hAnsi="Times New Roman" w:cs="Times New Roman"/>
          <w:color w:val="000000"/>
          <w:sz w:val="24"/>
          <w:szCs w:val="24"/>
        </w:rPr>
      </w:pPr>
      <w:r w:rsidRPr="00F213BA">
        <w:rPr>
          <w:rFonts w:ascii="Times New Roman" w:hAnsi="Times New Roman" w:cs="Times New Roman"/>
          <w:color w:val="000000"/>
          <w:sz w:val="24"/>
          <w:szCs w:val="24"/>
        </w:rPr>
        <w:t>As operações financeiras da Entidade são realizadas por intermédio da área financeira de acordo com a estratégia previamente aprovada pela alta governança.</w:t>
      </w:r>
    </w:p>
    <w:p w:rsidR="0018407B" w:rsidRPr="00F213BA" w:rsidRDefault="0018407B" w:rsidP="0018407B">
      <w:pPr>
        <w:spacing w:after="0" w:line="240" w:lineRule="auto"/>
        <w:jc w:val="both"/>
        <w:rPr>
          <w:rFonts w:ascii="Times New Roman" w:hAnsi="Times New Roman" w:cs="Times New Roman"/>
          <w:color w:val="000000"/>
          <w:sz w:val="24"/>
          <w:szCs w:val="24"/>
        </w:rPr>
      </w:pPr>
      <w:r w:rsidRPr="00F213BA">
        <w:rPr>
          <w:rFonts w:ascii="Times New Roman" w:hAnsi="Times New Roman" w:cs="Times New Roman"/>
          <w:color w:val="000000"/>
          <w:sz w:val="24"/>
          <w:szCs w:val="24"/>
        </w:rPr>
        <w:t>As estratégias de gerenciamento de riscos da Entidade e os efeitos nas demonstrações financeiras podem ser resumidos como segue:</w:t>
      </w:r>
    </w:p>
    <w:p w:rsidR="0018407B" w:rsidRPr="00804934" w:rsidRDefault="0018407B" w:rsidP="0018407B">
      <w:pPr>
        <w:spacing w:after="0" w:line="240" w:lineRule="auto"/>
        <w:jc w:val="both"/>
        <w:rPr>
          <w:rFonts w:ascii="Times New Roman" w:eastAsia="Times New Roman" w:hAnsi="Times New Roman" w:cs="Times New Roman"/>
          <w:b/>
          <w:sz w:val="24"/>
          <w:szCs w:val="24"/>
          <w:lang w:eastAsia="pt-BR"/>
        </w:rPr>
      </w:pPr>
    </w:p>
    <w:p w:rsidR="0018407B" w:rsidRPr="008A40F8" w:rsidRDefault="0018407B" w:rsidP="0018407B">
      <w:pPr>
        <w:pStyle w:val="PargrafodaLista"/>
        <w:widowControl w:val="0"/>
        <w:numPr>
          <w:ilvl w:val="0"/>
          <w:numId w:val="46"/>
        </w:numPr>
        <w:tabs>
          <w:tab w:val="left" w:pos="993"/>
        </w:tabs>
        <w:spacing w:beforeLines="1" w:before="2" w:after="0" w:line="240" w:lineRule="auto"/>
        <w:ind w:left="430"/>
        <w:jc w:val="both"/>
        <w:rPr>
          <w:rFonts w:ascii="Times New Roman" w:hAnsi="Times New Roman" w:cs="Times New Roman"/>
          <w:color w:val="FF0000"/>
          <w:sz w:val="24"/>
          <w:szCs w:val="24"/>
        </w:rPr>
      </w:pPr>
      <w:r w:rsidRPr="00804934">
        <w:rPr>
          <w:rFonts w:ascii="Times New Roman" w:hAnsi="Times New Roman" w:cs="Times New Roman"/>
          <w:b/>
          <w:sz w:val="24"/>
          <w:szCs w:val="24"/>
        </w:rPr>
        <w:t xml:space="preserve">Risco de Crédito: </w:t>
      </w:r>
      <w:r w:rsidRPr="00804934">
        <w:rPr>
          <w:rFonts w:ascii="Times New Roman" w:hAnsi="Times New Roman" w:cs="Times New Roman"/>
          <w:sz w:val="24"/>
          <w:szCs w:val="24"/>
        </w:rPr>
        <w:t>O risco de crédito decorre da possibilidade de ocorrência de perdas associadas ao não cumprimento pelo devedor ou contraparte de suas obrigações financeiras nos termo</w:t>
      </w:r>
      <w:r w:rsidRPr="00F213BA">
        <w:rPr>
          <w:rFonts w:ascii="Times New Roman" w:hAnsi="Times New Roman" w:cs="Times New Roman"/>
          <w:color w:val="000000"/>
          <w:sz w:val="24"/>
          <w:szCs w:val="24"/>
        </w:rPr>
        <w:t xml:space="preserve">s pactuados. Essa </w:t>
      </w:r>
      <w:r w:rsidRPr="00C92472">
        <w:rPr>
          <w:rFonts w:ascii="Times New Roman" w:hAnsi="Times New Roman" w:cs="Times New Roman"/>
          <w:color w:val="000000" w:themeColor="text1"/>
          <w:sz w:val="24"/>
          <w:szCs w:val="24"/>
        </w:rPr>
        <w:t xml:space="preserve">exposição está relevantemente associada às aplicações financeiras mantidas pela Entidade, conforme </w:t>
      </w:r>
      <w:r w:rsidRPr="00C92472">
        <w:rPr>
          <w:rFonts w:ascii="Times New Roman" w:hAnsi="Times New Roman" w:cs="Times New Roman"/>
          <w:b/>
          <w:color w:val="000000" w:themeColor="text1"/>
          <w:sz w:val="24"/>
          <w:szCs w:val="24"/>
        </w:rPr>
        <w:t>Notas 5 e 6.</w:t>
      </w:r>
    </w:p>
    <w:p w:rsidR="0018407B" w:rsidRDefault="0018407B" w:rsidP="0018407B">
      <w:pPr>
        <w:pStyle w:val="PargrafodaLista"/>
        <w:widowControl w:val="0"/>
        <w:tabs>
          <w:tab w:val="left" w:pos="993"/>
        </w:tabs>
        <w:spacing w:beforeLines="1" w:before="2" w:after="0" w:line="240" w:lineRule="auto"/>
        <w:ind w:left="430"/>
        <w:jc w:val="both"/>
        <w:rPr>
          <w:rFonts w:ascii="Times New Roman" w:hAnsi="Times New Roman" w:cs="Times New Roman"/>
          <w:color w:val="000000"/>
          <w:sz w:val="24"/>
          <w:szCs w:val="24"/>
        </w:rPr>
      </w:pPr>
    </w:p>
    <w:p w:rsidR="0018407B" w:rsidRPr="00F213BA" w:rsidRDefault="0018407B" w:rsidP="0018407B">
      <w:pPr>
        <w:pStyle w:val="PargrafodaLista"/>
        <w:widowControl w:val="0"/>
        <w:tabs>
          <w:tab w:val="left" w:pos="993"/>
        </w:tabs>
        <w:spacing w:beforeLines="1" w:before="2" w:after="0" w:line="240" w:lineRule="auto"/>
        <w:ind w:left="430"/>
        <w:jc w:val="both"/>
        <w:rPr>
          <w:rFonts w:ascii="Times New Roman" w:hAnsi="Times New Roman" w:cs="Times New Roman"/>
          <w:color w:val="000000"/>
          <w:sz w:val="24"/>
          <w:szCs w:val="24"/>
        </w:rPr>
      </w:pPr>
    </w:p>
    <w:p w:rsidR="0018407B" w:rsidRPr="00F213BA" w:rsidRDefault="0018407B" w:rsidP="0018407B">
      <w:pPr>
        <w:widowControl w:val="0"/>
        <w:ind w:left="430"/>
        <w:jc w:val="both"/>
        <w:rPr>
          <w:rFonts w:ascii="Times New Roman" w:hAnsi="Times New Roman" w:cs="Times New Roman"/>
          <w:color w:val="000000"/>
          <w:sz w:val="24"/>
          <w:szCs w:val="24"/>
        </w:rPr>
      </w:pPr>
      <w:r w:rsidRPr="00F213BA">
        <w:rPr>
          <w:rFonts w:ascii="Times New Roman" w:hAnsi="Times New Roman" w:cs="Times New Roman"/>
          <w:color w:val="000000"/>
          <w:sz w:val="24"/>
          <w:szCs w:val="24"/>
        </w:rPr>
        <w:lastRenderedPageBreak/>
        <w:t xml:space="preserve">O entendimento da Administração é de que o risco de crédito está substancialmente mitigado: </w:t>
      </w:r>
    </w:p>
    <w:p w:rsidR="0018407B" w:rsidRPr="00F213BA" w:rsidRDefault="0018407B" w:rsidP="0018407B">
      <w:pPr>
        <w:widowControl w:val="0"/>
        <w:ind w:left="430"/>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Pr="00F213BA">
        <w:rPr>
          <w:rFonts w:ascii="Times New Roman" w:hAnsi="Times New Roman" w:cs="Times New Roman"/>
          <w:color w:val="000000"/>
          <w:sz w:val="24"/>
          <w:szCs w:val="24"/>
        </w:rPr>
        <w:t xml:space="preserve">) com relação às aplicações financeiras, os recursos estão </w:t>
      </w:r>
      <w:r>
        <w:rPr>
          <w:rFonts w:ascii="Times New Roman" w:hAnsi="Times New Roman" w:cs="Times New Roman"/>
          <w:color w:val="000000"/>
          <w:sz w:val="24"/>
          <w:szCs w:val="24"/>
        </w:rPr>
        <w:t>aplicados em instituição financeira</w:t>
      </w:r>
      <w:r w:rsidRPr="00F213BA">
        <w:rPr>
          <w:rFonts w:ascii="Times New Roman" w:hAnsi="Times New Roman" w:cs="Times New Roman"/>
          <w:color w:val="000000"/>
          <w:sz w:val="24"/>
          <w:szCs w:val="24"/>
        </w:rPr>
        <w:t xml:space="preserve"> confiável, cujos prazos de v</w:t>
      </w:r>
      <w:r>
        <w:rPr>
          <w:rFonts w:ascii="Times New Roman" w:hAnsi="Times New Roman" w:cs="Times New Roman"/>
          <w:color w:val="000000"/>
          <w:sz w:val="24"/>
          <w:szCs w:val="24"/>
        </w:rPr>
        <w:t>encimento são de curto prazo.</w:t>
      </w:r>
    </w:p>
    <w:p w:rsidR="0018407B" w:rsidRPr="00F213BA" w:rsidRDefault="0018407B" w:rsidP="0018407B">
      <w:pPr>
        <w:pStyle w:val="PargrafodaLista"/>
        <w:widowControl w:val="0"/>
        <w:numPr>
          <w:ilvl w:val="0"/>
          <w:numId w:val="46"/>
        </w:numPr>
        <w:tabs>
          <w:tab w:val="left" w:pos="993"/>
        </w:tabs>
        <w:spacing w:beforeLines="1" w:before="2" w:after="0" w:line="244" w:lineRule="auto"/>
        <w:ind w:left="433"/>
        <w:jc w:val="both"/>
        <w:rPr>
          <w:rFonts w:ascii="Times New Roman" w:hAnsi="Times New Roman" w:cs="Times New Roman"/>
          <w:color w:val="000000"/>
          <w:sz w:val="24"/>
          <w:szCs w:val="24"/>
        </w:rPr>
      </w:pPr>
      <w:r w:rsidRPr="00F213BA">
        <w:rPr>
          <w:rFonts w:ascii="Times New Roman" w:hAnsi="Times New Roman" w:cs="Times New Roman"/>
          <w:b/>
          <w:color w:val="000000"/>
          <w:sz w:val="24"/>
          <w:szCs w:val="24"/>
        </w:rPr>
        <w:t xml:space="preserve">Risco de mercado: </w:t>
      </w:r>
      <w:r w:rsidRPr="00F213BA">
        <w:rPr>
          <w:rFonts w:ascii="Times New Roman" w:hAnsi="Times New Roman" w:cs="Times New Roman"/>
          <w:color w:val="000000"/>
          <w:sz w:val="24"/>
          <w:szCs w:val="24"/>
        </w:rPr>
        <w:t>O risco de mercado consiste na possibilidade de ocorrência de perdas resultantes da mudança nos preços de mercado de instrumentos financeiros e compreende os riscos de flutuação da moeda, de taxa de juros e de preços. Essa exposição está relevantemente associada às taxas pactuadas com instituições financeiras das aplicações financeiras mantidas pe</w:t>
      </w:r>
      <w:r>
        <w:rPr>
          <w:rFonts w:ascii="Times New Roman" w:hAnsi="Times New Roman" w:cs="Times New Roman"/>
          <w:color w:val="000000"/>
          <w:sz w:val="24"/>
          <w:szCs w:val="24"/>
        </w:rPr>
        <w:t>la Entidade</w:t>
      </w:r>
      <w:r w:rsidRPr="00F213BA">
        <w:rPr>
          <w:rFonts w:ascii="Times New Roman" w:hAnsi="Times New Roman" w:cs="Times New Roman"/>
          <w:color w:val="000000"/>
          <w:sz w:val="24"/>
          <w:szCs w:val="24"/>
        </w:rPr>
        <w:t xml:space="preserve">. O entendimento da Administração é de que o risco de taxa de juros está substancialmente mitigado considerando a aplicação em produtos </w:t>
      </w:r>
      <w:r>
        <w:rPr>
          <w:rFonts w:ascii="Times New Roman" w:hAnsi="Times New Roman" w:cs="Times New Roman"/>
          <w:color w:val="000000"/>
          <w:sz w:val="24"/>
          <w:szCs w:val="24"/>
        </w:rPr>
        <w:t>vinculados a títulos públicos</w:t>
      </w:r>
      <w:r w:rsidRPr="00F213BA">
        <w:rPr>
          <w:rFonts w:ascii="Times New Roman" w:hAnsi="Times New Roman" w:cs="Times New Roman"/>
          <w:color w:val="000000"/>
          <w:sz w:val="24"/>
          <w:szCs w:val="24"/>
        </w:rPr>
        <w:t>, com insignificante margem de alteração.</w:t>
      </w:r>
    </w:p>
    <w:p w:rsidR="0018407B" w:rsidRPr="00F213BA" w:rsidRDefault="0018407B" w:rsidP="0018407B">
      <w:pPr>
        <w:pStyle w:val="PargrafodaLista"/>
        <w:widowControl w:val="0"/>
        <w:tabs>
          <w:tab w:val="left" w:pos="993"/>
        </w:tabs>
        <w:spacing w:before="2"/>
        <w:ind w:left="790"/>
        <w:rPr>
          <w:rFonts w:ascii="Times New Roman" w:hAnsi="Times New Roman" w:cs="Times New Roman"/>
          <w:b/>
          <w:color w:val="000000"/>
          <w:sz w:val="24"/>
          <w:szCs w:val="24"/>
        </w:rPr>
      </w:pPr>
    </w:p>
    <w:p w:rsidR="0018407B" w:rsidRPr="00F213BA" w:rsidRDefault="0018407B" w:rsidP="0018407B">
      <w:pPr>
        <w:pStyle w:val="PargrafodaLista"/>
        <w:widowControl w:val="0"/>
        <w:numPr>
          <w:ilvl w:val="0"/>
          <w:numId w:val="46"/>
        </w:numPr>
        <w:tabs>
          <w:tab w:val="left" w:pos="993"/>
        </w:tabs>
        <w:spacing w:beforeLines="1" w:before="2" w:after="0" w:line="244" w:lineRule="auto"/>
        <w:ind w:left="433"/>
        <w:jc w:val="both"/>
        <w:rPr>
          <w:rFonts w:ascii="Times New Roman" w:hAnsi="Times New Roman" w:cs="Times New Roman"/>
          <w:color w:val="000000"/>
          <w:sz w:val="24"/>
          <w:szCs w:val="24"/>
        </w:rPr>
      </w:pPr>
      <w:r w:rsidRPr="00F213BA">
        <w:rPr>
          <w:rFonts w:ascii="Times New Roman" w:hAnsi="Times New Roman" w:cs="Times New Roman"/>
          <w:b/>
          <w:color w:val="000000"/>
          <w:sz w:val="24"/>
          <w:szCs w:val="24"/>
        </w:rPr>
        <w:t xml:space="preserve">Risco de liquidez: </w:t>
      </w:r>
      <w:r w:rsidRPr="00F213BA">
        <w:rPr>
          <w:rFonts w:ascii="Times New Roman" w:hAnsi="Times New Roman" w:cs="Times New Roman"/>
          <w:color w:val="000000"/>
          <w:sz w:val="24"/>
          <w:szCs w:val="24"/>
        </w:rPr>
        <w:t>O risco de liquidez está associado à eventual falta de recursos para honrar os compromissos assumidos, em função do descasamento entre ativos e passivos. A previsão de fluxo de caixa é realizada pela administração da Entidade por meio do departamento financeiro.</w:t>
      </w:r>
    </w:p>
    <w:p w:rsidR="0018407B" w:rsidRDefault="0018407B" w:rsidP="0018407B">
      <w:pPr>
        <w:spacing w:after="0" w:line="240" w:lineRule="auto"/>
        <w:jc w:val="both"/>
        <w:rPr>
          <w:rFonts w:ascii="Times New Roman" w:hAnsi="Times New Roman" w:cs="Times New Roman"/>
          <w:color w:val="000000"/>
          <w:sz w:val="24"/>
          <w:szCs w:val="24"/>
        </w:rPr>
      </w:pPr>
    </w:p>
    <w:p w:rsidR="0018407B" w:rsidRPr="00F213BA" w:rsidRDefault="0018407B" w:rsidP="0018407B">
      <w:pPr>
        <w:spacing w:after="0" w:line="240" w:lineRule="auto"/>
        <w:ind w:left="433"/>
        <w:jc w:val="both"/>
        <w:rPr>
          <w:rFonts w:ascii="Times New Roman" w:eastAsia="Times New Roman" w:hAnsi="Times New Roman" w:cs="Times New Roman"/>
          <w:b/>
          <w:sz w:val="24"/>
          <w:szCs w:val="24"/>
          <w:lang w:eastAsia="pt-BR"/>
        </w:rPr>
      </w:pPr>
      <w:r w:rsidRPr="00F213BA">
        <w:rPr>
          <w:rFonts w:ascii="Times New Roman" w:hAnsi="Times New Roman" w:cs="Times New Roman"/>
          <w:color w:val="000000"/>
          <w:sz w:val="24"/>
          <w:szCs w:val="24"/>
        </w:rPr>
        <w:t>A administração monitora as previsões contínuas das exigências de liquidez da Entidade para assegurar que ela tenha caixa suficiente para atender às necessidades operacionais.</w:t>
      </w:r>
    </w:p>
    <w:p w:rsidR="0018407B" w:rsidRPr="00F213BA" w:rsidRDefault="0018407B" w:rsidP="0018407B">
      <w:pPr>
        <w:spacing w:after="0" w:line="240" w:lineRule="auto"/>
        <w:jc w:val="both"/>
        <w:rPr>
          <w:rFonts w:ascii="Times New Roman" w:eastAsia="Times New Roman" w:hAnsi="Times New Roman" w:cs="Times New Roman"/>
          <w:b/>
          <w:sz w:val="24"/>
          <w:szCs w:val="24"/>
          <w:lang w:eastAsia="pt-BR"/>
        </w:rPr>
      </w:pPr>
    </w:p>
    <w:p w:rsidR="0018407B" w:rsidRPr="005418BD" w:rsidRDefault="0018407B" w:rsidP="0018407B">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5.</w:t>
      </w:r>
      <w:r w:rsidRPr="005418BD">
        <w:rPr>
          <w:rFonts w:ascii="Times New Roman" w:eastAsia="Times New Roman" w:hAnsi="Times New Roman" w:cs="Times New Roman"/>
          <w:b/>
          <w:sz w:val="24"/>
          <w:szCs w:val="24"/>
          <w:lang w:eastAsia="pt-BR"/>
        </w:rPr>
        <w:t xml:space="preserve"> Caixa e Equivalentes de Caixa</w:t>
      </w:r>
    </w:p>
    <w:p w:rsidR="0018407B" w:rsidRDefault="0018407B" w:rsidP="0018407B">
      <w:pPr>
        <w:pStyle w:val="Style"/>
        <w:autoSpaceDE/>
        <w:adjustRightInd/>
        <w:spacing w:before="2" w:line="216" w:lineRule="auto"/>
        <w:rPr>
          <w:rFonts w:ascii="Trebuchet MS" w:hAnsi="Trebuchet MS" w:cs="Arial"/>
          <w:color w:val="000000"/>
          <w:sz w:val="22"/>
          <w:szCs w:val="22"/>
          <w:lang w:val="pt-BR"/>
        </w:rPr>
      </w:pPr>
    </w:p>
    <w:p w:rsidR="0018407B" w:rsidRPr="00275C49" w:rsidRDefault="0018407B" w:rsidP="0018407B">
      <w:pPr>
        <w:pStyle w:val="Style"/>
        <w:autoSpaceDE/>
        <w:adjustRightInd/>
        <w:spacing w:before="2" w:line="216" w:lineRule="auto"/>
        <w:rPr>
          <w:rFonts w:ascii="Trebuchet MS" w:hAnsi="Trebuchet MS" w:cs="Arial"/>
          <w:color w:val="000000"/>
          <w:sz w:val="22"/>
          <w:szCs w:val="22"/>
          <w:u w:val="single"/>
          <w:lang w:val="pt-BR"/>
        </w:rPr>
      </w:pPr>
      <w:r>
        <w:rPr>
          <w:rFonts w:ascii="Trebuchet MS" w:hAnsi="Trebuchet MS" w:cs="Arial"/>
          <w:color w:val="000000"/>
          <w:sz w:val="22"/>
          <w:szCs w:val="22"/>
          <w:lang w:val="pt-BR"/>
        </w:rPr>
        <w:tab/>
      </w:r>
      <w:r>
        <w:rPr>
          <w:rFonts w:ascii="Trebuchet MS" w:hAnsi="Trebuchet MS" w:cs="Arial"/>
          <w:color w:val="000000"/>
          <w:sz w:val="22"/>
          <w:szCs w:val="22"/>
          <w:lang w:val="pt-BR"/>
        </w:rPr>
        <w:tab/>
      </w:r>
      <w:r>
        <w:rPr>
          <w:rFonts w:ascii="Trebuchet MS" w:hAnsi="Trebuchet MS" w:cs="Arial"/>
          <w:color w:val="000000"/>
          <w:sz w:val="22"/>
          <w:szCs w:val="22"/>
          <w:lang w:val="pt-BR"/>
        </w:rPr>
        <w:tab/>
      </w:r>
      <w:r>
        <w:rPr>
          <w:rFonts w:ascii="Trebuchet MS" w:hAnsi="Trebuchet MS" w:cs="Arial"/>
          <w:color w:val="000000"/>
          <w:sz w:val="22"/>
          <w:szCs w:val="22"/>
          <w:lang w:val="pt-BR"/>
        </w:rPr>
        <w:tab/>
      </w:r>
      <w:r>
        <w:rPr>
          <w:rFonts w:ascii="Trebuchet MS" w:hAnsi="Trebuchet MS" w:cs="Arial"/>
          <w:color w:val="000000"/>
          <w:sz w:val="22"/>
          <w:szCs w:val="22"/>
          <w:lang w:val="pt-BR"/>
        </w:rPr>
        <w:tab/>
      </w:r>
      <w:r>
        <w:rPr>
          <w:rFonts w:ascii="Trebuchet MS" w:hAnsi="Trebuchet MS" w:cs="Arial"/>
          <w:color w:val="000000"/>
          <w:sz w:val="22"/>
          <w:szCs w:val="22"/>
          <w:lang w:val="pt-BR"/>
        </w:rPr>
        <w:tab/>
      </w:r>
      <w:r>
        <w:rPr>
          <w:rFonts w:ascii="Trebuchet MS" w:hAnsi="Trebuchet MS" w:cs="Arial"/>
          <w:color w:val="000000"/>
          <w:sz w:val="22"/>
          <w:szCs w:val="22"/>
          <w:lang w:val="pt-BR"/>
        </w:rPr>
        <w:tab/>
      </w:r>
      <w:r w:rsidRPr="00275C49">
        <w:rPr>
          <w:rFonts w:ascii="Trebuchet MS" w:hAnsi="Trebuchet MS" w:cs="Arial"/>
          <w:color w:val="000000"/>
          <w:sz w:val="22"/>
          <w:szCs w:val="22"/>
          <w:u w:val="single"/>
          <w:lang w:val="pt-BR"/>
        </w:rPr>
        <w:tab/>
      </w:r>
      <w:r>
        <w:rPr>
          <w:rFonts w:ascii="Trebuchet MS" w:hAnsi="Trebuchet MS" w:cs="Arial"/>
          <w:color w:val="000000"/>
          <w:sz w:val="22"/>
          <w:szCs w:val="22"/>
          <w:u w:val="single"/>
          <w:lang w:val="pt-BR"/>
        </w:rPr>
        <w:t>202</w:t>
      </w:r>
      <w:r w:rsidR="000E0DBB">
        <w:rPr>
          <w:rFonts w:ascii="Trebuchet MS" w:hAnsi="Trebuchet MS" w:cs="Arial"/>
          <w:color w:val="000000"/>
          <w:sz w:val="22"/>
          <w:szCs w:val="22"/>
          <w:u w:val="single"/>
          <w:lang w:val="pt-BR"/>
        </w:rPr>
        <w:t>2</w:t>
      </w:r>
      <w:r w:rsidRPr="00275C49">
        <w:rPr>
          <w:rFonts w:ascii="Trebuchet MS" w:hAnsi="Trebuchet MS" w:cs="Arial"/>
          <w:color w:val="000000"/>
          <w:sz w:val="22"/>
          <w:szCs w:val="22"/>
          <w:u w:val="single"/>
          <w:lang w:val="pt-BR"/>
        </w:rPr>
        <w:tab/>
      </w:r>
      <w:r w:rsidRPr="00275C49">
        <w:rPr>
          <w:rFonts w:ascii="Trebuchet MS" w:hAnsi="Trebuchet MS" w:cs="Arial"/>
          <w:color w:val="000000"/>
          <w:sz w:val="22"/>
          <w:szCs w:val="22"/>
          <w:lang w:val="pt-BR"/>
        </w:rPr>
        <w:tab/>
      </w:r>
      <w:r>
        <w:rPr>
          <w:rFonts w:ascii="Trebuchet MS" w:hAnsi="Trebuchet MS" w:cs="Arial"/>
          <w:color w:val="000000"/>
          <w:sz w:val="22"/>
          <w:szCs w:val="22"/>
          <w:u w:val="single"/>
          <w:lang w:val="pt-BR"/>
        </w:rPr>
        <w:tab/>
        <w:t>202</w:t>
      </w:r>
      <w:r w:rsidR="008A40F8">
        <w:rPr>
          <w:rFonts w:ascii="Trebuchet MS" w:hAnsi="Trebuchet MS" w:cs="Arial"/>
          <w:color w:val="000000"/>
          <w:sz w:val="22"/>
          <w:szCs w:val="22"/>
          <w:u w:val="single"/>
          <w:lang w:val="pt-BR"/>
        </w:rPr>
        <w:t>1</w:t>
      </w:r>
    </w:p>
    <w:p w:rsidR="0018407B" w:rsidRPr="00930408" w:rsidRDefault="0018407B" w:rsidP="0018407B">
      <w:pPr>
        <w:pStyle w:val="Style"/>
        <w:autoSpaceDE/>
        <w:adjustRightInd/>
        <w:spacing w:before="2" w:line="216" w:lineRule="auto"/>
        <w:ind w:left="426"/>
        <w:rPr>
          <w:rFonts w:ascii="Trebuchet MS" w:hAnsi="Trebuchet MS" w:cs="Arial"/>
          <w:color w:val="000000" w:themeColor="text1"/>
          <w:sz w:val="10"/>
          <w:szCs w:val="10"/>
          <w:lang w:val="pt-BR"/>
        </w:rPr>
      </w:pPr>
      <w:bookmarkStart w:id="1" w:name="_MON_1484508904"/>
      <w:bookmarkEnd w:id="1"/>
    </w:p>
    <w:p w:rsidR="0018407B" w:rsidRDefault="0018407B" w:rsidP="0018407B">
      <w:pPr>
        <w:pStyle w:val="Style"/>
        <w:autoSpaceDE/>
        <w:adjustRightInd/>
        <w:spacing w:before="2" w:line="216" w:lineRule="auto"/>
        <w:ind w:left="426"/>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Bancos c/ Movimento</w:t>
      </w:r>
      <w:r>
        <w:rPr>
          <w:rFonts w:ascii="Trebuchet MS" w:hAnsi="Trebuchet MS" w:cs="Arial"/>
          <w:color w:val="000000" w:themeColor="text1"/>
          <w:sz w:val="22"/>
          <w:szCs w:val="22"/>
          <w:lang w:val="pt-BR"/>
        </w:rPr>
        <w:tab/>
      </w:r>
      <w:r>
        <w:rPr>
          <w:rFonts w:ascii="Trebuchet MS" w:hAnsi="Trebuchet MS" w:cs="Arial"/>
          <w:color w:val="000000" w:themeColor="text1"/>
          <w:sz w:val="22"/>
          <w:szCs w:val="22"/>
          <w:lang w:val="pt-BR"/>
        </w:rPr>
        <w:tab/>
      </w:r>
      <w:r>
        <w:rPr>
          <w:rFonts w:ascii="Trebuchet MS" w:hAnsi="Trebuchet MS" w:cs="Arial"/>
          <w:color w:val="000000" w:themeColor="text1"/>
          <w:sz w:val="22"/>
          <w:szCs w:val="22"/>
          <w:lang w:val="pt-BR"/>
        </w:rPr>
        <w:tab/>
      </w:r>
      <w:r>
        <w:rPr>
          <w:rFonts w:ascii="Trebuchet MS" w:hAnsi="Trebuchet MS" w:cs="Arial"/>
          <w:color w:val="000000" w:themeColor="text1"/>
          <w:sz w:val="22"/>
          <w:szCs w:val="22"/>
          <w:lang w:val="pt-BR"/>
        </w:rPr>
        <w:tab/>
        <w:t xml:space="preserve">             </w:t>
      </w:r>
      <w:r w:rsidR="008A40F8">
        <w:rPr>
          <w:rFonts w:ascii="Trebuchet MS" w:hAnsi="Trebuchet MS" w:cs="Arial"/>
          <w:color w:val="000000" w:themeColor="text1"/>
          <w:sz w:val="22"/>
          <w:szCs w:val="22"/>
          <w:lang w:val="pt-BR"/>
        </w:rPr>
        <w:t>9</w:t>
      </w:r>
      <w:r>
        <w:rPr>
          <w:rFonts w:ascii="Trebuchet MS" w:hAnsi="Trebuchet MS" w:cs="Arial"/>
          <w:color w:val="000000" w:themeColor="text1"/>
          <w:sz w:val="22"/>
          <w:szCs w:val="22"/>
          <w:lang w:val="pt-BR"/>
        </w:rPr>
        <w:t>.</w:t>
      </w:r>
      <w:r w:rsidR="008A40F8">
        <w:rPr>
          <w:rFonts w:ascii="Trebuchet MS" w:hAnsi="Trebuchet MS" w:cs="Arial"/>
          <w:color w:val="000000" w:themeColor="text1"/>
          <w:sz w:val="22"/>
          <w:szCs w:val="22"/>
          <w:lang w:val="pt-BR"/>
        </w:rPr>
        <w:t>442</w:t>
      </w:r>
      <w:r>
        <w:rPr>
          <w:rFonts w:ascii="Trebuchet MS" w:hAnsi="Trebuchet MS" w:cs="Arial"/>
          <w:color w:val="000000" w:themeColor="text1"/>
          <w:sz w:val="22"/>
          <w:szCs w:val="22"/>
          <w:lang w:val="pt-BR"/>
        </w:rPr>
        <w:tab/>
      </w:r>
      <w:r>
        <w:rPr>
          <w:rFonts w:ascii="Trebuchet MS" w:hAnsi="Trebuchet MS" w:cs="Arial"/>
          <w:color w:val="000000" w:themeColor="text1"/>
          <w:sz w:val="22"/>
          <w:szCs w:val="22"/>
          <w:lang w:val="pt-BR"/>
        </w:rPr>
        <w:tab/>
        <w:t xml:space="preserve">        </w:t>
      </w:r>
      <w:r w:rsidR="008A40F8">
        <w:rPr>
          <w:rFonts w:ascii="Trebuchet MS" w:hAnsi="Trebuchet MS" w:cs="Arial"/>
          <w:color w:val="000000" w:themeColor="text1"/>
          <w:sz w:val="22"/>
          <w:szCs w:val="22"/>
          <w:lang w:val="pt-BR"/>
        </w:rPr>
        <w:t>4</w:t>
      </w:r>
      <w:r>
        <w:rPr>
          <w:rFonts w:ascii="Trebuchet MS" w:hAnsi="Trebuchet MS" w:cs="Arial"/>
          <w:color w:val="000000" w:themeColor="text1"/>
          <w:sz w:val="22"/>
          <w:szCs w:val="22"/>
          <w:lang w:val="pt-BR"/>
        </w:rPr>
        <w:t>.</w:t>
      </w:r>
      <w:r w:rsidR="008A40F8">
        <w:rPr>
          <w:rFonts w:ascii="Trebuchet MS" w:hAnsi="Trebuchet MS" w:cs="Arial"/>
          <w:color w:val="000000" w:themeColor="text1"/>
          <w:sz w:val="22"/>
          <w:szCs w:val="22"/>
          <w:lang w:val="pt-BR"/>
        </w:rPr>
        <w:t>114</w:t>
      </w:r>
    </w:p>
    <w:p w:rsidR="0018407B" w:rsidRDefault="0018407B" w:rsidP="0018407B">
      <w:pPr>
        <w:pStyle w:val="Style"/>
        <w:autoSpaceDE/>
        <w:adjustRightInd/>
        <w:spacing w:before="2" w:line="216" w:lineRule="auto"/>
        <w:ind w:left="426"/>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Aplicações financeiras</w:t>
      </w:r>
      <w:r>
        <w:rPr>
          <w:rFonts w:ascii="Trebuchet MS" w:hAnsi="Trebuchet MS" w:cs="Arial"/>
          <w:color w:val="000000" w:themeColor="text1"/>
          <w:sz w:val="22"/>
          <w:szCs w:val="22"/>
          <w:lang w:val="pt-BR"/>
        </w:rPr>
        <w:tab/>
      </w:r>
      <w:r>
        <w:rPr>
          <w:rFonts w:ascii="Trebuchet MS" w:hAnsi="Trebuchet MS" w:cs="Arial"/>
          <w:color w:val="000000" w:themeColor="text1"/>
          <w:sz w:val="22"/>
          <w:szCs w:val="22"/>
          <w:lang w:val="pt-BR"/>
        </w:rPr>
        <w:tab/>
      </w:r>
      <w:r>
        <w:rPr>
          <w:rFonts w:ascii="Trebuchet MS" w:hAnsi="Trebuchet MS" w:cs="Arial"/>
          <w:color w:val="000000" w:themeColor="text1"/>
          <w:sz w:val="22"/>
          <w:szCs w:val="22"/>
          <w:lang w:val="pt-BR"/>
        </w:rPr>
        <w:tab/>
      </w:r>
      <w:r>
        <w:rPr>
          <w:rFonts w:ascii="Trebuchet MS" w:hAnsi="Trebuchet MS" w:cs="Arial"/>
          <w:color w:val="000000" w:themeColor="text1"/>
          <w:sz w:val="22"/>
          <w:szCs w:val="22"/>
          <w:lang w:val="pt-BR"/>
        </w:rPr>
        <w:tab/>
        <w:t xml:space="preserve"> </w:t>
      </w:r>
      <w:r w:rsidRPr="00275C49">
        <w:rPr>
          <w:rFonts w:ascii="Trebuchet MS" w:hAnsi="Trebuchet MS" w:cs="Arial"/>
          <w:color w:val="000000" w:themeColor="text1"/>
          <w:sz w:val="22"/>
          <w:szCs w:val="22"/>
          <w:lang w:val="pt-BR"/>
        </w:rPr>
        <w:t xml:space="preserve">    </w:t>
      </w:r>
      <w:r w:rsidR="008A40F8">
        <w:rPr>
          <w:rFonts w:ascii="Trebuchet MS" w:hAnsi="Trebuchet MS" w:cs="Arial"/>
          <w:color w:val="000000" w:themeColor="text1"/>
          <w:sz w:val="22"/>
          <w:szCs w:val="22"/>
          <w:lang w:val="pt-BR"/>
        </w:rPr>
        <w:t>6</w:t>
      </w:r>
      <w:r>
        <w:rPr>
          <w:rFonts w:ascii="Trebuchet MS" w:hAnsi="Trebuchet MS" w:cs="Arial"/>
          <w:color w:val="000000" w:themeColor="text1"/>
          <w:sz w:val="22"/>
          <w:szCs w:val="22"/>
          <w:lang w:val="pt-BR"/>
        </w:rPr>
        <w:t>1.</w:t>
      </w:r>
      <w:r w:rsidR="008A40F8">
        <w:rPr>
          <w:rFonts w:ascii="Trebuchet MS" w:hAnsi="Trebuchet MS" w:cs="Arial"/>
          <w:color w:val="000000" w:themeColor="text1"/>
          <w:sz w:val="22"/>
          <w:szCs w:val="22"/>
          <w:lang w:val="pt-BR"/>
        </w:rPr>
        <w:t>010</w:t>
      </w:r>
      <w:r>
        <w:rPr>
          <w:rFonts w:ascii="Trebuchet MS" w:hAnsi="Trebuchet MS" w:cs="Arial"/>
          <w:color w:val="000000" w:themeColor="text1"/>
          <w:sz w:val="22"/>
          <w:szCs w:val="22"/>
          <w:lang w:val="pt-BR"/>
        </w:rPr>
        <w:t>.</w:t>
      </w:r>
      <w:r w:rsidR="008A40F8">
        <w:rPr>
          <w:rFonts w:ascii="Trebuchet MS" w:hAnsi="Trebuchet MS" w:cs="Arial"/>
          <w:color w:val="000000" w:themeColor="text1"/>
          <w:sz w:val="22"/>
          <w:szCs w:val="22"/>
          <w:lang w:val="pt-BR"/>
        </w:rPr>
        <w:t>733</w:t>
      </w:r>
      <w:r w:rsidRPr="00275C49">
        <w:rPr>
          <w:rFonts w:ascii="Trebuchet MS" w:hAnsi="Trebuchet MS" w:cs="Arial"/>
          <w:color w:val="000000" w:themeColor="text1"/>
          <w:sz w:val="22"/>
          <w:szCs w:val="22"/>
          <w:lang w:val="pt-BR"/>
        </w:rPr>
        <w:t xml:space="preserve">     </w:t>
      </w:r>
      <w:r>
        <w:rPr>
          <w:rFonts w:ascii="Trebuchet MS" w:hAnsi="Trebuchet MS" w:cs="Arial"/>
          <w:color w:val="000000" w:themeColor="text1"/>
          <w:sz w:val="22"/>
          <w:szCs w:val="22"/>
          <w:lang w:val="pt-BR"/>
        </w:rPr>
        <w:t xml:space="preserve">      </w:t>
      </w:r>
      <w:r w:rsidR="008A40F8">
        <w:rPr>
          <w:rFonts w:ascii="Trebuchet MS" w:hAnsi="Trebuchet MS" w:cs="Arial"/>
          <w:color w:val="000000" w:themeColor="text1"/>
          <w:sz w:val="22"/>
          <w:szCs w:val="22"/>
          <w:lang w:val="pt-BR"/>
        </w:rPr>
        <w:t>51</w:t>
      </w:r>
      <w:r>
        <w:rPr>
          <w:rFonts w:ascii="Trebuchet MS" w:hAnsi="Trebuchet MS" w:cs="Arial"/>
          <w:color w:val="000000" w:themeColor="text1"/>
          <w:sz w:val="22"/>
          <w:szCs w:val="22"/>
          <w:lang w:val="pt-BR"/>
        </w:rPr>
        <w:t>.</w:t>
      </w:r>
      <w:r w:rsidR="008A40F8">
        <w:rPr>
          <w:rFonts w:ascii="Trebuchet MS" w:hAnsi="Trebuchet MS" w:cs="Arial"/>
          <w:color w:val="000000" w:themeColor="text1"/>
          <w:sz w:val="22"/>
          <w:szCs w:val="22"/>
          <w:lang w:val="pt-BR"/>
        </w:rPr>
        <w:t>162</w:t>
      </w:r>
      <w:r>
        <w:rPr>
          <w:rFonts w:ascii="Trebuchet MS" w:hAnsi="Trebuchet MS" w:cs="Arial"/>
          <w:color w:val="000000" w:themeColor="text1"/>
          <w:sz w:val="22"/>
          <w:szCs w:val="22"/>
          <w:lang w:val="pt-BR"/>
        </w:rPr>
        <w:t>.</w:t>
      </w:r>
      <w:r w:rsidR="008A40F8">
        <w:rPr>
          <w:rFonts w:ascii="Trebuchet MS" w:hAnsi="Trebuchet MS" w:cs="Arial"/>
          <w:color w:val="000000" w:themeColor="text1"/>
          <w:sz w:val="22"/>
          <w:szCs w:val="22"/>
          <w:lang w:val="pt-BR"/>
        </w:rPr>
        <w:t>896</w:t>
      </w:r>
    </w:p>
    <w:p w:rsidR="0018407B" w:rsidRDefault="0018407B" w:rsidP="0018407B">
      <w:pPr>
        <w:pStyle w:val="Style"/>
        <w:autoSpaceDE/>
        <w:adjustRightInd/>
        <w:spacing w:before="2" w:line="216" w:lineRule="auto"/>
        <w:ind w:left="426"/>
        <w:rPr>
          <w:rFonts w:ascii="Trebuchet MS" w:hAnsi="Trebuchet MS" w:cs="Arial"/>
          <w:color w:val="000000" w:themeColor="text1"/>
          <w:sz w:val="22"/>
          <w:szCs w:val="22"/>
          <w:u w:val="single"/>
          <w:lang w:val="pt-BR"/>
        </w:rPr>
      </w:pPr>
      <w:r>
        <w:rPr>
          <w:rFonts w:ascii="Trebuchet MS" w:hAnsi="Trebuchet MS" w:cs="Arial"/>
          <w:color w:val="000000" w:themeColor="text1"/>
          <w:sz w:val="22"/>
          <w:szCs w:val="22"/>
          <w:lang w:val="pt-BR"/>
        </w:rPr>
        <w:t>Disponível em Moeda Estrangeira</w:t>
      </w:r>
      <w:r>
        <w:rPr>
          <w:rFonts w:ascii="Trebuchet MS" w:hAnsi="Trebuchet MS" w:cs="Arial"/>
          <w:color w:val="000000" w:themeColor="text1"/>
          <w:sz w:val="22"/>
          <w:szCs w:val="22"/>
          <w:lang w:val="pt-BR"/>
        </w:rPr>
        <w:tab/>
      </w:r>
      <w:r>
        <w:rPr>
          <w:rFonts w:ascii="Trebuchet MS" w:hAnsi="Trebuchet MS" w:cs="Arial"/>
          <w:color w:val="000000" w:themeColor="text1"/>
          <w:sz w:val="22"/>
          <w:szCs w:val="22"/>
          <w:lang w:val="pt-BR"/>
        </w:rPr>
        <w:tab/>
      </w:r>
      <w:r>
        <w:rPr>
          <w:rFonts w:ascii="Trebuchet MS" w:hAnsi="Trebuchet MS" w:cs="Arial"/>
          <w:color w:val="000000" w:themeColor="text1"/>
          <w:sz w:val="22"/>
          <w:szCs w:val="22"/>
          <w:lang w:val="pt-BR"/>
        </w:rPr>
        <w:tab/>
      </w:r>
      <w:r w:rsidR="000E0DBB">
        <w:rPr>
          <w:rFonts w:ascii="Trebuchet MS" w:hAnsi="Trebuchet MS" w:cs="Arial"/>
          <w:color w:val="000000" w:themeColor="text1"/>
          <w:sz w:val="22"/>
          <w:szCs w:val="22"/>
          <w:lang w:val="pt-BR"/>
        </w:rPr>
        <w:t xml:space="preserve"> </w:t>
      </w:r>
      <w:r>
        <w:rPr>
          <w:rFonts w:ascii="Trebuchet MS" w:hAnsi="Trebuchet MS" w:cs="Arial"/>
          <w:color w:val="000000" w:themeColor="text1"/>
          <w:sz w:val="22"/>
          <w:szCs w:val="22"/>
          <w:lang w:val="pt-BR"/>
        </w:rPr>
        <w:t xml:space="preserve">     </w:t>
      </w:r>
      <w:r w:rsidR="008A40F8">
        <w:rPr>
          <w:rFonts w:ascii="Trebuchet MS" w:hAnsi="Trebuchet MS" w:cs="Arial"/>
          <w:color w:val="000000" w:themeColor="text1"/>
          <w:sz w:val="22"/>
          <w:szCs w:val="22"/>
          <w:lang w:val="pt-BR"/>
        </w:rPr>
        <w:t>198</w:t>
      </w:r>
      <w:r>
        <w:rPr>
          <w:rFonts w:ascii="Trebuchet MS" w:hAnsi="Trebuchet MS" w:cs="Arial"/>
          <w:color w:val="000000" w:themeColor="text1"/>
          <w:sz w:val="22"/>
          <w:szCs w:val="22"/>
          <w:lang w:val="pt-BR"/>
        </w:rPr>
        <w:t xml:space="preserve">                      </w:t>
      </w:r>
      <w:r w:rsidR="008A40F8">
        <w:rPr>
          <w:rFonts w:ascii="Trebuchet MS" w:hAnsi="Trebuchet MS" w:cs="Arial"/>
          <w:color w:val="000000" w:themeColor="text1"/>
          <w:sz w:val="22"/>
          <w:szCs w:val="22"/>
          <w:lang w:val="pt-BR"/>
        </w:rPr>
        <w:t>212</w:t>
      </w:r>
    </w:p>
    <w:p w:rsidR="0018407B" w:rsidRDefault="0018407B" w:rsidP="0018407B">
      <w:pPr>
        <w:pStyle w:val="Style"/>
        <w:autoSpaceDE/>
        <w:adjustRightInd/>
        <w:spacing w:before="2" w:line="216" w:lineRule="auto"/>
        <w:ind w:left="426"/>
        <w:rPr>
          <w:rFonts w:ascii="Trebuchet MS" w:hAnsi="Trebuchet MS" w:cs="Arial"/>
          <w:color w:val="000000" w:themeColor="text1"/>
          <w:sz w:val="22"/>
          <w:szCs w:val="22"/>
          <w:u w:val="single"/>
          <w:lang w:val="pt-BR"/>
        </w:rPr>
      </w:pPr>
      <w:r>
        <w:rPr>
          <w:rFonts w:ascii="Trebuchet MS" w:hAnsi="Trebuchet MS" w:cs="Arial"/>
          <w:color w:val="000000" w:themeColor="text1"/>
          <w:sz w:val="22"/>
          <w:szCs w:val="22"/>
          <w:u w:val="single"/>
          <w:lang w:val="pt-BR"/>
        </w:rPr>
        <w:t xml:space="preserve">  </w:t>
      </w:r>
    </w:p>
    <w:p w:rsidR="0018407B" w:rsidRPr="00481FD8" w:rsidRDefault="0018407B" w:rsidP="0018407B">
      <w:pPr>
        <w:pStyle w:val="Style"/>
        <w:autoSpaceDE/>
        <w:adjustRightInd/>
        <w:spacing w:before="2" w:line="216" w:lineRule="auto"/>
        <w:ind w:left="426"/>
        <w:rPr>
          <w:rFonts w:ascii="Trebuchet MS" w:hAnsi="Trebuchet MS" w:cs="Arial"/>
          <w:b/>
          <w:color w:val="000000"/>
          <w:sz w:val="22"/>
          <w:szCs w:val="22"/>
          <w:lang w:val="pt-BR"/>
        </w:rPr>
      </w:pPr>
      <w:r w:rsidRPr="005A7BD3">
        <w:rPr>
          <w:rFonts w:ascii="Trebuchet MS" w:hAnsi="Trebuchet MS" w:cs="Arial"/>
          <w:b/>
          <w:color w:val="000000" w:themeColor="text1"/>
          <w:sz w:val="22"/>
          <w:szCs w:val="22"/>
          <w:lang w:val="pt-BR"/>
        </w:rPr>
        <w:t>Total</w:t>
      </w:r>
      <w:r w:rsidRPr="005A7BD3">
        <w:rPr>
          <w:rFonts w:ascii="Trebuchet MS" w:hAnsi="Trebuchet MS" w:cs="Arial"/>
          <w:b/>
          <w:color w:val="000000" w:themeColor="text1"/>
          <w:sz w:val="22"/>
          <w:szCs w:val="22"/>
          <w:lang w:val="pt-BR"/>
        </w:rPr>
        <w:tab/>
      </w:r>
      <w:r w:rsidRPr="005A7BD3">
        <w:rPr>
          <w:rFonts w:ascii="Trebuchet MS" w:hAnsi="Trebuchet MS" w:cs="Arial"/>
          <w:b/>
          <w:color w:val="000000" w:themeColor="text1"/>
          <w:sz w:val="22"/>
          <w:szCs w:val="22"/>
          <w:lang w:val="pt-BR"/>
        </w:rPr>
        <w:tab/>
      </w:r>
      <w:r w:rsidRPr="005A7BD3">
        <w:rPr>
          <w:rFonts w:ascii="Trebuchet MS" w:hAnsi="Trebuchet MS" w:cs="Arial"/>
          <w:b/>
          <w:color w:val="000000" w:themeColor="text1"/>
          <w:sz w:val="22"/>
          <w:szCs w:val="22"/>
          <w:lang w:val="pt-BR"/>
        </w:rPr>
        <w:tab/>
      </w:r>
      <w:r w:rsidRPr="005A7BD3">
        <w:rPr>
          <w:rFonts w:ascii="Trebuchet MS" w:hAnsi="Trebuchet MS" w:cs="Arial"/>
          <w:b/>
          <w:color w:val="000000" w:themeColor="text1"/>
          <w:sz w:val="22"/>
          <w:szCs w:val="22"/>
          <w:lang w:val="pt-BR"/>
        </w:rPr>
        <w:tab/>
      </w:r>
      <w:r w:rsidRPr="005A7BD3">
        <w:rPr>
          <w:rFonts w:ascii="Trebuchet MS" w:hAnsi="Trebuchet MS" w:cs="Arial"/>
          <w:b/>
          <w:color w:val="000000" w:themeColor="text1"/>
          <w:sz w:val="22"/>
          <w:szCs w:val="22"/>
          <w:lang w:val="pt-BR"/>
        </w:rPr>
        <w:tab/>
      </w:r>
      <w:r w:rsidRPr="005A7BD3">
        <w:rPr>
          <w:rFonts w:ascii="Trebuchet MS" w:hAnsi="Trebuchet MS" w:cs="Arial"/>
          <w:b/>
          <w:color w:val="000000" w:themeColor="text1"/>
          <w:sz w:val="22"/>
          <w:szCs w:val="22"/>
          <w:lang w:val="pt-BR"/>
        </w:rPr>
        <w:tab/>
      </w:r>
      <w:r w:rsidR="008A40F8">
        <w:rPr>
          <w:rFonts w:ascii="Trebuchet MS" w:hAnsi="Trebuchet MS" w:cs="Arial"/>
          <w:b/>
          <w:color w:val="000000" w:themeColor="text1"/>
          <w:sz w:val="22"/>
          <w:szCs w:val="22"/>
          <w:lang w:val="pt-BR"/>
        </w:rPr>
        <w:t xml:space="preserve">    </w:t>
      </w:r>
      <w:r w:rsidR="008A40F8">
        <w:rPr>
          <w:rFonts w:ascii="Trebuchet MS" w:hAnsi="Trebuchet MS" w:cs="Arial"/>
          <w:b/>
          <w:color w:val="000000" w:themeColor="text1"/>
          <w:sz w:val="22"/>
          <w:szCs w:val="22"/>
          <w:u w:val="single"/>
          <w:lang w:val="pt-BR"/>
        </w:rPr>
        <w:t>6</w:t>
      </w:r>
      <w:r>
        <w:rPr>
          <w:rFonts w:ascii="Trebuchet MS" w:hAnsi="Trebuchet MS" w:cs="Arial"/>
          <w:b/>
          <w:color w:val="000000" w:themeColor="text1"/>
          <w:sz w:val="22"/>
          <w:szCs w:val="22"/>
          <w:u w:val="single"/>
          <w:lang w:val="pt-BR"/>
        </w:rPr>
        <w:t>1.</w:t>
      </w:r>
      <w:r w:rsidR="000E0DBB">
        <w:rPr>
          <w:rFonts w:ascii="Trebuchet MS" w:hAnsi="Trebuchet MS" w:cs="Arial"/>
          <w:b/>
          <w:color w:val="000000" w:themeColor="text1"/>
          <w:sz w:val="22"/>
          <w:szCs w:val="22"/>
          <w:u w:val="single"/>
          <w:lang w:val="pt-BR"/>
        </w:rPr>
        <w:t>020</w:t>
      </w:r>
      <w:r>
        <w:rPr>
          <w:rFonts w:ascii="Trebuchet MS" w:hAnsi="Trebuchet MS" w:cs="Arial"/>
          <w:b/>
          <w:color w:val="000000" w:themeColor="text1"/>
          <w:sz w:val="22"/>
          <w:szCs w:val="22"/>
          <w:u w:val="single"/>
          <w:lang w:val="pt-BR"/>
        </w:rPr>
        <w:t>.</w:t>
      </w:r>
      <w:r w:rsidR="000E0DBB">
        <w:rPr>
          <w:rFonts w:ascii="Trebuchet MS" w:hAnsi="Trebuchet MS" w:cs="Arial"/>
          <w:b/>
          <w:color w:val="000000" w:themeColor="text1"/>
          <w:sz w:val="22"/>
          <w:szCs w:val="22"/>
          <w:u w:val="single"/>
          <w:lang w:val="pt-BR"/>
        </w:rPr>
        <w:t>373</w:t>
      </w:r>
      <w:r>
        <w:rPr>
          <w:rFonts w:ascii="Trebuchet MS" w:hAnsi="Trebuchet MS" w:cs="Arial"/>
          <w:b/>
          <w:color w:val="000000" w:themeColor="text1"/>
          <w:sz w:val="22"/>
          <w:szCs w:val="22"/>
          <w:lang w:val="pt-BR"/>
        </w:rPr>
        <w:t xml:space="preserve">          </w:t>
      </w:r>
      <w:r w:rsidR="008A40F8">
        <w:rPr>
          <w:rFonts w:ascii="Trebuchet MS" w:hAnsi="Trebuchet MS" w:cs="Arial"/>
          <w:b/>
          <w:color w:val="000000" w:themeColor="text1"/>
          <w:sz w:val="22"/>
          <w:szCs w:val="22"/>
          <w:u w:val="single"/>
          <w:lang w:val="pt-BR"/>
        </w:rPr>
        <w:t>51</w:t>
      </w:r>
      <w:r>
        <w:rPr>
          <w:rFonts w:ascii="Trebuchet MS" w:hAnsi="Trebuchet MS" w:cs="Arial"/>
          <w:b/>
          <w:color w:val="000000" w:themeColor="text1"/>
          <w:sz w:val="22"/>
          <w:szCs w:val="22"/>
          <w:u w:val="single"/>
          <w:lang w:val="pt-BR"/>
        </w:rPr>
        <w:t>.</w:t>
      </w:r>
      <w:r w:rsidR="008A40F8">
        <w:rPr>
          <w:rFonts w:ascii="Trebuchet MS" w:hAnsi="Trebuchet MS" w:cs="Arial"/>
          <w:b/>
          <w:color w:val="000000" w:themeColor="text1"/>
          <w:sz w:val="22"/>
          <w:szCs w:val="22"/>
          <w:u w:val="single"/>
          <w:lang w:val="pt-BR"/>
        </w:rPr>
        <w:t>167</w:t>
      </w:r>
      <w:r>
        <w:rPr>
          <w:rFonts w:ascii="Trebuchet MS" w:hAnsi="Trebuchet MS" w:cs="Arial"/>
          <w:b/>
          <w:color w:val="000000" w:themeColor="text1"/>
          <w:sz w:val="22"/>
          <w:szCs w:val="22"/>
          <w:u w:val="single"/>
          <w:lang w:val="pt-BR"/>
        </w:rPr>
        <w:t>.</w:t>
      </w:r>
      <w:r w:rsidR="008A40F8">
        <w:rPr>
          <w:rFonts w:ascii="Trebuchet MS" w:hAnsi="Trebuchet MS" w:cs="Arial"/>
          <w:b/>
          <w:color w:val="000000" w:themeColor="text1"/>
          <w:sz w:val="22"/>
          <w:szCs w:val="22"/>
          <w:u w:val="single"/>
          <w:lang w:val="pt-BR"/>
        </w:rPr>
        <w:t>222</w:t>
      </w:r>
    </w:p>
    <w:p w:rsidR="0018407B" w:rsidRDefault="0018407B" w:rsidP="0018407B">
      <w:pPr>
        <w:pStyle w:val="Style"/>
        <w:autoSpaceDE/>
        <w:adjustRightInd/>
        <w:spacing w:before="2" w:line="232" w:lineRule="auto"/>
        <w:jc w:val="both"/>
        <w:rPr>
          <w:color w:val="000000"/>
          <w:lang w:val="pt-BR"/>
        </w:rPr>
      </w:pPr>
    </w:p>
    <w:p w:rsidR="0018407B" w:rsidRPr="00390601" w:rsidRDefault="0018407B" w:rsidP="0018407B">
      <w:pPr>
        <w:pStyle w:val="Style"/>
        <w:autoSpaceDE/>
        <w:adjustRightInd/>
        <w:spacing w:before="2" w:line="232" w:lineRule="auto"/>
        <w:jc w:val="both"/>
        <w:rPr>
          <w:color w:val="000000"/>
          <w:lang w:val="pt-BR"/>
        </w:rPr>
      </w:pPr>
      <w:r w:rsidRPr="00390601">
        <w:rPr>
          <w:color w:val="000000"/>
          <w:lang w:val="pt-BR"/>
        </w:rPr>
        <w:t xml:space="preserve">As aplicações </w:t>
      </w:r>
      <w:r>
        <w:rPr>
          <w:color w:val="000000"/>
          <w:lang w:val="pt-BR"/>
        </w:rPr>
        <w:t xml:space="preserve">financeiras estão representadas </w:t>
      </w:r>
      <w:r>
        <w:rPr>
          <w:lang w:eastAsia="pt-BR"/>
        </w:rPr>
        <w:t xml:space="preserve">em </w:t>
      </w:r>
      <w:r w:rsidRPr="00CE2B53">
        <w:rPr>
          <w:lang w:eastAsia="pt-BR"/>
        </w:rPr>
        <w:t xml:space="preserve">fundos </w:t>
      </w:r>
      <w:r>
        <w:rPr>
          <w:lang w:eastAsia="pt-BR"/>
        </w:rPr>
        <w:t xml:space="preserve">específicos para o </w:t>
      </w:r>
      <w:proofErr w:type="spellStart"/>
      <w:r>
        <w:rPr>
          <w:lang w:eastAsia="pt-BR"/>
        </w:rPr>
        <w:t>Setor</w:t>
      </w:r>
      <w:proofErr w:type="spellEnd"/>
      <w:r>
        <w:rPr>
          <w:lang w:eastAsia="pt-BR"/>
        </w:rPr>
        <w:t xml:space="preserve"> Público</w:t>
      </w:r>
      <w:r>
        <w:rPr>
          <w:color w:val="000000"/>
          <w:lang w:val="pt-BR"/>
        </w:rPr>
        <w:t>, emitidos e compromissados por instituição financeira</w:t>
      </w:r>
      <w:r w:rsidRPr="00390601">
        <w:rPr>
          <w:color w:val="000000"/>
          <w:lang w:val="pt-BR"/>
        </w:rPr>
        <w:t xml:space="preserve"> </w:t>
      </w:r>
      <w:r>
        <w:rPr>
          <w:color w:val="000000"/>
          <w:lang w:val="pt-BR"/>
        </w:rPr>
        <w:t>confiável</w:t>
      </w:r>
      <w:r w:rsidRPr="00390601">
        <w:rPr>
          <w:color w:val="000000"/>
          <w:lang w:val="pt-BR"/>
        </w:rPr>
        <w:t xml:space="preserve">, cujo rendimento está atrelado à variação do Certificado de Depósito Interbancário (CDI), e possuem liquidez imediata. A receita gerada por estes investimentos é registrada como receita no resultado corrente. </w:t>
      </w:r>
    </w:p>
    <w:p w:rsidR="0018407B" w:rsidRDefault="0018407B" w:rsidP="0018407B">
      <w:pPr>
        <w:spacing w:after="0" w:line="240" w:lineRule="auto"/>
        <w:jc w:val="both"/>
        <w:rPr>
          <w:rFonts w:ascii="Times New Roman" w:eastAsia="Times New Roman" w:hAnsi="Times New Roman" w:cs="Times New Roman"/>
          <w:sz w:val="24"/>
          <w:szCs w:val="24"/>
          <w:lang w:eastAsia="pt-BR"/>
        </w:rPr>
      </w:pPr>
    </w:p>
    <w:p w:rsidR="0018407B" w:rsidRDefault="0018407B" w:rsidP="0018407B">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6. </w:t>
      </w:r>
      <w:r w:rsidRPr="002C5B96">
        <w:rPr>
          <w:rFonts w:ascii="Times New Roman" w:eastAsia="Times New Roman" w:hAnsi="Times New Roman" w:cs="Times New Roman"/>
          <w:b/>
          <w:sz w:val="24"/>
          <w:szCs w:val="24"/>
          <w:lang w:eastAsia="pt-BR"/>
        </w:rPr>
        <w:t xml:space="preserve">Devedores da Entidade  </w:t>
      </w:r>
    </w:p>
    <w:p w:rsidR="0018407B" w:rsidRDefault="0018407B" w:rsidP="0018407B">
      <w:pPr>
        <w:spacing w:after="0" w:line="240" w:lineRule="auto"/>
        <w:jc w:val="both"/>
        <w:rPr>
          <w:rFonts w:ascii="Times New Roman" w:eastAsia="Times New Roman" w:hAnsi="Times New Roman" w:cs="Times New Roman"/>
          <w:b/>
          <w:sz w:val="24"/>
          <w:szCs w:val="24"/>
          <w:lang w:eastAsia="pt-BR"/>
        </w:rPr>
      </w:pPr>
    </w:p>
    <w:p w:rsidR="0018407B" w:rsidRPr="00F46F73" w:rsidRDefault="0018407B" w:rsidP="0018407B">
      <w:pPr>
        <w:pStyle w:val="Style"/>
        <w:autoSpaceDE/>
        <w:adjustRightInd/>
        <w:spacing w:before="2" w:line="216" w:lineRule="auto"/>
        <w:rPr>
          <w:color w:val="000000"/>
          <w:u w:val="single"/>
          <w:lang w:val="pt-BR"/>
        </w:rPr>
      </w:pPr>
      <w:r w:rsidRPr="00F46F73">
        <w:rPr>
          <w:color w:val="000000"/>
          <w:lang w:val="pt-BR"/>
        </w:rPr>
        <w:tab/>
      </w:r>
      <w:r w:rsidRPr="00F46F73">
        <w:rPr>
          <w:color w:val="000000"/>
          <w:lang w:val="pt-BR"/>
        </w:rPr>
        <w:tab/>
      </w:r>
      <w:r w:rsidRPr="00F46F73">
        <w:rPr>
          <w:color w:val="000000"/>
          <w:lang w:val="pt-BR"/>
        </w:rPr>
        <w:tab/>
      </w:r>
      <w:r w:rsidRPr="00F46F73">
        <w:rPr>
          <w:color w:val="000000"/>
          <w:lang w:val="pt-BR"/>
        </w:rPr>
        <w:tab/>
      </w:r>
      <w:r w:rsidRPr="00F46F73">
        <w:rPr>
          <w:color w:val="000000"/>
          <w:lang w:val="pt-BR"/>
        </w:rPr>
        <w:tab/>
      </w:r>
      <w:r w:rsidRPr="00F46F73">
        <w:rPr>
          <w:color w:val="000000"/>
          <w:lang w:val="pt-BR"/>
        </w:rPr>
        <w:tab/>
      </w:r>
      <w:r w:rsidRPr="00F46F73">
        <w:rPr>
          <w:color w:val="000000"/>
          <w:lang w:val="pt-BR"/>
        </w:rPr>
        <w:tab/>
      </w:r>
      <w:r>
        <w:rPr>
          <w:color w:val="000000"/>
          <w:u w:val="single"/>
          <w:lang w:val="pt-BR"/>
        </w:rPr>
        <w:t xml:space="preserve">         202</w:t>
      </w:r>
      <w:r w:rsidR="00C14A08">
        <w:rPr>
          <w:color w:val="000000"/>
          <w:u w:val="single"/>
          <w:lang w:val="pt-BR"/>
        </w:rPr>
        <w:t>2</w:t>
      </w:r>
      <w:r w:rsidRPr="00F46F73">
        <w:rPr>
          <w:color w:val="000000"/>
          <w:u w:val="single"/>
          <w:lang w:val="pt-BR"/>
        </w:rPr>
        <w:tab/>
      </w:r>
      <w:r w:rsidRPr="00F46F73">
        <w:rPr>
          <w:color w:val="000000"/>
          <w:lang w:val="pt-BR"/>
        </w:rPr>
        <w:tab/>
      </w:r>
      <w:r>
        <w:rPr>
          <w:color w:val="000000"/>
          <w:lang w:val="pt-BR"/>
        </w:rPr>
        <w:t xml:space="preserve"> </w:t>
      </w:r>
      <w:r w:rsidRPr="00F46F73">
        <w:rPr>
          <w:color w:val="000000"/>
          <w:u w:val="single"/>
          <w:lang w:val="pt-BR"/>
        </w:rPr>
        <w:t xml:space="preserve">   20</w:t>
      </w:r>
      <w:r>
        <w:rPr>
          <w:color w:val="000000"/>
          <w:u w:val="single"/>
          <w:lang w:val="pt-BR"/>
        </w:rPr>
        <w:t>2</w:t>
      </w:r>
      <w:r w:rsidR="00C14A08">
        <w:rPr>
          <w:color w:val="000000"/>
          <w:u w:val="single"/>
          <w:lang w:val="pt-BR"/>
        </w:rPr>
        <w:t>1</w:t>
      </w:r>
    </w:p>
    <w:p w:rsidR="0018407B" w:rsidRPr="00930408" w:rsidRDefault="0018407B" w:rsidP="0018407B">
      <w:pPr>
        <w:pStyle w:val="Style"/>
        <w:autoSpaceDE/>
        <w:adjustRightInd/>
        <w:spacing w:before="2" w:line="216" w:lineRule="auto"/>
        <w:ind w:left="426"/>
        <w:rPr>
          <w:color w:val="000000" w:themeColor="text1"/>
          <w:sz w:val="10"/>
          <w:szCs w:val="10"/>
          <w:lang w:val="pt-BR"/>
        </w:rPr>
      </w:pPr>
    </w:p>
    <w:p w:rsidR="0018407B" w:rsidRPr="00F46F73" w:rsidRDefault="0018407B" w:rsidP="0018407B">
      <w:pPr>
        <w:pStyle w:val="Style"/>
        <w:autoSpaceDE/>
        <w:adjustRightInd/>
        <w:spacing w:before="2" w:line="216" w:lineRule="auto"/>
        <w:ind w:left="426"/>
        <w:rPr>
          <w:color w:val="000000" w:themeColor="text1"/>
          <w:lang w:val="pt-BR"/>
        </w:rPr>
      </w:pPr>
      <w:r w:rsidRPr="00F46F73">
        <w:rPr>
          <w:color w:val="000000" w:themeColor="text1"/>
          <w:lang w:val="pt-BR"/>
        </w:rPr>
        <w:t>Devedores diversos</w:t>
      </w:r>
      <w:r w:rsidRPr="00F46F73">
        <w:rPr>
          <w:color w:val="000000" w:themeColor="text1"/>
          <w:lang w:val="pt-BR"/>
        </w:rPr>
        <w:tab/>
      </w:r>
      <w:r w:rsidRPr="00F46F73">
        <w:rPr>
          <w:color w:val="000000" w:themeColor="text1"/>
          <w:lang w:val="pt-BR"/>
        </w:rPr>
        <w:tab/>
      </w:r>
      <w:r w:rsidRPr="00F46F73">
        <w:rPr>
          <w:color w:val="000000" w:themeColor="text1"/>
          <w:lang w:val="pt-BR"/>
        </w:rPr>
        <w:tab/>
      </w:r>
      <w:r w:rsidRPr="00F46F73">
        <w:rPr>
          <w:color w:val="000000" w:themeColor="text1"/>
          <w:lang w:val="pt-BR"/>
        </w:rPr>
        <w:tab/>
        <w:t xml:space="preserve">     </w:t>
      </w:r>
      <w:r w:rsidR="00C14A08">
        <w:rPr>
          <w:color w:val="000000" w:themeColor="text1"/>
          <w:lang w:val="pt-BR"/>
        </w:rPr>
        <w:t xml:space="preserve">    </w:t>
      </w:r>
      <w:r w:rsidRPr="00F46F73">
        <w:rPr>
          <w:color w:val="000000" w:themeColor="text1"/>
          <w:lang w:val="pt-BR"/>
        </w:rPr>
        <w:t xml:space="preserve"> </w:t>
      </w:r>
      <w:r w:rsidR="00C14A08">
        <w:rPr>
          <w:color w:val="000000" w:themeColor="text1"/>
          <w:lang w:val="pt-BR"/>
        </w:rPr>
        <w:t>3.240</w:t>
      </w:r>
      <w:r w:rsidRPr="00F46F73">
        <w:rPr>
          <w:color w:val="000000" w:themeColor="text1"/>
          <w:lang w:val="pt-BR"/>
        </w:rPr>
        <w:t xml:space="preserve">   </w:t>
      </w:r>
      <w:r>
        <w:rPr>
          <w:color w:val="000000" w:themeColor="text1"/>
          <w:lang w:val="pt-BR"/>
        </w:rPr>
        <w:t xml:space="preserve">      </w:t>
      </w:r>
      <w:r w:rsidRPr="00F46F73">
        <w:rPr>
          <w:color w:val="000000" w:themeColor="text1"/>
          <w:lang w:val="pt-BR"/>
        </w:rPr>
        <w:tab/>
      </w:r>
      <w:r w:rsidRPr="00F46F73">
        <w:rPr>
          <w:color w:val="000000" w:themeColor="text1"/>
          <w:lang w:val="pt-BR"/>
        </w:rPr>
        <w:tab/>
        <w:t xml:space="preserve">    </w:t>
      </w:r>
      <w:r>
        <w:rPr>
          <w:color w:val="000000" w:themeColor="text1"/>
          <w:lang w:val="pt-BR"/>
        </w:rPr>
        <w:t xml:space="preserve"> </w:t>
      </w:r>
    </w:p>
    <w:p w:rsidR="0018407B" w:rsidRPr="00F46F73" w:rsidRDefault="0018407B" w:rsidP="0018407B">
      <w:pPr>
        <w:pStyle w:val="Style"/>
        <w:autoSpaceDE/>
        <w:adjustRightInd/>
        <w:spacing w:before="2" w:line="216" w:lineRule="auto"/>
        <w:ind w:left="426"/>
        <w:rPr>
          <w:color w:val="000000" w:themeColor="text1"/>
          <w:lang w:val="pt-BR"/>
        </w:rPr>
      </w:pPr>
      <w:r w:rsidRPr="00F46F73">
        <w:rPr>
          <w:color w:val="000000" w:themeColor="text1"/>
          <w:lang w:val="pt-BR"/>
        </w:rPr>
        <w:t>Adiantamento de férias</w:t>
      </w:r>
      <w:r w:rsidRPr="00F46F73">
        <w:rPr>
          <w:color w:val="000000" w:themeColor="text1"/>
          <w:lang w:val="pt-BR"/>
        </w:rPr>
        <w:tab/>
      </w:r>
      <w:r w:rsidRPr="00F46F73">
        <w:rPr>
          <w:color w:val="000000" w:themeColor="text1"/>
          <w:lang w:val="pt-BR"/>
        </w:rPr>
        <w:tab/>
      </w:r>
      <w:r w:rsidRPr="00F46F73">
        <w:rPr>
          <w:color w:val="000000" w:themeColor="text1"/>
          <w:lang w:val="pt-BR"/>
        </w:rPr>
        <w:tab/>
      </w:r>
      <w:r w:rsidRPr="00F46F73">
        <w:rPr>
          <w:color w:val="000000" w:themeColor="text1"/>
          <w:lang w:val="pt-BR"/>
        </w:rPr>
        <w:tab/>
        <w:t xml:space="preserve">      </w:t>
      </w:r>
      <w:r>
        <w:rPr>
          <w:color w:val="000000" w:themeColor="text1"/>
          <w:lang w:val="pt-BR"/>
        </w:rPr>
        <w:t>1</w:t>
      </w:r>
      <w:r w:rsidR="00C14A08">
        <w:rPr>
          <w:color w:val="000000" w:themeColor="text1"/>
          <w:lang w:val="pt-BR"/>
        </w:rPr>
        <w:t>41</w:t>
      </w:r>
      <w:r>
        <w:rPr>
          <w:color w:val="000000" w:themeColor="text1"/>
          <w:lang w:val="pt-BR"/>
        </w:rPr>
        <w:t>.</w:t>
      </w:r>
      <w:r w:rsidR="00C14A08">
        <w:rPr>
          <w:color w:val="000000" w:themeColor="text1"/>
          <w:lang w:val="pt-BR"/>
        </w:rPr>
        <w:t>650</w:t>
      </w:r>
      <w:r w:rsidRPr="00F46F73">
        <w:rPr>
          <w:color w:val="000000" w:themeColor="text1"/>
          <w:lang w:val="pt-BR"/>
        </w:rPr>
        <w:t xml:space="preserve">               </w:t>
      </w:r>
      <w:r>
        <w:rPr>
          <w:color w:val="000000" w:themeColor="text1"/>
          <w:lang w:val="pt-BR"/>
        </w:rPr>
        <w:t xml:space="preserve"> </w:t>
      </w:r>
      <w:r w:rsidRPr="00F46F73">
        <w:rPr>
          <w:color w:val="000000" w:themeColor="text1"/>
          <w:lang w:val="pt-BR"/>
        </w:rPr>
        <w:t xml:space="preserve"> </w:t>
      </w:r>
      <w:r>
        <w:rPr>
          <w:color w:val="000000" w:themeColor="text1"/>
          <w:lang w:val="pt-BR"/>
        </w:rPr>
        <w:t xml:space="preserve"> </w:t>
      </w:r>
      <w:r w:rsidR="00C14A08">
        <w:rPr>
          <w:color w:val="000000" w:themeColor="text1"/>
          <w:lang w:val="pt-BR"/>
        </w:rPr>
        <w:t>115.098</w:t>
      </w:r>
    </w:p>
    <w:p w:rsidR="0018407B" w:rsidRPr="00F46F73" w:rsidRDefault="0018407B" w:rsidP="0018407B">
      <w:pPr>
        <w:pStyle w:val="Style"/>
        <w:autoSpaceDE/>
        <w:adjustRightInd/>
        <w:spacing w:before="2" w:line="216" w:lineRule="auto"/>
        <w:ind w:left="426"/>
        <w:rPr>
          <w:color w:val="000000" w:themeColor="text1"/>
          <w:lang w:val="pt-BR"/>
        </w:rPr>
      </w:pPr>
      <w:r w:rsidRPr="00F46F73">
        <w:rPr>
          <w:color w:val="000000" w:themeColor="text1"/>
          <w:lang w:val="pt-BR"/>
        </w:rPr>
        <w:t>Caução aluguel</w:t>
      </w:r>
      <w:r w:rsidRPr="00F46F73">
        <w:rPr>
          <w:color w:val="000000" w:themeColor="text1"/>
          <w:lang w:val="pt-BR"/>
        </w:rPr>
        <w:tab/>
      </w:r>
      <w:r w:rsidRPr="00F46F73">
        <w:rPr>
          <w:color w:val="000000" w:themeColor="text1"/>
          <w:lang w:val="pt-BR"/>
        </w:rPr>
        <w:tab/>
      </w:r>
      <w:r w:rsidRPr="00F46F73">
        <w:rPr>
          <w:color w:val="000000" w:themeColor="text1"/>
          <w:lang w:val="pt-BR"/>
        </w:rPr>
        <w:tab/>
      </w:r>
      <w:r w:rsidRPr="00F46F73">
        <w:rPr>
          <w:color w:val="000000" w:themeColor="text1"/>
          <w:lang w:val="pt-BR"/>
        </w:rPr>
        <w:tab/>
      </w:r>
      <w:r w:rsidRPr="00F46F73">
        <w:rPr>
          <w:color w:val="000000" w:themeColor="text1"/>
          <w:lang w:val="pt-BR"/>
        </w:rPr>
        <w:tab/>
        <w:t xml:space="preserve">      </w:t>
      </w:r>
      <w:r>
        <w:rPr>
          <w:color w:val="000000" w:themeColor="text1"/>
          <w:lang w:val="pt-BR"/>
        </w:rPr>
        <w:t>370.131</w:t>
      </w:r>
      <w:r w:rsidRPr="00F46F73">
        <w:rPr>
          <w:color w:val="000000" w:themeColor="text1"/>
          <w:lang w:val="pt-BR"/>
        </w:rPr>
        <w:t xml:space="preserve">                  </w:t>
      </w:r>
      <w:r w:rsidR="00C14A08">
        <w:rPr>
          <w:color w:val="000000" w:themeColor="text1"/>
          <w:lang w:val="pt-BR"/>
        </w:rPr>
        <w:t>370.131</w:t>
      </w:r>
    </w:p>
    <w:p w:rsidR="0018407B" w:rsidRPr="00F46F73" w:rsidRDefault="0018407B" w:rsidP="0018407B">
      <w:pPr>
        <w:pStyle w:val="Style"/>
        <w:autoSpaceDE/>
        <w:adjustRightInd/>
        <w:spacing w:before="2" w:line="216" w:lineRule="auto"/>
        <w:ind w:left="426"/>
        <w:rPr>
          <w:color w:val="000000" w:themeColor="text1"/>
          <w:u w:val="single"/>
          <w:lang w:val="pt-BR"/>
        </w:rPr>
      </w:pPr>
    </w:p>
    <w:p w:rsidR="0018407B" w:rsidRPr="00F46F73" w:rsidRDefault="0018407B" w:rsidP="0018407B">
      <w:pPr>
        <w:pStyle w:val="Style"/>
        <w:autoSpaceDE/>
        <w:adjustRightInd/>
        <w:spacing w:before="2" w:line="216" w:lineRule="auto"/>
        <w:ind w:left="426"/>
        <w:rPr>
          <w:b/>
          <w:color w:val="000000"/>
          <w:lang w:val="pt-BR"/>
        </w:rPr>
      </w:pPr>
      <w:r>
        <w:rPr>
          <w:b/>
          <w:color w:val="000000" w:themeColor="text1"/>
          <w:lang w:val="pt-BR"/>
        </w:rPr>
        <w:t>Total</w:t>
      </w:r>
      <w:r>
        <w:rPr>
          <w:b/>
          <w:color w:val="000000" w:themeColor="text1"/>
          <w:lang w:val="pt-BR"/>
        </w:rPr>
        <w:tab/>
      </w:r>
      <w:r>
        <w:rPr>
          <w:b/>
          <w:color w:val="000000" w:themeColor="text1"/>
          <w:lang w:val="pt-BR"/>
        </w:rPr>
        <w:tab/>
      </w:r>
      <w:r>
        <w:rPr>
          <w:b/>
          <w:color w:val="000000" w:themeColor="text1"/>
          <w:lang w:val="pt-BR"/>
        </w:rPr>
        <w:tab/>
        <w:t xml:space="preserve">   </w:t>
      </w:r>
      <w:r>
        <w:rPr>
          <w:b/>
          <w:color w:val="000000" w:themeColor="text1"/>
          <w:lang w:val="pt-BR"/>
        </w:rPr>
        <w:tab/>
        <w:t xml:space="preserve">      </w:t>
      </w:r>
      <w:r w:rsidRPr="00F46F73">
        <w:rPr>
          <w:b/>
          <w:color w:val="000000" w:themeColor="text1"/>
          <w:lang w:val="pt-BR"/>
        </w:rPr>
        <w:tab/>
        <w:t xml:space="preserve">    </w:t>
      </w:r>
      <w:r>
        <w:rPr>
          <w:b/>
          <w:color w:val="000000" w:themeColor="text1"/>
          <w:lang w:val="pt-BR"/>
        </w:rPr>
        <w:t xml:space="preserve">       </w:t>
      </w:r>
      <w:r w:rsidR="002B23E8">
        <w:rPr>
          <w:b/>
          <w:color w:val="000000" w:themeColor="text1"/>
          <w:lang w:val="pt-BR"/>
        </w:rPr>
        <w:t xml:space="preserve"> </w:t>
      </w:r>
      <w:r w:rsidRPr="00F46F73">
        <w:rPr>
          <w:b/>
          <w:color w:val="000000" w:themeColor="text1"/>
          <w:lang w:val="pt-BR"/>
        </w:rPr>
        <w:t xml:space="preserve"> </w:t>
      </w:r>
      <w:r>
        <w:rPr>
          <w:b/>
          <w:color w:val="000000" w:themeColor="text1"/>
          <w:lang w:val="pt-BR"/>
        </w:rPr>
        <w:t xml:space="preserve"> </w:t>
      </w:r>
      <w:r w:rsidR="00C14A08">
        <w:rPr>
          <w:b/>
          <w:color w:val="000000" w:themeColor="text1"/>
          <w:lang w:val="pt-BR"/>
        </w:rPr>
        <w:t xml:space="preserve">    </w:t>
      </w:r>
      <w:r>
        <w:rPr>
          <w:b/>
          <w:color w:val="000000" w:themeColor="text1"/>
          <w:u w:val="single"/>
          <w:lang w:val="pt-BR"/>
        </w:rPr>
        <w:t>5</w:t>
      </w:r>
      <w:r w:rsidR="00C14A08">
        <w:rPr>
          <w:b/>
          <w:color w:val="000000" w:themeColor="text1"/>
          <w:u w:val="single"/>
          <w:lang w:val="pt-BR"/>
        </w:rPr>
        <w:t>15</w:t>
      </w:r>
      <w:r>
        <w:rPr>
          <w:b/>
          <w:color w:val="000000" w:themeColor="text1"/>
          <w:u w:val="single"/>
          <w:lang w:val="pt-BR"/>
        </w:rPr>
        <w:t>.</w:t>
      </w:r>
      <w:r w:rsidR="00C14A08">
        <w:rPr>
          <w:b/>
          <w:color w:val="000000" w:themeColor="text1"/>
          <w:u w:val="single"/>
          <w:lang w:val="pt-BR"/>
        </w:rPr>
        <w:t>021</w:t>
      </w:r>
      <w:r>
        <w:rPr>
          <w:b/>
          <w:color w:val="000000" w:themeColor="text1"/>
          <w:lang w:val="pt-BR"/>
        </w:rPr>
        <w:t xml:space="preserve">          </w:t>
      </w:r>
      <w:r w:rsidRPr="00F46F73">
        <w:rPr>
          <w:b/>
          <w:color w:val="000000" w:themeColor="text1"/>
          <w:lang w:val="pt-BR"/>
        </w:rPr>
        <w:t xml:space="preserve"> </w:t>
      </w:r>
      <w:r>
        <w:rPr>
          <w:b/>
          <w:color w:val="000000" w:themeColor="text1"/>
          <w:lang w:val="pt-BR"/>
        </w:rPr>
        <w:t xml:space="preserve">   </w:t>
      </w:r>
      <w:r w:rsidR="00C14A08">
        <w:rPr>
          <w:b/>
          <w:color w:val="000000" w:themeColor="text1"/>
          <w:lang w:val="pt-BR"/>
        </w:rPr>
        <w:t xml:space="preserve">    </w:t>
      </w:r>
      <w:r w:rsidR="00C14A08">
        <w:rPr>
          <w:b/>
          <w:color w:val="000000" w:themeColor="text1"/>
          <w:u w:val="single"/>
          <w:lang w:val="pt-BR"/>
        </w:rPr>
        <w:t>485.229</w:t>
      </w:r>
    </w:p>
    <w:p w:rsidR="0018407B" w:rsidRDefault="0018407B" w:rsidP="0018407B">
      <w:pPr>
        <w:spacing w:after="0" w:line="240" w:lineRule="auto"/>
        <w:jc w:val="both"/>
        <w:rPr>
          <w:rFonts w:ascii="Times New Roman" w:eastAsia="Times New Roman" w:hAnsi="Times New Roman" w:cs="Times New Roman"/>
          <w:sz w:val="24"/>
          <w:szCs w:val="24"/>
          <w:lang w:eastAsia="pt-BR"/>
        </w:rPr>
      </w:pPr>
    </w:p>
    <w:p w:rsidR="0018407B" w:rsidRPr="008C49FC" w:rsidRDefault="0018407B" w:rsidP="0018407B">
      <w:pPr>
        <w:spacing w:after="0" w:line="240" w:lineRule="auto"/>
        <w:jc w:val="both"/>
        <w:rPr>
          <w:rFonts w:ascii="Times New Roman" w:eastAsia="Times New Roman" w:hAnsi="Times New Roman" w:cs="Times New Roman"/>
          <w:sz w:val="24"/>
          <w:szCs w:val="24"/>
          <w:lang w:eastAsia="pt-BR"/>
        </w:rPr>
      </w:pPr>
      <w:r w:rsidRPr="001D3326">
        <w:rPr>
          <w:rFonts w:ascii="Times New Roman" w:eastAsia="Times New Roman" w:hAnsi="Times New Roman" w:cs="Times New Roman"/>
          <w:b/>
          <w:sz w:val="24"/>
          <w:szCs w:val="24"/>
          <w:lang w:eastAsia="pt-BR"/>
        </w:rPr>
        <w:t>6.1 –</w:t>
      </w:r>
      <w:r>
        <w:rPr>
          <w:rFonts w:ascii="Times New Roman" w:eastAsia="Times New Roman" w:hAnsi="Times New Roman" w:cs="Times New Roman"/>
          <w:sz w:val="24"/>
          <w:szCs w:val="24"/>
          <w:lang w:eastAsia="pt-BR"/>
        </w:rPr>
        <w:t xml:space="preserve"> Adiantamento de férias </w:t>
      </w:r>
      <w:r w:rsidRPr="008C4011">
        <w:rPr>
          <w:rFonts w:ascii="Times New Roman" w:eastAsia="Times New Roman" w:hAnsi="Times New Roman" w:cs="Times New Roman"/>
          <w:sz w:val="24"/>
          <w:szCs w:val="24"/>
          <w:lang w:eastAsia="pt-BR"/>
        </w:rPr>
        <w:t>refere-se ao direito</w:t>
      </w:r>
      <w:r>
        <w:rPr>
          <w:rFonts w:ascii="Times New Roman" w:eastAsia="Times New Roman" w:hAnsi="Times New Roman" w:cs="Times New Roman"/>
          <w:sz w:val="24"/>
          <w:szCs w:val="24"/>
          <w:lang w:eastAsia="pt-BR"/>
        </w:rPr>
        <w:t xml:space="preserve"> que o colaborador tem </w:t>
      </w:r>
      <w:r w:rsidRPr="008C4011">
        <w:rPr>
          <w:rFonts w:ascii="Times New Roman" w:eastAsia="Times New Roman" w:hAnsi="Times New Roman" w:cs="Times New Roman"/>
          <w:sz w:val="24"/>
          <w:szCs w:val="24"/>
          <w:lang w:eastAsia="pt-BR"/>
        </w:rPr>
        <w:t>de receber o salário antecipado relativo ao</w:t>
      </w:r>
      <w:r>
        <w:rPr>
          <w:rFonts w:ascii="Times New Roman" w:eastAsia="Times New Roman" w:hAnsi="Times New Roman" w:cs="Times New Roman"/>
          <w:sz w:val="24"/>
          <w:szCs w:val="24"/>
          <w:lang w:eastAsia="pt-BR"/>
        </w:rPr>
        <w:t>s</w:t>
      </w:r>
      <w:r w:rsidRPr="008C4011">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dias de descanso. O saldo maior no fim de 202</w:t>
      </w:r>
      <w:r w:rsidR="0083715C">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 xml:space="preserve"> representa o adiantamento a </w:t>
      </w:r>
      <w:r w:rsidRPr="00351342">
        <w:rPr>
          <w:rFonts w:ascii="Times New Roman" w:eastAsia="Times New Roman" w:hAnsi="Times New Roman" w:cs="Times New Roman"/>
          <w:color w:val="000000" w:themeColor="text1"/>
          <w:sz w:val="24"/>
          <w:szCs w:val="24"/>
          <w:lang w:eastAsia="pt-BR"/>
        </w:rPr>
        <w:t>1</w:t>
      </w:r>
      <w:r w:rsidR="0083715C">
        <w:rPr>
          <w:rFonts w:ascii="Times New Roman" w:eastAsia="Times New Roman" w:hAnsi="Times New Roman" w:cs="Times New Roman"/>
          <w:color w:val="000000" w:themeColor="text1"/>
          <w:sz w:val="24"/>
          <w:szCs w:val="24"/>
          <w:lang w:eastAsia="pt-BR"/>
        </w:rPr>
        <w:t>7</w:t>
      </w:r>
      <w:r w:rsidRPr="00351342">
        <w:rPr>
          <w:rFonts w:ascii="Times New Roman" w:eastAsia="Times New Roman" w:hAnsi="Times New Roman" w:cs="Times New Roman"/>
          <w:color w:val="000000" w:themeColor="text1"/>
          <w:sz w:val="24"/>
          <w:szCs w:val="24"/>
          <w:lang w:eastAsia="pt-BR"/>
        </w:rPr>
        <w:t xml:space="preserve"> funcionários</w:t>
      </w:r>
      <w:r>
        <w:rPr>
          <w:rFonts w:ascii="Times New Roman" w:eastAsia="Times New Roman" w:hAnsi="Times New Roman" w:cs="Times New Roman"/>
          <w:sz w:val="24"/>
          <w:szCs w:val="24"/>
          <w:lang w:eastAsia="pt-BR"/>
        </w:rPr>
        <w:t xml:space="preserve"> que estarão de férias na primeira semana de janeiro de 202</w:t>
      </w:r>
      <w:r w:rsidR="0083715C">
        <w:rPr>
          <w:rFonts w:ascii="Times New Roman" w:eastAsia="Times New Roman" w:hAnsi="Times New Roman" w:cs="Times New Roman"/>
          <w:sz w:val="24"/>
          <w:szCs w:val="24"/>
          <w:lang w:eastAsia="pt-BR"/>
        </w:rPr>
        <w:t>3</w:t>
      </w:r>
      <w:r>
        <w:rPr>
          <w:rFonts w:ascii="Times New Roman" w:eastAsia="Times New Roman" w:hAnsi="Times New Roman" w:cs="Times New Roman"/>
          <w:sz w:val="24"/>
          <w:szCs w:val="24"/>
          <w:lang w:eastAsia="pt-BR"/>
        </w:rPr>
        <w:t xml:space="preserve"> e o pagamento foi adiantado em 202</w:t>
      </w:r>
      <w:r w:rsidR="0083715C">
        <w:rPr>
          <w:rFonts w:ascii="Times New Roman" w:eastAsia="Times New Roman" w:hAnsi="Times New Roman" w:cs="Times New Roman"/>
          <w:sz w:val="24"/>
          <w:szCs w:val="24"/>
          <w:lang w:eastAsia="pt-BR"/>
        </w:rPr>
        <w:t>2. No mesmo período de 2021</w:t>
      </w:r>
      <w:r>
        <w:rPr>
          <w:rFonts w:ascii="Times New Roman" w:eastAsia="Times New Roman" w:hAnsi="Times New Roman" w:cs="Times New Roman"/>
          <w:sz w:val="24"/>
          <w:szCs w:val="24"/>
          <w:lang w:eastAsia="pt-BR"/>
        </w:rPr>
        <w:t>, foram realizados 1</w:t>
      </w:r>
      <w:r w:rsidR="0083715C">
        <w:rPr>
          <w:rFonts w:ascii="Times New Roman" w:eastAsia="Times New Roman" w:hAnsi="Times New Roman" w:cs="Times New Roman"/>
          <w:sz w:val="24"/>
          <w:szCs w:val="24"/>
          <w:lang w:eastAsia="pt-BR"/>
        </w:rPr>
        <w:t>5</w:t>
      </w:r>
      <w:r>
        <w:rPr>
          <w:rFonts w:ascii="Times New Roman" w:eastAsia="Times New Roman" w:hAnsi="Times New Roman" w:cs="Times New Roman"/>
          <w:sz w:val="24"/>
          <w:szCs w:val="24"/>
          <w:lang w:eastAsia="pt-BR"/>
        </w:rPr>
        <w:t xml:space="preserve"> adiantamentos.</w:t>
      </w:r>
    </w:p>
    <w:p w:rsidR="0018407B" w:rsidRDefault="0018407B" w:rsidP="0018407B">
      <w:pPr>
        <w:spacing w:after="0" w:line="240" w:lineRule="auto"/>
        <w:jc w:val="both"/>
        <w:rPr>
          <w:rFonts w:ascii="Times New Roman" w:eastAsia="Times New Roman" w:hAnsi="Times New Roman" w:cs="Times New Roman"/>
          <w:b/>
          <w:sz w:val="24"/>
          <w:szCs w:val="24"/>
          <w:lang w:eastAsia="pt-BR"/>
        </w:rPr>
      </w:pPr>
    </w:p>
    <w:p w:rsidR="0018407B" w:rsidRPr="00F46F73" w:rsidRDefault="0018407B" w:rsidP="0018407B">
      <w:pPr>
        <w:spacing w:after="0" w:line="240" w:lineRule="auto"/>
        <w:jc w:val="both"/>
        <w:rPr>
          <w:rFonts w:ascii="Times New Roman" w:eastAsia="Times New Roman" w:hAnsi="Times New Roman" w:cs="Times New Roman"/>
          <w:b/>
          <w:sz w:val="24"/>
          <w:szCs w:val="24"/>
          <w:lang w:eastAsia="pt-BR"/>
        </w:rPr>
      </w:pPr>
      <w:r w:rsidRPr="00F46F73">
        <w:rPr>
          <w:rFonts w:ascii="Times New Roman" w:eastAsia="Times New Roman" w:hAnsi="Times New Roman" w:cs="Times New Roman"/>
          <w:b/>
          <w:sz w:val="24"/>
          <w:szCs w:val="24"/>
          <w:lang w:eastAsia="pt-BR"/>
        </w:rPr>
        <w:lastRenderedPageBreak/>
        <w:t>7. Depósito Judicial</w:t>
      </w:r>
    </w:p>
    <w:p w:rsidR="0018407B" w:rsidRPr="00F46F73" w:rsidRDefault="0018407B" w:rsidP="0018407B">
      <w:pPr>
        <w:pStyle w:val="Style"/>
        <w:autoSpaceDE/>
        <w:adjustRightInd/>
        <w:spacing w:before="2" w:line="216" w:lineRule="auto"/>
        <w:rPr>
          <w:color w:val="000000"/>
          <w:u w:val="single"/>
          <w:lang w:val="pt-BR"/>
        </w:rPr>
      </w:pPr>
      <w:r w:rsidRPr="00F46F73">
        <w:rPr>
          <w:color w:val="000000"/>
          <w:lang w:val="pt-BR"/>
        </w:rPr>
        <w:tab/>
      </w:r>
      <w:r w:rsidRPr="00F46F73">
        <w:rPr>
          <w:color w:val="000000"/>
          <w:lang w:val="pt-BR"/>
        </w:rPr>
        <w:tab/>
      </w:r>
      <w:r w:rsidRPr="00F46F73">
        <w:rPr>
          <w:color w:val="000000"/>
          <w:lang w:val="pt-BR"/>
        </w:rPr>
        <w:tab/>
      </w:r>
      <w:r w:rsidRPr="00F46F73">
        <w:rPr>
          <w:color w:val="000000"/>
          <w:lang w:val="pt-BR"/>
        </w:rPr>
        <w:tab/>
      </w:r>
      <w:r w:rsidRPr="00F46F73">
        <w:rPr>
          <w:color w:val="000000"/>
          <w:lang w:val="pt-BR"/>
        </w:rPr>
        <w:tab/>
      </w:r>
      <w:r w:rsidRPr="00F46F73">
        <w:rPr>
          <w:color w:val="000000"/>
          <w:lang w:val="pt-BR"/>
        </w:rPr>
        <w:tab/>
      </w:r>
      <w:r w:rsidRPr="00F46F73">
        <w:rPr>
          <w:color w:val="000000"/>
          <w:lang w:val="pt-BR"/>
        </w:rPr>
        <w:tab/>
      </w:r>
      <w:r>
        <w:rPr>
          <w:color w:val="000000"/>
          <w:u w:val="single"/>
          <w:lang w:val="pt-BR"/>
        </w:rPr>
        <w:tab/>
        <w:t>202</w:t>
      </w:r>
      <w:r w:rsidR="00FD5BAD">
        <w:rPr>
          <w:color w:val="000000"/>
          <w:u w:val="single"/>
          <w:lang w:val="pt-BR"/>
        </w:rPr>
        <w:t>2</w:t>
      </w:r>
      <w:r w:rsidRPr="00F46F73">
        <w:rPr>
          <w:color w:val="000000"/>
          <w:lang w:val="pt-BR"/>
        </w:rPr>
        <w:tab/>
      </w:r>
      <w:r w:rsidRPr="00530C8A">
        <w:rPr>
          <w:color w:val="000000"/>
          <w:lang w:val="pt-BR"/>
        </w:rPr>
        <w:t xml:space="preserve">           </w:t>
      </w:r>
      <w:r>
        <w:rPr>
          <w:color w:val="000000"/>
          <w:u w:val="single"/>
          <w:lang w:val="pt-BR"/>
        </w:rPr>
        <w:t xml:space="preserve">    </w:t>
      </w:r>
      <w:r w:rsidRPr="00F46F73">
        <w:rPr>
          <w:color w:val="000000"/>
          <w:u w:val="single"/>
          <w:lang w:val="pt-BR"/>
        </w:rPr>
        <w:t xml:space="preserve">     20</w:t>
      </w:r>
      <w:r>
        <w:rPr>
          <w:color w:val="000000"/>
          <w:u w:val="single"/>
          <w:lang w:val="pt-BR"/>
        </w:rPr>
        <w:t>2</w:t>
      </w:r>
      <w:r w:rsidR="00FD5BAD">
        <w:rPr>
          <w:color w:val="000000"/>
          <w:u w:val="single"/>
          <w:lang w:val="pt-BR"/>
        </w:rPr>
        <w:t>1</w:t>
      </w:r>
    </w:p>
    <w:p w:rsidR="0018407B" w:rsidRPr="00930408" w:rsidRDefault="0018407B" w:rsidP="0018407B">
      <w:pPr>
        <w:pStyle w:val="Style"/>
        <w:autoSpaceDE/>
        <w:adjustRightInd/>
        <w:spacing w:before="2" w:line="216" w:lineRule="auto"/>
        <w:ind w:left="426"/>
        <w:rPr>
          <w:color w:val="000000" w:themeColor="text1"/>
          <w:sz w:val="10"/>
          <w:szCs w:val="10"/>
          <w:lang w:val="pt-BR"/>
        </w:rPr>
      </w:pPr>
    </w:p>
    <w:p w:rsidR="0018407B" w:rsidRPr="00F46F73" w:rsidRDefault="0018407B" w:rsidP="0018407B">
      <w:pPr>
        <w:pStyle w:val="Style"/>
        <w:autoSpaceDE/>
        <w:adjustRightInd/>
        <w:spacing w:before="2" w:line="216" w:lineRule="auto"/>
        <w:ind w:left="426"/>
        <w:rPr>
          <w:color w:val="000000" w:themeColor="text1"/>
          <w:lang w:val="pt-BR"/>
        </w:rPr>
      </w:pPr>
      <w:r w:rsidRPr="00F46F73">
        <w:rPr>
          <w:color w:val="000000" w:themeColor="text1"/>
          <w:lang w:val="pt-BR"/>
        </w:rPr>
        <w:t>Depósito judicial - trabalhista</w:t>
      </w:r>
      <w:r w:rsidRPr="00F46F73">
        <w:rPr>
          <w:color w:val="000000" w:themeColor="text1"/>
          <w:lang w:val="pt-BR"/>
        </w:rPr>
        <w:tab/>
      </w:r>
      <w:r w:rsidRPr="00F46F73">
        <w:rPr>
          <w:color w:val="000000" w:themeColor="text1"/>
          <w:lang w:val="pt-BR"/>
        </w:rPr>
        <w:tab/>
      </w:r>
      <w:r w:rsidRPr="00F46F73">
        <w:rPr>
          <w:color w:val="000000" w:themeColor="text1"/>
          <w:lang w:val="pt-BR"/>
        </w:rPr>
        <w:tab/>
        <w:t xml:space="preserve">        </w:t>
      </w:r>
      <w:r>
        <w:rPr>
          <w:color w:val="000000" w:themeColor="text1"/>
          <w:lang w:val="pt-BR"/>
        </w:rPr>
        <w:t>19.887</w:t>
      </w:r>
      <w:r w:rsidRPr="00F46F73">
        <w:rPr>
          <w:color w:val="000000" w:themeColor="text1"/>
          <w:lang w:val="pt-BR"/>
        </w:rPr>
        <w:tab/>
      </w:r>
      <w:r w:rsidRPr="00F46F73">
        <w:rPr>
          <w:color w:val="000000" w:themeColor="text1"/>
          <w:lang w:val="pt-BR"/>
        </w:rPr>
        <w:tab/>
        <w:t xml:space="preserve">    </w:t>
      </w:r>
      <w:r>
        <w:rPr>
          <w:color w:val="000000" w:themeColor="text1"/>
          <w:lang w:val="pt-BR"/>
        </w:rPr>
        <w:t xml:space="preserve"> 19.887</w:t>
      </w:r>
    </w:p>
    <w:p w:rsidR="0018407B" w:rsidRPr="00F46F73" w:rsidRDefault="0018407B" w:rsidP="0018407B">
      <w:pPr>
        <w:pStyle w:val="Style"/>
        <w:autoSpaceDE/>
        <w:adjustRightInd/>
        <w:spacing w:before="2" w:line="216" w:lineRule="auto"/>
        <w:ind w:left="426"/>
        <w:rPr>
          <w:color w:val="000000" w:themeColor="text1"/>
          <w:lang w:val="pt-BR"/>
        </w:rPr>
      </w:pPr>
      <w:r w:rsidRPr="00F46F73">
        <w:rPr>
          <w:color w:val="000000" w:themeColor="text1"/>
          <w:lang w:val="pt-BR"/>
        </w:rPr>
        <w:t>Depósito judicial - cível</w:t>
      </w:r>
      <w:r w:rsidRPr="00F46F73">
        <w:rPr>
          <w:color w:val="000000" w:themeColor="text1"/>
          <w:lang w:val="pt-BR"/>
        </w:rPr>
        <w:tab/>
      </w:r>
      <w:r w:rsidRPr="00F46F73">
        <w:rPr>
          <w:color w:val="000000" w:themeColor="text1"/>
          <w:lang w:val="pt-BR"/>
        </w:rPr>
        <w:tab/>
      </w:r>
      <w:r w:rsidRPr="00F46F73">
        <w:rPr>
          <w:color w:val="000000" w:themeColor="text1"/>
          <w:lang w:val="pt-BR"/>
        </w:rPr>
        <w:tab/>
      </w:r>
      <w:r w:rsidRPr="00F46F73">
        <w:rPr>
          <w:color w:val="000000" w:themeColor="text1"/>
          <w:lang w:val="pt-BR"/>
        </w:rPr>
        <w:tab/>
        <w:t xml:space="preserve">             958                       </w:t>
      </w:r>
      <w:r>
        <w:rPr>
          <w:color w:val="000000" w:themeColor="text1"/>
          <w:lang w:val="pt-BR"/>
        </w:rPr>
        <w:t xml:space="preserve">  </w:t>
      </w:r>
      <w:r w:rsidRPr="00F46F73">
        <w:rPr>
          <w:color w:val="000000" w:themeColor="text1"/>
          <w:lang w:val="pt-BR"/>
        </w:rPr>
        <w:t xml:space="preserve"> 958</w:t>
      </w:r>
    </w:p>
    <w:p w:rsidR="0018407B" w:rsidRPr="00F46F73" w:rsidRDefault="0018407B" w:rsidP="0018407B">
      <w:pPr>
        <w:pStyle w:val="Style"/>
        <w:autoSpaceDE/>
        <w:adjustRightInd/>
        <w:spacing w:before="2" w:line="216" w:lineRule="auto"/>
        <w:ind w:left="426"/>
        <w:rPr>
          <w:color w:val="000000" w:themeColor="text1"/>
          <w:u w:val="single"/>
          <w:lang w:val="pt-BR"/>
        </w:rPr>
      </w:pPr>
    </w:p>
    <w:p w:rsidR="0018407B" w:rsidRPr="00BB6EAD" w:rsidRDefault="0018407B" w:rsidP="0018407B">
      <w:pPr>
        <w:pStyle w:val="Style"/>
        <w:autoSpaceDE/>
        <w:adjustRightInd/>
        <w:spacing w:before="2" w:line="216" w:lineRule="auto"/>
        <w:ind w:left="426"/>
        <w:rPr>
          <w:b/>
          <w:color w:val="000000" w:themeColor="text1"/>
          <w:lang w:val="pt-BR"/>
        </w:rPr>
      </w:pPr>
      <w:r>
        <w:rPr>
          <w:b/>
          <w:color w:val="000000" w:themeColor="text1"/>
          <w:lang w:val="pt-BR"/>
        </w:rPr>
        <w:t>Total</w:t>
      </w:r>
      <w:r>
        <w:rPr>
          <w:b/>
          <w:color w:val="000000" w:themeColor="text1"/>
          <w:lang w:val="pt-BR"/>
        </w:rPr>
        <w:tab/>
      </w:r>
      <w:r>
        <w:rPr>
          <w:b/>
          <w:color w:val="000000" w:themeColor="text1"/>
          <w:lang w:val="pt-BR"/>
        </w:rPr>
        <w:tab/>
      </w:r>
      <w:r>
        <w:rPr>
          <w:b/>
          <w:color w:val="000000" w:themeColor="text1"/>
          <w:lang w:val="pt-BR"/>
        </w:rPr>
        <w:tab/>
      </w:r>
      <w:r>
        <w:rPr>
          <w:b/>
          <w:color w:val="000000" w:themeColor="text1"/>
          <w:lang w:val="pt-BR"/>
        </w:rPr>
        <w:tab/>
      </w:r>
      <w:r>
        <w:rPr>
          <w:b/>
          <w:color w:val="000000" w:themeColor="text1"/>
          <w:lang w:val="pt-BR"/>
        </w:rPr>
        <w:tab/>
        <w:t xml:space="preserve">       </w:t>
      </w:r>
      <w:r w:rsidRPr="00F46F73">
        <w:rPr>
          <w:b/>
          <w:color w:val="000000" w:themeColor="text1"/>
          <w:lang w:val="pt-BR"/>
        </w:rPr>
        <w:t xml:space="preserve">      </w:t>
      </w:r>
      <w:r>
        <w:rPr>
          <w:b/>
          <w:color w:val="000000" w:themeColor="text1"/>
          <w:lang w:val="pt-BR"/>
        </w:rPr>
        <w:t xml:space="preserve"> </w:t>
      </w:r>
      <w:r w:rsidRPr="00F46F73">
        <w:rPr>
          <w:b/>
          <w:color w:val="000000" w:themeColor="text1"/>
          <w:lang w:val="pt-BR"/>
        </w:rPr>
        <w:t xml:space="preserve"> </w:t>
      </w:r>
      <w:r>
        <w:rPr>
          <w:b/>
          <w:color w:val="000000" w:themeColor="text1"/>
          <w:u w:val="single"/>
          <w:lang w:val="pt-BR"/>
        </w:rPr>
        <w:t xml:space="preserve">     20.845</w:t>
      </w:r>
      <w:r>
        <w:rPr>
          <w:b/>
          <w:color w:val="000000" w:themeColor="text1"/>
          <w:lang w:val="pt-BR"/>
        </w:rPr>
        <w:t xml:space="preserve">                </w:t>
      </w:r>
      <w:r>
        <w:rPr>
          <w:b/>
          <w:color w:val="000000" w:themeColor="text1"/>
          <w:u w:val="single"/>
          <w:lang w:val="pt-BR"/>
        </w:rPr>
        <w:t xml:space="preserve">     20.845</w:t>
      </w:r>
    </w:p>
    <w:p w:rsidR="0018407B" w:rsidRDefault="0018407B" w:rsidP="0018407B">
      <w:pPr>
        <w:spacing w:after="0" w:line="240" w:lineRule="auto"/>
        <w:jc w:val="both"/>
        <w:rPr>
          <w:rFonts w:ascii="Times New Roman" w:eastAsia="Times New Roman" w:hAnsi="Times New Roman" w:cs="Times New Roman"/>
          <w:b/>
          <w:sz w:val="24"/>
          <w:szCs w:val="24"/>
          <w:lang w:eastAsia="pt-BR"/>
        </w:rPr>
      </w:pPr>
    </w:p>
    <w:p w:rsidR="0018407B" w:rsidRPr="00F46F73" w:rsidRDefault="0018407B" w:rsidP="0018407B">
      <w:pPr>
        <w:spacing w:after="0" w:line="240" w:lineRule="auto"/>
        <w:jc w:val="both"/>
        <w:rPr>
          <w:rFonts w:ascii="Times New Roman" w:eastAsia="Times New Roman" w:hAnsi="Times New Roman" w:cs="Times New Roman"/>
          <w:b/>
          <w:sz w:val="24"/>
          <w:szCs w:val="24"/>
          <w:lang w:eastAsia="pt-BR"/>
        </w:rPr>
      </w:pPr>
      <w:r w:rsidRPr="00F46F73">
        <w:rPr>
          <w:rFonts w:ascii="Times New Roman" w:eastAsia="Times New Roman" w:hAnsi="Times New Roman" w:cs="Times New Roman"/>
          <w:b/>
          <w:sz w:val="24"/>
          <w:szCs w:val="24"/>
          <w:lang w:eastAsia="pt-BR"/>
        </w:rPr>
        <w:t xml:space="preserve">8. Estoques </w:t>
      </w:r>
    </w:p>
    <w:p w:rsidR="0018407B" w:rsidRPr="003A73BA" w:rsidRDefault="0018407B" w:rsidP="0018407B">
      <w:pPr>
        <w:pStyle w:val="Style"/>
        <w:autoSpaceDE/>
        <w:adjustRightInd/>
        <w:spacing w:before="2" w:line="216" w:lineRule="auto"/>
        <w:rPr>
          <w:color w:val="000000"/>
          <w:u w:val="single"/>
          <w:lang w:val="pt-BR"/>
        </w:rPr>
      </w:pPr>
      <w:r w:rsidRPr="00F46F73">
        <w:rPr>
          <w:color w:val="000000"/>
          <w:lang w:val="pt-BR"/>
        </w:rPr>
        <w:tab/>
      </w:r>
      <w:r w:rsidRPr="00F46F73">
        <w:rPr>
          <w:color w:val="000000"/>
          <w:lang w:val="pt-BR"/>
        </w:rPr>
        <w:tab/>
      </w:r>
      <w:r w:rsidRPr="00F46F73">
        <w:rPr>
          <w:color w:val="000000"/>
          <w:lang w:val="pt-BR"/>
        </w:rPr>
        <w:tab/>
      </w:r>
      <w:r w:rsidRPr="00F46F73">
        <w:rPr>
          <w:color w:val="000000"/>
          <w:lang w:val="pt-BR"/>
        </w:rPr>
        <w:tab/>
      </w:r>
      <w:r w:rsidRPr="00F46F73">
        <w:rPr>
          <w:color w:val="000000"/>
          <w:lang w:val="pt-BR"/>
        </w:rPr>
        <w:tab/>
      </w:r>
      <w:r w:rsidRPr="00F46F73">
        <w:rPr>
          <w:color w:val="000000"/>
          <w:lang w:val="pt-BR"/>
        </w:rPr>
        <w:tab/>
      </w:r>
      <w:r w:rsidRPr="00F46F73">
        <w:rPr>
          <w:color w:val="000000"/>
          <w:lang w:val="pt-BR"/>
        </w:rPr>
        <w:tab/>
      </w:r>
      <w:r w:rsidRPr="00F46F73">
        <w:rPr>
          <w:color w:val="000000"/>
          <w:u w:val="single"/>
          <w:lang w:val="pt-BR"/>
        </w:rPr>
        <w:tab/>
      </w:r>
      <w:r>
        <w:rPr>
          <w:color w:val="000000"/>
          <w:u w:val="single"/>
          <w:lang w:val="pt-BR"/>
        </w:rPr>
        <w:t>202</w:t>
      </w:r>
      <w:r w:rsidR="00FD5BAD">
        <w:rPr>
          <w:color w:val="000000"/>
          <w:u w:val="single"/>
          <w:lang w:val="pt-BR"/>
        </w:rPr>
        <w:t>2</w:t>
      </w:r>
      <w:r w:rsidRPr="00F46F73">
        <w:rPr>
          <w:color w:val="000000"/>
          <w:u w:val="single"/>
          <w:lang w:val="pt-BR"/>
        </w:rPr>
        <w:tab/>
      </w:r>
      <w:r w:rsidRPr="00F46F73">
        <w:rPr>
          <w:color w:val="000000"/>
          <w:lang w:val="pt-BR"/>
        </w:rPr>
        <w:tab/>
      </w:r>
      <w:r w:rsidRPr="00F46F73">
        <w:rPr>
          <w:color w:val="000000"/>
          <w:u w:val="single"/>
          <w:lang w:val="pt-BR"/>
        </w:rPr>
        <w:t xml:space="preserve">        20</w:t>
      </w:r>
      <w:r>
        <w:rPr>
          <w:color w:val="000000"/>
          <w:u w:val="single"/>
          <w:lang w:val="pt-BR"/>
        </w:rPr>
        <w:t>2</w:t>
      </w:r>
      <w:r w:rsidR="00FD5BAD">
        <w:rPr>
          <w:color w:val="000000"/>
          <w:u w:val="single"/>
          <w:lang w:val="pt-BR"/>
        </w:rPr>
        <w:t>1</w:t>
      </w:r>
    </w:p>
    <w:p w:rsidR="0018407B" w:rsidRPr="00F46F73" w:rsidRDefault="0018407B" w:rsidP="0018407B">
      <w:pPr>
        <w:pStyle w:val="Style"/>
        <w:autoSpaceDE/>
        <w:adjustRightInd/>
        <w:spacing w:before="2" w:line="216" w:lineRule="auto"/>
        <w:ind w:left="426"/>
        <w:rPr>
          <w:color w:val="000000" w:themeColor="text1"/>
          <w:lang w:val="pt-BR"/>
        </w:rPr>
      </w:pPr>
      <w:r w:rsidRPr="00F46F73">
        <w:rPr>
          <w:color w:val="000000" w:themeColor="text1"/>
          <w:lang w:val="pt-BR"/>
        </w:rPr>
        <w:t>Mat</w:t>
      </w:r>
      <w:r>
        <w:rPr>
          <w:color w:val="000000" w:themeColor="text1"/>
          <w:lang w:val="pt-BR"/>
        </w:rPr>
        <w:t>erial de consumo</w:t>
      </w:r>
      <w:r>
        <w:rPr>
          <w:color w:val="000000" w:themeColor="text1"/>
          <w:lang w:val="pt-BR"/>
        </w:rPr>
        <w:tab/>
      </w:r>
      <w:r>
        <w:rPr>
          <w:color w:val="000000" w:themeColor="text1"/>
          <w:lang w:val="pt-BR"/>
        </w:rPr>
        <w:tab/>
      </w:r>
      <w:r>
        <w:rPr>
          <w:color w:val="000000" w:themeColor="text1"/>
          <w:lang w:val="pt-BR"/>
        </w:rPr>
        <w:tab/>
      </w:r>
      <w:r>
        <w:rPr>
          <w:color w:val="000000" w:themeColor="text1"/>
          <w:lang w:val="pt-BR"/>
        </w:rPr>
        <w:tab/>
        <w:t xml:space="preserve">         44.504</w:t>
      </w:r>
      <w:r w:rsidRPr="00F46F73">
        <w:rPr>
          <w:color w:val="000000" w:themeColor="text1"/>
          <w:lang w:val="pt-BR"/>
        </w:rPr>
        <w:tab/>
      </w:r>
      <w:r w:rsidRPr="00F46F73">
        <w:rPr>
          <w:color w:val="000000" w:themeColor="text1"/>
          <w:lang w:val="pt-BR"/>
        </w:rPr>
        <w:tab/>
        <w:t xml:space="preserve">     </w:t>
      </w:r>
      <w:r w:rsidR="007D4E38">
        <w:rPr>
          <w:color w:val="000000" w:themeColor="text1"/>
          <w:lang w:val="pt-BR"/>
        </w:rPr>
        <w:t>4</w:t>
      </w:r>
      <w:r>
        <w:rPr>
          <w:color w:val="000000" w:themeColor="text1"/>
          <w:lang w:val="pt-BR"/>
        </w:rPr>
        <w:t>4.</w:t>
      </w:r>
      <w:r w:rsidR="007D4E38">
        <w:rPr>
          <w:color w:val="000000" w:themeColor="text1"/>
          <w:lang w:val="pt-BR"/>
        </w:rPr>
        <w:t>504</w:t>
      </w:r>
    </w:p>
    <w:p w:rsidR="0018407B" w:rsidRPr="00F46F73" w:rsidRDefault="0018407B" w:rsidP="0018407B">
      <w:pPr>
        <w:pStyle w:val="Style"/>
        <w:autoSpaceDE/>
        <w:adjustRightInd/>
        <w:spacing w:before="2" w:line="216" w:lineRule="auto"/>
        <w:ind w:left="426"/>
        <w:rPr>
          <w:color w:val="000000" w:themeColor="text1"/>
          <w:u w:val="single"/>
          <w:lang w:val="pt-BR"/>
        </w:rPr>
      </w:pPr>
    </w:p>
    <w:p w:rsidR="0018407B" w:rsidRPr="00F46F73" w:rsidRDefault="0018407B" w:rsidP="0018407B">
      <w:pPr>
        <w:spacing w:after="0" w:line="240" w:lineRule="auto"/>
        <w:ind w:firstLine="426"/>
        <w:jc w:val="both"/>
        <w:rPr>
          <w:rFonts w:ascii="Times New Roman" w:eastAsia="Times New Roman" w:hAnsi="Times New Roman" w:cs="Times New Roman"/>
          <w:b/>
          <w:sz w:val="24"/>
          <w:szCs w:val="24"/>
          <w:lang w:eastAsia="pt-BR"/>
        </w:rPr>
      </w:pPr>
      <w:r>
        <w:rPr>
          <w:rFonts w:ascii="Times New Roman" w:hAnsi="Times New Roman" w:cs="Times New Roman"/>
          <w:b/>
          <w:color w:val="000000" w:themeColor="text1"/>
          <w:sz w:val="24"/>
          <w:szCs w:val="24"/>
        </w:rPr>
        <w:t>Total</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w:t>
      </w:r>
      <w:r w:rsidRPr="00F46F7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Pr="00F46F7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u w:val="single"/>
        </w:rPr>
        <w:t xml:space="preserve">      44.504</w:t>
      </w:r>
      <w:r>
        <w:rPr>
          <w:rFonts w:ascii="Times New Roman" w:hAnsi="Times New Roman" w:cs="Times New Roman"/>
          <w:b/>
          <w:color w:val="000000" w:themeColor="text1"/>
          <w:sz w:val="24"/>
          <w:szCs w:val="24"/>
        </w:rPr>
        <w:t xml:space="preserve">       </w:t>
      </w:r>
      <w:r w:rsidRPr="00F46F7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u w:val="single"/>
        </w:rPr>
        <w:t xml:space="preserve">      </w:t>
      </w:r>
      <w:r w:rsidR="007D4E38">
        <w:rPr>
          <w:rFonts w:ascii="Times New Roman" w:hAnsi="Times New Roman" w:cs="Times New Roman"/>
          <w:b/>
          <w:color w:val="000000" w:themeColor="text1"/>
          <w:sz w:val="24"/>
          <w:szCs w:val="24"/>
          <w:u w:val="single"/>
        </w:rPr>
        <w:t>4</w:t>
      </w:r>
      <w:r>
        <w:rPr>
          <w:rFonts w:ascii="Times New Roman" w:hAnsi="Times New Roman" w:cs="Times New Roman"/>
          <w:b/>
          <w:color w:val="000000" w:themeColor="text1"/>
          <w:sz w:val="24"/>
          <w:szCs w:val="24"/>
          <w:u w:val="single"/>
        </w:rPr>
        <w:t>4.</w:t>
      </w:r>
      <w:r w:rsidR="007D4E38">
        <w:rPr>
          <w:rFonts w:ascii="Times New Roman" w:hAnsi="Times New Roman" w:cs="Times New Roman"/>
          <w:b/>
          <w:color w:val="000000" w:themeColor="text1"/>
          <w:sz w:val="24"/>
          <w:szCs w:val="24"/>
          <w:u w:val="single"/>
        </w:rPr>
        <w:t>504</w:t>
      </w:r>
    </w:p>
    <w:p w:rsidR="0018407B" w:rsidRDefault="0018407B" w:rsidP="0018407B">
      <w:pPr>
        <w:spacing w:after="0" w:line="240" w:lineRule="auto"/>
        <w:jc w:val="both"/>
        <w:rPr>
          <w:rFonts w:ascii="Times New Roman" w:eastAsia="Times New Roman" w:hAnsi="Times New Roman" w:cs="Times New Roman"/>
          <w:b/>
          <w:sz w:val="24"/>
          <w:szCs w:val="24"/>
          <w:lang w:eastAsia="pt-BR"/>
        </w:rPr>
      </w:pPr>
    </w:p>
    <w:p w:rsidR="0018407B" w:rsidRDefault="0018407B" w:rsidP="0018407B">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8.1 – </w:t>
      </w:r>
      <w:r>
        <w:rPr>
          <w:rFonts w:ascii="Times New Roman" w:eastAsia="Times New Roman" w:hAnsi="Times New Roman" w:cs="Times New Roman"/>
          <w:sz w:val="24"/>
          <w:szCs w:val="24"/>
          <w:lang w:eastAsia="pt-BR"/>
        </w:rPr>
        <w:t>A gestão de estoque dos materiais de consumo do CAU/BR é realizada por meio do sistema SIALM.NET da contratada Implanta Informática LTDA. No sistema é possível gerar relatório das movimentações de entrada e saída e os itens são classificados em Materiais de informática; Material de copa e cozinha; Gêneros alimentação; Materiais elétricos e de telefonia; Material de expediente e Materiais de limpeza e produtos de higiene.</w:t>
      </w:r>
    </w:p>
    <w:p w:rsidR="000F5643" w:rsidRDefault="000F5643" w:rsidP="0018407B">
      <w:pPr>
        <w:spacing w:after="0" w:line="240" w:lineRule="auto"/>
        <w:jc w:val="both"/>
        <w:rPr>
          <w:rFonts w:ascii="Times New Roman" w:eastAsia="Times New Roman" w:hAnsi="Times New Roman" w:cs="Times New Roman"/>
          <w:sz w:val="24"/>
          <w:szCs w:val="24"/>
          <w:lang w:eastAsia="pt-BR"/>
        </w:rPr>
      </w:pPr>
    </w:p>
    <w:p w:rsidR="000F5643" w:rsidRPr="000F5643" w:rsidRDefault="000F5643" w:rsidP="000F5643">
      <w:pPr>
        <w:spacing w:after="0" w:line="240" w:lineRule="auto"/>
        <w:jc w:val="both"/>
        <w:rPr>
          <w:rFonts w:ascii="Times New Roman" w:eastAsia="Times New Roman" w:hAnsi="Times New Roman" w:cs="Times New Roman"/>
          <w:b/>
          <w:sz w:val="24"/>
          <w:szCs w:val="24"/>
          <w:lang w:eastAsia="pt-BR"/>
        </w:rPr>
      </w:pPr>
      <w:r w:rsidRPr="000F5643">
        <w:rPr>
          <w:rFonts w:ascii="Times New Roman" w:eastAsia="Times New Roman" w:hAnsi="Times New Roman" w:cs="Times New Roman"/>
          <w:b/>
          <w:sz w:val="24"/>
          <w:szCs w:val="24"/>
          <w:lang w:eastAsia="pt-BR"/>
        </w:rPr>
        <w:t>8.2</w:t>
      </w:r>
      <w:r>
        <w:rPr>
          <w:rFonts w:ascii="Times New Roman" w:eastAsia="Times New Roman" w:hAnsi="Times New Roman" w:cs="Times New Roman"/>
          <w:b/>
          <w:sz w:val="24"/>
          <w:szCs w:val="24"/>
          <w:lang w:eastAsia="pt-BR"/>
        </w:rPr>
        <w:t xml:space="preserve"> – </w:t>
      </w:r>
      <w:r>
        <w:rPr>
          <w:rFonts w:ascii="Times New Roman" w:eastAsia="Times New Roman" w:hAnsi="Times New Roman" w:cs="Times New Roman"/>
          <w:sz w:val="24"/>
          <w:szCs w:val="24"/>
          <w:lang w:eastAsia="pt-BR"/>
        </w:rPr>
        <w:t>No exercício de 2022 não foram registradas as entradas e saídas no sistema SIALM.NET, sendo que o inventário foi realizado dia 13 de feve</w:t>
      </w:r>
      <w:r w:rsidR="00796E10">
        <w:rPr>
          <w:rFonts w:ascii="Times New Roman" w:eastAsia="Times New Roman" w:hAnsi="Times New Roman" w:cs="Times New Roman"/>
          <w:sz w:val="24"/>
          <w:szCs w:val="24"/>
          <w:lang w:eastAsia="pt-BR"/>
        </w:rPr>
        <w:t>reiro de 2023. Os lançamentos das</w:t>
      </w:r>
      <w:r>
        <w:rPr>
          <w:rFonts w:ascii="Times New Roman" w:eastAsia="Times New Roman" w:hAnsi="Times New Roman" w:cs="Times New Roman"/>
          <w:sz w:val="24"/>
          <w:szCs w:val="24"/>
          <w:lang w:eastAsia="pt-BR"/>
        </w:rPr>
        <w:t xml:space="preserve"> aquisições</w:t>
      </w:r>
      <w:r w:rsidR="00796E10">
        <w:rPr>
          <w:rFonts w:ascii="Times New Roman" w:eastAsia="Times New Roman" w:hAnsi="Times New Roman" w:cs="Times New Roman"/>
          <w:sz w:val="24"/>
          <w:szCs w:val="24"/>
          <w:lang w:eastAsia="pt-BR"/>
        </w:rPr>
        <w:t xml:space="preserve"> do período mencionado</w:t>
      </w:r>
      <w:r>
        <w:rPr>
          <w:rFonts w:ascii="Times New Roman" w:eastAsia="Times New Roman" w:hAnsi="Times New Roman" w:cs="Times New Roman"/>
          <w:sz w:val="24"/>
          <w:szCs w:val="24"/>
          <w:lang w:eastAsia="pt-BR"/>
        </w:rPr>
        <w:t xml:space="preserve"> foram incluídos no sistema no total </w:t>
      </w:r>
      <w:r w:rsidRPr="000F5643">
        <w:rPr>
          <w:rFonts w:ascii="Times New Roman" w:eastAsia="Times New Roman" w:hAnsi="Times New Roman" w:cs="Times New Roman"/>
          <w:sz w:val="24"/>
          <w:szCs w:val="24"/>
          <w:lang w:eastAsia="pt-BR"/>
        </w:rPr>
        <w:t>de R$ 55.291,8</w:t>
      </w:r>
      <w:r w:rsidR="00114369">
        <w:rPr>
          <w:rFonts w:ascii="Times New Roman" w:eastAsia="Times New Roman" w:hAnsi="Times New Roman" w:cs="Times New Roman"/>
          <w:sz w:val="24"/>
          <w:szCs w:val="24"/>
          <w:lang w:eastAsia="pt-BR"/>
        </w:rPr>
        <w:t>6</w:t>
      </w:r>
      <w:r w:rsidRPr="000F5643">
        <w:rPr>
          <w:rFonts w:ascii="Times New Roman" w:eastAsia="Times New Roman" w:hAnsi="Times New Roman" w:cs="Times New Roman"/>
          <w:sz w:val="24"/>
          <w:szCs w:val="24"/>
          <w:lang w:eastAsia="pt-BR"/>
        </w:rPr>
        <w:t>, enquanto as baixas foram registradas no total R$ 42.</w:t>
      </w:r>
      <w:r w:rsidR="00114369">
        <w:rPr>
          <w:rFonts w:ascii="Times New Roman" w:eastAsia="Times New Roman" w:hAnsi="Times New Roman" w:cs="Times New Roman"/>
          <w:sz w:val="24"/>
          <w:szCs w:val="24"/>
          <w:lang w:eastAsia="pt-BR"/>
        </w:rPr>
        <w:t>057,43</w:t>
      </w:r>
      <w:r w:rsidRPr="000F5643">
        <w:rPr>
          <w:rFonts w:ascii="Times New Roman" w:eastAsia="Times New Roman" w:hAnsi="Times New Roman" w:cs="Times New Roman"/>
          <w:sz w:val="24"/>
          <w:szCs w:val="24"/>
          <w:lang w:eastAsia="pt-BR"/>
        </w:rPr>
        <w:t>, sendo que houve então um saldo líquido de estoque no</w:t>
      </w:r>
      <w:r>
        <w:rPr>
          <w:rFonts w:ascii="Times New Roman" w:eastAsia="Times New Roman" w:hAnsi="Times New Roman" w:cs="Times New Roman"/>
          <w:sz w:val="24"/>
          <w:szCs w:val="24"/>
          <w:lang w:eastAsia="pt-BR"/>
        </w:rPr>
        <w:t xml:space="preserve"> valor R$ 13.</w:t>
      </w:r>
      <w:r w:rsidR="00114369">
        <w:rPr>
          <w:rFonts w:ascii="Times New Roman" w:eastAsia="Times New Roman" w:hAnsi="Times New Roman" w:cs="Times New Roman"/>
          <w:sz w:val="24"/>
          <w:szCs w:val="24"/>
          <w:lang w:eastAsia="pt-BR"/>
        </w:rPr>
        <w:t>234</w:t>
      </w:r>
      <w:r>
        <w:rPr>
          <w:rFonts w:ascii="Times New Roman" w:eastAsia="Times New Roman" w:hAnsi="Times New Roman" w:cs="Times New Roman"/>
          <w:sz w:val="24"/>
          <w:szCs w:val="24"/>
          <w:lang w:eastAsia="pt-BR"/>
        </w:rPr>
        <w:t>,</w:t>
      </w:r>
      <w:r w:rsidR="00114369">
        <w:rPr>
          <w:rFonts w:ascii="Times New Roman" w:eastAsia="Times New Roman" w:hAnsi="Times New Roman" w:cs="Times New Roman"/>
          <w:sz w:val="24"/>
          <w:szCs w:val="24"/>
          <w:lang w:eastAsia="pt-BR"/>
        </w:rPr>
        <w:t>43</w:t>
      </w:r>
      <w:r>
        <w:rPr>
          <w:rFonts w:ascii="Times New Roman" w:eastAsia="Times New Roman" w:hAnsi="Times New Roman" w:cs="Times New Roman"/>
          <w:sz w:val="24"/>
          <w:szCs w:val="24"/>
          <w:lang w:eastAsia="pt-BR"/>
        </w:rPr>
        <w:t>, como no final d</w:t>
      </w:r>
      <w:r w:rsidR="00251EA1">
        <w:rPr>
          <w:rFonts w:ascii="Times New Roman" w:eastAsia="Times New Roman" w:hAnsi="Times New Roman" w:cs="Times New Roman"/>
          <w:sz w:val="24"/>
          <w:szCs w:val="24"/>
          <w:lang w:eastAsia="pt-BR"/>
        </w:rPr>
        <w:t>o exercício contábil de 2022 o estoque tem</w:t>
      </w:r>
      <w:r>
        <w:rPr>
          <w:rFonts w:ascii="Times New Roman" w:eastAsia="Times New Roman" w:hAnsi="Times New Roman" w:cs="Times New Roman"/>
          <w:sz w:val="24"/>
          <w:szCs w:val="24"/>
          <w:lang w:eastAsia="pt-BR"/>
        </w:rPr>
        <w:t xml:space="preserve"> um saldo de </w:t>
      </w:r>
      <w:r w:rsidR="00251EA1">
        <w:rPr>
          <w:rFonts w:ascii="Times New Roman" w:eastAsia="Times New Roman" w:hAnsi="Times New Roman" w:cs="Times New Roman"/>
          <w:sz w:val="24"/>
          <w:szCs w:val="24"/>
          <w:lang w:eastAsia="pt-BR"/>
        </w:rPr>
        <w:t xml:space="preserve">R$ </w:t>
      </w:r>
      <w:r>
        <w:rPr>
          <w:rFonts w:ascii="Times New Roman" w:eastAsia="Times New Roman" w:hAnsi="Times New Roman" w:cs="Times New Roman"/>
          <w:sz w:val="24"/>
          <w:szCs w:val="24"/>
          <w:lang w:eastAsia="pt-BR"/>
        </w:rPr>
        <w:t>44.504,00, totaliza-se em 13/02/2023 um saldo total de R$ R$ 57.</w:t>
      </w:r>
      <w:r w:rsidR="00114369">
        <w:rPr>
          <w:rFonts w:ascii="Times New Roman" w:eastAsia="Times New Roman" w:hAnsi="Times New Roman" w:cs="Times New Roman"/>
          <w:sz w:val="24"/>
          <w:szCs w:val="24"/>
          <w:lang w:eastAsia="pt-BR"/>
        </w:rPr>
        <w:t>738,53</w:t>
      </w:r>
      <w:r>
        <w:rPr>
          <w:rFonts w:ascii="Times New Roman" w:eastAsia="Times New Roman" w:hAnsi="Times New Roman" w:cs="Times New Roman"/>
          <w:sz w:val="24"/>
          <w:szCs w:val="24"/>
          <w:lang w:eastAsia="pt-BR"/>
        </w:rPr>
        <w:t xml:space="preserve">.     </w:t>
      </w:r>
    </w:p>
    <w:p w:rsidR="000F5643" w:rsidRDefault="000F5643" w:rsidP="0018407B">
      <w:pPr>
        <w:spacing w:after="0" w:line="240" w:lineRule="auto"/>
        <w:jc w:val="both"/>
        <w:rPr>
          <w:rFonts w:ascii="Times New Roman" w:eastAsia="Times New Roman" w:hAnsi="Times New Roman" w:cs="Times New Roman"/>
          <w:sz w:val="24"/>
          <w:szCs w:val="24"/>
          <w:lang w:eastAsia="pt-BR"/>
        </w:rPr>
      </w:pPr>
    </w:p>
    <w:p w:rsidR="0018407B" w:rsidRDefault="0018407B" w:rsidP="0018407B">
      <w:pPr>
        <w:spacing w:after="0" w:line="240" w:lineRule="auto"/>
        <w:jc w:val="both"/>
        <w:rPr>
          <w:rFonts w:ascii="Times New Roman" w:eastAsia="Times New Roman" w:hAnsi="Times New Roman" w:cs="Times New Roman"/>
          <w:sz w:val="24"/>
          <w:szCs w:val="24"/>
          <w:lang w:eastAsia="pt-BR"/>
        </w:rPr>
      </w:pPr>
    </w:p>
    <w:p w:rsidR="0018407B" w:rsidRPr="003A17AD" w:rsidRDefault="0018407B" w:rsidP="0018407B">
      <w:pPr>
        <w:spacing w:after="0" w:line="240" w:lineRule="auto"/>
        <w:jc w:val="both"/>
        <w:rPr>
          <w:rFonts w:ascii="Times New Roman" w:eastAsia="Times New Roman" w:hAnsi="Times New Roman" w:cs="Times New Roman"/>
          <w:b/>
          <w:sz w:val="24"/>
          <w:szCs w:val="24"/>
          <w:lang w:eastAsia="pt-BR"/>
        </w:rPr>
      </w:pPr>
      <w:r w:rsidRPr="003A17AD">
        <w:rPr>
          <w:rFonts w:ascii="Times New Roman" w:eastAsia="Times New Roman" w:hAnsi="Times New Roman" w:cs="Times New Roman"/>
          <w:b/>
          <w:sz w:val="24"/>
          <w:szCs w:val="24"/>
          <w:lang w:eastAsia="pt-BR"/>
        </w:rPr>
        <w:t xml:space="preserve">9. Imobilizado </w:t>
      </w:r>
    </w:p>
    <w:p w:rsidR="0018407B" w:rsidRPr="00F46F73" w:rsidRDefault="0018407B" w:rsidP="0018407B">
      <w:pPr>
        <w:tabs>
          <w:tab w:val="left" w:pos="1458"/>
        </w:tabs>
        <w:spacing w:after="0" w:line="240" w:lineRule="auto"/>
        <w:jc w:val="both"/>
        <w:rPr>
          <w:rFonts w:ascii="Times New Roman" w:eastAsia="Times New Roman" w:hAnsi="Times New Roman" w:cs="Times New Roman"/>
          <w:b/>
          <w:color w:val="FF0000"/>
          <w:sz w:val="24"/>
          <w:szCs w:val="24"/>
          <w:lang w:eastAsia="pt-BR"/>
        </w:rPr>
      </w:pPr>
      <w:r w:rsidRPr="00F46F73">
        <w:rPr>
          <w:rFonts w:ascii="Times New Roman" w:eastAsia="Times New Roman" w:hAnsi="Times New Roman" w:cs="Times New Roman"/>
          <w:b/>
          <w:color w:val="FF0000"/>
          <w:sz w:val="24"/>
          <w:szCs w:val="24"/>
          <w:lang w:eastAsia="pt-BR"/>
        </w:rPr>
        <w:tab/>
      </w:r>
    </w:p>
    <w:p w:rsidR="0018407B" w:rsidRPr="00BB6EAD" w:rsidRDefault="0018407B" w:rsidP="0018407B">
      <w:pPr>
        <w:tabs>
          <w:tab w:val="left" w:pos="1458"/>
        </w:tabs>
        <w:spacing w:after="0" w:line="240" w:lineRule="auto"/>
        <w:jc w:val="both"/>
        <w:rPr>
          <w:rFonts w:ascii="Times New Roman" w:hAnsi="Times New Roman" w:cs="Times New Roman"/>
          <w:color w:val="000000"/>
          <w:sz w:val="24"/>
          <w:szCs w:val="24"/>
        </w:rPr>
      </w:pPr>
      <w:r w:rsidRPr="00F46F73">
        <w:rPr>
          <w:rFonts w:ascii="Times New Roman" w:hAnsi="Times New Roman" w:cs="Times New Roman"/>
          <w:color w:val="000000"/>
          <w:sz w:val="24"/>
          <w:szCs w:val="24"/>
        </w:rPr>
        <w:t xml:space="preserve">A Entidade acompanha </w:t>
      </w:r>
      <w:r>
        <w:rPr>
          <w:rFonts w:ascii="Times New Roman" w:hAnsi="Times New Roman" w:cs="Times New Roman"/>
          <w:color w:val="000000"/>
          <w:sz w:val="24"/>
          <w:szCs w:val="24"/>
        </w:rPr>
        <w:t>mensalmente os saldos patrimoniais</w:t>
      </w:r>
      <w:r w:rsidRPr="00F46F73">
        <w:rPr>
          <w:rFonts w:ascii="Times New Roman" w:hAnsi="Times New Roman" w:cs="Times New Roman"/>
          <w:color w:val="000000"/>
          <w:sz w:val="24"/>
          <w:szCs w:val="24"/>
        </w:rPr>
        <w:t>. A mov</w:t>
      </w:r>
      <w:r>
        <w:rPr>
          <w:rFonts w:ascii="Times New Roman" w:hAnsi="Times New Roman" w:cs="Times New Roman"/>
          <w:color w:val="000000"/>
          <w:sz w:val="24"/>
          <w:szCs w:val="24"/>
        </w:rPr>
        <w:t xml:space="preserve">imentação do ativo imobilizado </w:t>
      </w:r>
      <w:r w:rsidRPr="00F46F73">
        <w:rPr>
          <w:rFonts w:ascii="Times New Roman" w:hAnsi="Times New Roman" w:cs="Times New Roman"/>
          <w:color w:val="000000"/>
          <w:sz w:val="24"/>
          <w:szCs w:val="24"/>
        </w:rPr>
        <w:t>aconteceu da</w:t>
      </w:r>
      <w:r>
        <w:rPr>
          <w:rFonts w:ascii="Times New Roman" w:hAnsi="Times New Roman" w:cs="Times New Roman"/>
          <w:color w:val="000000"/>
          <w:sz w:val="24"/>
          <w:szCs w:val="24"/>
        </w:rPr>
        <w:t xml:space="preserve"> seguinte forma:</w:t>
      </w:r>
    </w:p>
    <w:p w:rsidR="0018407B" w:rsidRPr="00F46F73" w:rsidRDefault="0018407B" w:rsidP="0018407B">
      <w:pPr>
        <w:tabs>
          <w:tab w:val="left" w:pos="1458"/>
        </w:tabs>
        <w:spacing w:after="0" w:line="240" w:lineRule="auto"/>
        <w:jc w:val="both"/>
        <w:rPr>
          <w:rFonts w:ascii="Times New Roman" w:eastAsia="Times New Roman" w:hAnsi="Times New Roman" w:cs="Times New Roman"/>
          <w:b/>
          <w:color w:val="FF0000"/>
          <w:sz w:val="24"/>
          <w:szCs w:val="24"/>
          <w:lang w:eastAsia="pt-BR"/>
        </w:rPr>
      </w:pPr>
    </w:p>
    <w:tbl>
      <w:tblPr>
        <w:tblW w:w="9603" w:type="dxa"/>
        <w:tblInd w:w="55" w:type="dxa"/>
        <w:tblCellMar>
          <w:left w:w="70" w:type="dxa"/>
          <w:right w:w="70" w:type="dxa"/>
        </w:tblCellMar>
        <w:tblLook w:val="04A0" w:firstRow="1" w:lastRow="0" w:firstColumn="1" w:lastColumn="0" w:noHBand="0" w:noVBand="1"/>
      </w:tblPr>
      <w:tblGrid>
        <w:gridCol w:w="1593"/>
        <w:gridCol w:w="1374"/>
        <w:gridCol w:w="1184"/>
        <w:gridCol w:w="1096"/>
        <w:gridCol w:w="1357"/>
        <w:gridCol w:w="1497"/>
        <w:gridCol w:w="1502"/>
      </w:tblGrid>
      <w:tr w:rsidR="0018407B" w:rsidRPr="0022144B" w:rsidTr="00C843E2">
        <w:trPr>
          <w:trHeight w:val="301"/>
        </w:trPr>
        <w:tc>
          <w:tcPr>
            <w:tcW w:w="4151" w:type="dxa"/>
            <w:gridSpan w:val="3"/>
            <w:tcBorders>
              <w:top w:val="nil"/>
              <w:left w:val="nil"/>
              <w:bottom w:val="nil"/>
              <w:right w:val="nil"/>
            </w:tcBorders>
            <w:shd w:val="clear" w:color="auto" w:fill="auto"/>
            <w:noWrap/>
            <w:vAlign w:val="bottom"/>
            <w:hideMark/>
          </w:tcPr>
          <w:p w:rsidR="0018407B" w:rsidRPr="0022144B" w:rsidRDefault="0018407B" w:rsidP="00C843E2">
            <w:pPr>
              <w:spacing w:after="0" w:line="240" w:lineRule="auto"/>
              <w:rPr>
                <w:rFonts w:ascii="Calibri" w:eastAsia="Times New Roman" w:hAnsi="Calibri" w:cs="Calibri"/>
                <w:b/>
                <w:bCs/>
                <w:color w:val="000000"/>
                <w:sz w:val="20"/>
                <w:szCs w:val="20"/>
                <w:lang w:eastAsia="pt-BR"/>
              </w:rPr>
            </w:pPr>
            <w:r w:rsidRPr="0022144B">
              <w:rPr>
                <w:rFonts w:ascii="Calibri" w:eastAsia="Times New Roman" w:hAnsi="Calibri" w:cs="Calibri"/>
                <w:b/>
                <w:bCs/>
                <w:color w:val="000000"/>
                <w:sz w:val="20"/>
                <w:szCs w:val="20"/>
                <w:lang w:eastAsia="pt-BR"/>
              </w:rPr>
              <w:t>Movimentação do ativo imobilizado:</w:t>
            </w:r>
          </w:p>
        </w:tc>
        <w:tc>
          <w:tcPr>
            <w:tcW w:w="1096" w:type="dxa"/>
            <w:tcBorders>
              <w:top w:val="nil"/>
              <w:left w:val="nil"/>
              <w:bottom w:val="nil"/>
              <w:right w:val="nil"/>
            </w:tcBorders>
            <w:shd w:val="clear" w:color="auto" w:fill="auto"/>
            <w:noWrap/>
            <w:vAlign w:val="bottom"/>
            <w:hideMark/>
          </w:tcPr>
          <w:p w:rsidR="0018407B" w:rsidRPr="0022144B" w:rsidRDefault="0018407B" w:rsidP="00C843E2">
            <w:pPr>
              <w:spacing w:after="0" w:line="240" w:lineRule="auto"/>
              <w:rPr>
                <w:rFonts w:ascii="Calibri" w:eastAsia="Times New Roman" w:hAnsi="Calibri" w:cs="Calibri"/>
                <w:color w:val="000000"/>
                <w:sz w:val="20"/>
                <w:szCs w:val="20"/>
                <w:lang w:eastAsia="pt-BR"/>
              </w:rPr>
            </w:pPr>
          </w:p>
        </w:tc>
        <w:tc>
          <w:tcPr>
            <w:tcW w:w="1357" w:type="dxa"/>
            <w:tcBorders>
              <w:top w:val="nil"/>
              <w:left w:val="nil"/>
              <w:bottom w:val="nil"/>
              <w:right w:val="nil"/>
            </w:tcBorders>
            <w:shd w:val="clear" w:color="auto" w:fill="auto"/>
            <w:noWrap/>
            <w:vAlign w:val="bottom"/>
            <w:hideMark/>
          </w:tcPr>
          <w:p w:rsidR="0018407B" w:rsidRPr="0022144B" w:rsidRDefault="0018407B" w:rsidP="00C843E2">
            <w:pPr>
              <w:spacing w:after="0" w:line="240" w:lineRule="auto"/>
              <w:rPr>
                <w:rFonts w:ascii="Calibri" w:eastAsia="Times New Roman" w:hAnsi="Calibri" w:cs="Calibri"/>
                <w:color w:val="000000"/>
                <w:lang w:eastAsia="pt-BR"/>
              </w:rPr>
            </w:pPr>
          </w:p>
        </w:tc>
        <w:tc>
          <w:tcPr>
            <w:tcW w:w="1497" w:type="dxa"/>
            <w:tcBorders>
              <w:top w:val="nil"/>
              <w:left w:val="nil"/>
              <w:bottom w:val="nil"/>
              <w:right w:val="nil"/>
            </w:tcBorders>
            <w:shd w:val="clear" w:color="auto" w:fill="auto"/>
            <w:noWrap/>
            <w:vAlign w:val="bottom"/>
            <w:hideMark/>
          </w:tcPr>
          <w:p w:rsidR="0018407B" w:rsidRPr="0022144B" w:rsidRDefault="0018407B" w:rsidP="00C843E2">
            <w:pPr>
              <w:spacing w:after="0" w:line="240" w:lineRule="auto"/>
              <w:rPr>
                <w:rFonts w:ascii="Calibri" w:eastAsia="Times New Roman" w:hAnsi="Calibri" w:cs="Calibri"/>
                <w:color w:val="000000"/>
                <w:lang w:eastAsia="pt-BR"/>
              </w:rPr>
            </w:pPr>
          </w:p>
        </w:tc>
        <w:tc>
          <w:tcPr>
            <w:tcW w:w="1502" w:type="dxa"/>
            <w:tcBorders>
              <w:top w:val="nil"/>
              <w:left w:val="nil"/>
              <w:bottom w:val="nil"/>
              <w:right w:val="nil"/>
            </w:tcBorders>
            <w:shd w:val="clear" w:color="auto" w:fill="auto"/>
            <w:noWrap/>
            <w:vAlign w:val="bottom"/>
            <w:hideMark/>
          </w:tcPr>
          <w:p w:rsidR="0018407B" w:rsidRPr="0022144B" w:rsidRDefault="0018407B" w:rsidP="00C843E2">
            <w:pPr>
              <w:spacing w:after="0" w:line="240" w:lineRule="auto"/>
              <w:rPr>
                <w:rFonts w:ascii="Calibri" w:eastAsia="Times New Roman" w:hAnsi="Calibri" w:cs="Calibri"/>
                <w:color w:val="000000"/>
                <w:lang w:eastAsia="pt-BR"/>
              </w:rPr>
            </w:pPr>
          </w:p>
        </w:tc>
      </w:tr>
      <w:tr w:rsidR="0018407B" w:rsidRPr="0022144B" w:rsidTr="00C843E2">
        <w:trPr>
          <w:trHeight w:val="301"/>
        </w:trPr>
        <w:tc>
          <w:tcPr>
            <w:tcW w:w="1593" w:type="dxa"/>
            <w:tcBorders>
              <w:top w:val="nil"/>
              <w:left w:val="nil"/>
              <w:bottom w:val="nil"/>
              <w:right w:val="nil"/>
            </w:tcBorders>
            <w:shd w:val="clear" w:color="auto" w:fill="auto"/>
            <w:noWrap/>
            <w:vAlign w:val="bottom"/>
            <w:hideMark/>
          </w:tcPr>
          <w:p w:rsidR="0018407B" w:rsidRPr="0022144B" w:rsidRDefault="0018407B" w:rsidP="00C843E2">
            <w:pPr>
              <w:spacing w:after="0" w:line="240" w:lineRule="auto"/>
              <w:rPr>
                <w:rFonts w:ascii="Calibri" w:eastAsia="Times New Roman" w:hAnsi="Calibri" w:cs="Calibri"/>
                <w:color w:val="000000"/>
                <w:lang w:eastAsia="pt-BR"/>
              </w:rPr>
            </w:pPr>
          </w:p>
        </w:tc>
        <w:tc>
          <w:tcPr>
            <w:tcW w:w="1374" w:type="dxa"/>
            <w:tcBorders>
              <w:top w:val="nil"/>
              <w:left w:val="nil"/>
              <w:bottom w:val="nil"/>
              <w:right w:val="nil"/>
            </w:tcBorders>
            <w:shd w:val="clear" w:color="auto" w:fill="auto"/>
            <w:noWrap/>
            <w:vAlign w:val="bottom"/>
            <w:hideMark/>
          </w:tcPr>
          <w:p w:rsidR="0018407B" w:rsidRPr="0022144B" w:rsidRDefault="0018407B" w:rsidP="00C843E2">
            <w:pPr>
              <w:spacing w:after="0" w:line="240" w:lineRule="auto"/>
              <w:rPr>
                <w:rFonts w:ascii="Calibri" w:eastAsia="Times New Roman" w:hAnsi="Calibri" w:cs="Calibri"/>
                <w:color w:val="000000"/>
                <w:lang w:eastAsia="pt-BR"/>
              </w:rPr>
            </w:pPr>
          </w:p>
        </w:tc>
        <w:tc>
          <w:tcPr>
            <w:tcW w:w="1184" w:type="dxa"/>
            <w:tcBorders>
              <w:top w:val="nil"/>
              <w:left w:val="nil"/>
              <w:bottom w:val="nil"/>
              <w:right w:val="nil"/>
            </w:tcBorders>
            <w:shd w:val="clear" w:color="auto" w:fill="auto"/>
            <w:noWrap/>
            <w:vAlign w:val="bottom"/>
            <w:hideMark/>
          </w:tcPr>
          <w:p w:rsidR="0018407B" w:rsidRPr="0022144B" w:rsidRDefault="0018407B" w:rsidP="00C843E2">
            <w:pPr>
              <w:spacing w:after="0" w:line="240" w:lineRule="auto"/>
              <w:rPr>
                <w:rFonts w:ascii="Calibri" w:eastAsia="Times New Roman" w:hAnsi="Calibri" w:cs="Calibri"/>
                <w:color w:val="000000"/>
                <w:lang w:eastAsia="pt-BR"/>
              </w:rPr>
            </w:pPr>
          </w:p>
        </w:tc>
        <w:tc>
          <w:tcPr>
            <w:tcW w:w="1096" w:type="dxa"/>
            <w:tcBorders>
              <w:top w:val="nil"/>
              <w:left w:val="nil"/>
              <w:bottom w:val="nil"/>
              <w:right w:val="nil"/>
            </w:tcBorders>
            <w:shd w:val="clear" w:color="auto" w:fill="auto"/>
            <w:noWrap/>
            <w:vAlign w:val="bottom"/>
            <w:hideMark/>
          </w:tcPr>
          <w:p w:rsidR="0018407B" w:rsidRPr="0022144B" w:rsidRDefault="0018407B" w:rsidP="00C843E2">
            <w:pPr>
              <w:spacing w:after="0" w:line="240" w:lineRule="auto"/>
              <w:rPr>
                <w:rFonts w:ascii="Calibri" w:eastAsia="Times New Roman" w:hAnsi="Calibri" w:cs="Calibri"/>
                <w:color w:val="000000"/>
                <w:lang w:eastAsia="pt-BR"/>
              </w:rPr>
            </w:pPr>
          </w:p>
        </w:tc>
        <w:tc>
          <w:tcPr>
            <w:tcW w:w="1357" w:type="dxa"/>
            <w:tcBorders>
              <w:top w:val="nil"/>
              <w:left w:val="nil"/>
              <w:bottom w:val="nil"/>
              <w:right w:val="nil"/>
            </w:tcBorders>
            <w:shd w:val="clear" w:color="auto" w:fill="auto"/>
            <w:noWrap/>
            <w:vAlign w:val="bottom"/>
            <w:hideMark/>
          </w:tcPr>
          <w:p w:rsidR="0018407B" w:rsidRPr="0022144B" w:rsidRDefault="0018407B" w:rsidP="00C843E2">
            <w:pPr>
              <w:spacing w:after="0" w:line="240" w:lineRule="auto"/>
              <w:rPr>
                <w:rFonts w:ascii="Calibri" w:eastAsia="Times New Roman" w:hAnsi="Calibri" w:cs="Calibri"/>
                <w:color w:val="000000"/>
                <w:lang w:eastAsia="pt-BR"/>
              </w:rPr>
            </w:pPr>
          </w:p>
        </w:tc>
        <w:tc>
          <w:tcPr>
            <w:tcW w:w="1497" w:type="dxa"/>
            <w:tcBorders>
              <w:top w:val="nil"/>
              <w:left w:val="nil"/>
              <w:bottom w:val="nil"/>
              <w:right w:val="nil"/>
            </w:tcBorders>
            <w:shd w:val="clear" w:color="auto" w:fill="auto"/>
            <w:noWrap/>
            <w:vAlign w:val="bottom"/>
            <w:hideMark/>
          </w:tcPr>
          <w:p w:rsidR="0018407B" w:rsidRPr="0022144B" w:rsidRDefault="0018407B" w:rsidP="00C843E2">
            <w:pPr>
              <w:spacing w:after="0" w:line="240" w:lineRule="auto"/>
              <w:jc w:val="center"/>
              <w:rPr>
                <w:rFonts w:ascii="Calibri" w:eastAsia="Times New Roman" w:hAnsi="Calibri" w:cs="Calibri"/>
                <w:color w:val="000000"/>
                <w:sz w:val="20"/>
                <w:szCs w:val="20"/>
                <w:lang w:eastAsia="pt-BR"/>
              </w:rPr>
            </w:pPr>
          </w:p>
        </w:tc>
        <w:tc>
          <w:tcPr>
            <w:tcW w:w="1502" w:type="dxa"/>
            <w:tcBorders>
              <w:top w:val="nil"/>
              <w:left w:val="nil"/>
              <w:bottom w:val="nil"/>
              <w:right w:val="nil"/>
            </w:tcBorders>
            <w:shd w:val="clear" w:color="auto" w:fill="auto"/>
            <w:noWrap/>
            <w:vAlign w:val="bottom"/>
            <w:hideMark/>
          </w:tcPr>
          <w:p w:rsidR="0018407B" w:rsidRPr="0022144B" w:rsidRDefault="0018407B" w:rsidP="00C843E2">
            <w:pPr>
              <w:spacing w:after="0" w:line="240" w:lineRule="auto"/>
              <w:jc w:val="center"/>
              <w:rPr>
                <w:rFonts w:ascii="Calibri" w:eastAsia="Times New Roman" w:hAnsi="Calibri" w:cs="Calibri"/>
                <w:color w:val="000000"/>
                <w:sz w:val="20"/>
                <w:szCs w:val="20"/>
                <w:lang w:eastAsia="pt-BR"/>
              </w:rPr>
            </w:pPr>
          </w:p>
        </w:tc>
      </w:tr>
      <w:tr w:rsidR="0018407B" w:rsidRPr="0022144B" w:rsidTr="00C843E2">
        <w:trPr>
          <w:trHeight w:val="301"/>
        </w:trPr>
        <w:tc>
          <w:tcPr>
            <w:tcW w:w="1593" w:type="dxa"/>
            <w:tcBorders>
              <w:top w:val="nil"/>
              <w:left w:val="nil"/>
              <w:bottom w:val="nil"/>
              <w:right w:val="nil"/>
            </w:tcBorders>
            <w:shd w:val="clear" w:color="auto" w:fill="006A71"/>
            <w:noWrap/>
            <w:vAlign w:val="bottom"/>
            <w:hideMark/>
          </w:tcPr>
          <w:p w:rsidR="0018407B" w:rsidRPr="00F2637D" w:rsidRDefault="0018407B" w:rsidP="00C843E2">
            <w:pPr>
              <w:spacing w:after="0" w:line="240" w:lineRule="auto"/>
              <w:jc w:val="center"/>
              <w:rPr>
                <w:rFonts w:ascii="Calibri" w:eastAsia="Times New Roman" w:hAnsi="Calibri" w:cs="Calibri"/>
                <w:b/>
                <w:color w:val="FFFFFF" w:themeColor="background1"/>
                <w:sz w:val="20"/>
                <w:szCs w:val="20"/>
                <w:lang w:eastAsia="pt-BR"/>
              </w:rPr>
            </w:pPr>
            <w:r w:rsidRPr="00F2637D">
              <w:rPr>
                <w:rFonts w:ascii="Calibri" w:eastAsia="Times New Roman" w:hAnsi="Calibri" w:cs="Calibri"/>
                <w:b/>
                <w:color w:val="FFFFFF" w:themeColor="background1"/>
                <w:sz w:val="20"/>
                <w:szCs w:val="20"/>
                <w:lang w:eastAsia="pt-BR"/>
              </w:rPr>
              <w:t>Tipo de</w:t>
            </w:r>
          </w:p>
        </w:tc>
        <w:tc>
          <w:tcPr>
            <w:tcW w:w="1374" w:type="dxa"/>
            <w:tcBorders>
              <w:top w:val="nil"/>
              <w:left w:val="nil"/>
              <w:bottom w:val="nil"/>
              <w:right w:val="nil"/>
            </w:tcBorders>
            <w:shd w:val="clear" w:color="auto" w:fill="006A71"/>
            <w:noWrap/>
            <w:vAlign w:val="bottom"/>
            <w:hideMark/>
          </w:tcPr>
          <w:p w:rsidR="0018407B" w:rsidRPr="00F2637D" w:rsidRDefault="0018407B" w:rsidP="00C843E2">
            <w:pPr>
              <w:spacing w:after="0" w:line="240" w:lineRule="auto"/>
              <w:rPr>
                <w:rFonts w:ascii="Calibri" w:eastAsia="Times New Roman" w:hAnsi="Calibri" w:cs="Calibri"/>
                <w:b/>
                <w:bCs/>
                <w:color w:val="FFFFFF" w:themeColor="background1"/>
                <w:lang w:eastAsia="pt-BR"/>
              </w:rPr>
            </w:pPr>
          </w:p>
        </w:tc>
        <w:tc>
          <w:tcPr>
            <w:tcW w:w="1184" w:type="dxa"/>
            <w:tcBorders>
              <w:top w:val="nil"/>
              <w:left w:val="nil"/>
              <w:bottom w:val="nil"/>
              <w:right w:val="nil"/>
            </w:tcBorders>
            <w:shd w:val="clear" w:color="auto" w:fill="006A71"/>
            <w:noWrap/>
            <w:vAlign w:val="bottom"/>
            <w:hideMark/>
          </w:tcPr>
          <w:p w:rsidR="0018407B" w:rsidRPr="00F2637D" w:rsidRDefault="0018407B" w:rsidP="00C843E2">
            <w:pPr>
              <w:spacing w:after="0" w:line="240" w:lineRule="auto"/>
              <w:rPr>
                <w:rFonts w:ascii="Calibri" w:eastAsia="Times New Roman" w:hAnsi="Calibri" w:cs="Calibri"/>
                <w:b/>
                <w:bCs/>
                <w:color w:val="FFFFFF" w:themeColor="background1"/>
                <w:lang w:eastAsia="pt-BR"/>
              </w:rPr>
            </w:pPr>
          </w:p>
        </w:tc>
        <w:tc>
          <w:tcPr>
            <w:tcW w:w="1096" w:type="dxa"/>
            <w:tcBorders>
              <w:top w:val="nil"/>
              <w:left w:val="nil"/>
              <w:bottom w:val="nil"/>
              <w:right w:val="nil"/>
            </w:tcBorders>
            <w:shd w:val="clear" w:color="auto" w:fill="006A71"/>
            <w:noWrap/>
            <w:vAlign w:val="bottom"/>
            <w:hideMark/>
          </w:tcPr>
          <w:p w:rsidR="0018407B" w:rsidRPr="00F2637D" w:rsidRDefault="0018407B" w:rsidP="00C843E2">
            <w:pPr>
              <w:spacing w:after="0" w:line="240" w:lineRule="auto"/>
              <w:rPr>
                <w:rFonts w:ascii="Calibri" w:eastAsia="Times New Roman" w:hAnsi="Calibri" w:cs="Calibri"/>
                <w:b/>
                <w:bCs/>
                <w:color w:val="FFFFFF" w:themeColor="background1"/>
                <w:lang w:eastAsia="pt-BR"/>
              </w:rPr>
            </w:pPr>
          </w:p>
        </w:tc>
        <w:tc>
          <w:tcPr>
            <w:tcW w:w="1357" w:type="dxa"/>
            <w:tcBorders>
              <w:top w:val="nil"/>
              <w:left w:val="nil"/>
              <w:bottom w:val="nil"/>
              <w:right w:val="nil"/>
            </w:tcBorders>
            <w:shd w:val="clear" w:color="auto" w:fill="006A71"/>
            <w:noWrap/>
            <w:vAlign w:val="bottom"/>
            <w:hideMark/>
          </w:tcPr>
          <w:p w:rsidR="0018407B" w:rsidRPr="00F2637D" w:rsidRDefault="0018407B" w:rsidP="00C843E2">
            <w:pPr>
              <w:spacing w:after="0" w:line="240" w:lineRule="auto"/>
              <w:rPr>
                <w:rFonts w:ascii="Calibri" w:eastAsia="Times New Roman" w:hAnsi="Calibri" w:cs="Calibri"/>
                <w:b/>
                <w:bCs/>
                <w:color w:val="FFFFFF" w:themeColor="background1"/>
                <w:lang w:eastAsia="pt-BR"/>
              </w:rPr>
            </w:pPr>
          </w:p>
        </w:tc>
        <w:tc>
          <w:tcPr>
            <w:tcW w:w="1497" w:type="dxa"/>
            <w:tcBorders>
              <w:top w:val="nil"/>
              <w:left w:val="nil"/>
              <w:bottom w:val="nil"/>
              <w:right w:val="nil"/>
            </w:tcBorders>
            <w:shd w:val="clear" w:color="auto" w:fill="006A71"/>
            <w:noWrap/>
            <w:vAlign w:val="bottom"/>
            <w:hideMark/>
          </w:tcPr>
          <w:p w:rsidR="0018407B" w:rsidRPr="00F2637D" w:rsidRDefault="0018407B" w:rsidP="00C843E2">
            <w:pPr>
              <w:spacing w:after="0" w:line="240" w:lineRule="auto"/>
              <w:jc w:val="center"/>
              <w:rPr>
                <w:rFonts w:ascii="Calibri" w:eastAsia="Times New Roman" w:hAnsi="Calibri" w:cs="Calibri"/>
                <w:b/>
                <w:bCs/>
                <w:color w:val="FFFFFF" w:themeColor="background1"/>
                <w:sz w:val="20"/>
                <w:szCs w:val="20"/>
                <w:lang w:eastAsia="pt-BR"/>
              </w:rPr>
            </w:pPr>
            <w:r w:rsidRPr="00F2637D">
              <w:rPr>
                <w:rFonts w:ascii="Calibri" w:eastAsia="Times New Roman" w:hAnsi="Calibri" w:cs="Calibri"/>
                <w:b/>
                <w:bCs/>
                <w:color w:val="FFFFFF" w:themeColor="background1"/>
                <w:sz w:val="20"/>
                <w:szCs w:val="20"/>
                <w:lang w:eastAsia="pt-BR"/>
              </w:rPr>
              <w:t>Depreciação</w:t>
            </w:r>
          </w:p>
        </w:tc>
        <w:tc>
          <w:tcPr>
            <w:tcW w:w="1502" w:type="dxa"/>
            <w:tcBorders>
              <w:top w:val="nil"/>
              <w:left w:val="nil"/>
              <w:bottom w:val="nil"/>
              <w:right w:val="nil"/>
            </w:tcBorders>
            <w:shd w:val="clear" w:color="auto" w:fill="006A71"/>
            <w:noWrap/>
            <w:vAlign w:val="bottom"/>
            <w:hideMark/>
          </w:tcPr>
          <w:p w:rsidR="0018407B" w:rsidRPr="00F2637D" w:rsidRDefault="0018407B" w:rsidP="00C843E2">
            <w:pPr>
              <w:spacing w:after="0" w:line="240" w:lineRule="auto"/>
              <w:jc w:val="center"/>
              <w:rPr>
                <w:rFonts w:ascii="Calibri" w:eastAsia="Times New Roman" w:hAnsi="Calibri" w:cs="Calibri"/>
                <w:b/>
                <w:bCs/>
                <w:color w:val="FFFFFF" w:themeColor="background1"/>
                <w:sz w:val="20"/>
                <w:szCs w:val="20"/>
                <w:lang w:eastAsia="pt-BR"/>
              </w:rPr>
            </w:pPr>
            <w:r w:rsidRPr="00F2637D">
              <w:rPr>
                <w:rFonts w:ascii="Calibri" w:eastAsia="Times New Roman" w:hAnsi="Calibri" w:cs="Calibri"/>
                <w:b/>
                <w:bCs/>
                <w:color w:val="FFFFFF" w:themeColor="background1"/>
                <w:sz w:val="20"/>
                <w:szCs w:val="20"/>
                <w:lang w:eastAsia="pt-BR"/>
              </w:rPr>
              <w:t>Saldo Líquido</w:t>
            </w:r>
          </w:p>
        </w:tc>
      </w:tr>
      <w:tr w:rsidR="0018407B" w:rsidRPr="0022144B" w:rsidTr="00C843E2">
        <w:trPr>
          <w:trHeight w:val="316"/>
        </w:trPr>
        <w:tc>
          <w:tcPr>
            <w:tcW w:w="1593" w:type="dxa"/>
            <w:tcBorders>
              <w:top w:val="nil"/>
              <w:left w:val="nil"/>
              <w:bottom w:val="single" w:sz="8" w:space="0" w:color="auto"/>
              <w:right w:val="nil"/>
            </w:tcBorders>
            <w:shd w:val="clear" w:color="auto" w:fill="006A71"/>
            <w:noWrap/>
            <w:vAlign w:val="bottom"/>
            <w:hideMark/>
          </w:tcPr>
          <w:p w:rsidR="0018407B" w:rsidRPr="00F2637D" w:rsidRDefault="0018407B" w:rsidP="00C843E2">
            <w:pPr>
              <w:spacing w:after="0" w:line="240" w:lineRule="auto"/>
              <w:jc w:val="center"/>
              <w:rPr>
                <w:rFonts w:ascii="Calibri" w:eastAsia="Times New Roman" w:hAnsi="Calibri" w:cs="Calibri"/>
                <w:b/>
                <w:color w:val="FFFFFF" w:themeColor="background1"/>
                <w:sz w:val="20"/>
                <w:szCs w:val="20"/>
                <w:lang w:eastAsia="pt-BR"/>
              </w:rPr>
            </w:pPr>
            <w:r w:rsidRPr="00F2637D">
              <w:rPr>
                <w:rFonts w:ascii="Calibri" w:eastAsia="Times New Roman" w:hAnsi="Calibri" w:cs="Calibri"/>
                <w:b/>
                <w:color w:val="FFFFFF" w:themeColor="background1"/>
                <w:sz w:val="20"/>
                <w:szCs w:val="20"/>
                <w:lang w:eastAsia="pt-BR"/>
              </w:rPr>
              <w:t>Bem</w:t>
            </w:r>
          </w:p>
        </w:tc>
        <w:tc>
          <w:tcPr>
            <w:tcW w:w="1374" w:type="dxa"/>
            <w:tcBorders>
              <w:top w:val="nil"/>
              <w:left w:val="nil"/>
              <w:bottom w:val="single" w:sz="8" w:space="0" w:color="auto"/>
              <w:right w:val="nil"/>
            </w:tcBorders>
            <w:shd w:val="clear" w:color="auto" w:fill="006A71"/>
            <w:noWrap/>
            <w:vAlign w:val="bottom"/>
            <w:hideMark/>
          </w:tcPr>
          <w:p w:rsidR="0018407B" w:rsidRPr="00F2637D" w:rsidRDefault="0018407B" w:rsidP="00C843E2">
            <w:pPr>
              <w:spacing w:after="0" w:line="240" w:lineRule="auto"/>
              <w:jc w:val="center"/>
              <w:rPr>
                <w:rFonts w:ascii="Calibri" w:eastAsia="Times New Roman" w:hAnsi="Calibri" w:cs="Calibri"/>
                <w:b/>
                <w:bCs/>
                <w:color w:val="FFFFFF" w:themeColor="background1"/>
                <w:sz w:val="20"/>
                <w:szCs w:val="20"/>
                <w:lang w:eastAsia="pt-BR"/>
              </w:rPr>
            </w:pPr>
            <w:r w:rsidRPr="00F2637D">
              <w:rPr>
                <w:rFonts w:ascii="Calibri" w:eastAsia="Times New Roman" w:hAnsi="Calibri" w:cs="Calibri"/>
                <w:b/>
                <w:bCs/>
                <w:color w:val="FFFFFF" w:themeColor="background1"/>
                <w:sz w:val="20"/>
                <w:szCs w:val="20"/>
                <w:lang w:eastAsia="pt-BR"/>
              </w:rPr>
              <w:t>31.12.20</w:t>
            </w:r>
            <w:r w:rsidR="009030AD">
              <w:rPr>
                <w:rFonts w:ascii="Calibri" w:eastAsia="Times New Roman" w:hAnsi="Calibri" w:cs="Calibri"/>
                <w:b/>
                <w:bCs/>
                <w:color w:val="FFFFFF" w:themeColor="background1"/>
                <w:sz w:val="20"/>
                <w:szCs w:val="20"/>
                <w:lang w:eastAsia="pt-BR"/>
              </w:rPr>
              <w:t>21</w:t>
            </w:r>
          </w:p>
        </w:tc>
        <w:tc>
          <w:tcPr>
            <w:tcW w:w="1184" w:type="dxa"/>
            <w:tcBorders>
              <w:top w:val="nil"/>
              <w:left w:val="nil"/>
              <w:bottom w:val="single" w:sz="8" w:space="0" w:color="auto"/>
              <w:right w:val="nil"/>
            </w:tcBorders>
            <w:shd w:val="clear" w:color="auto" w:fill="006A71"/>
            <w:noWrap/>
            <w:vAlign w:val="bottom"/>
            <w:hideMark/>
          </w:tcPr>
          <w:p w:rsidR="0018407B" w:rsidRPr="00F2637D" w:rsidRDefault="0018407B" w:rsidP="00C843E2">
            <w:pPr>
              <w:spacing w:after="0" w:line="240" w:lineRule="auto"/>
              <w:jc w:val="center"/>
              <w:rPr>
                <w:rFonts w:ascii="Calibri" w:eastAsia="Times New Roman" w:hAnsi="Calibri" w:cs="Calibri"/>
                <w:b/>
                <w:bCs/>
                <w:color w:val="FFFFFF" w:themeColor="background1"/>
                <w:sz w:val="20"/>
                <w:szCs w:val="20"/>
                <w:lang w:eastAsia="pt-BR"/>
              </w:rPr>
            </w:pPr>
            <w:r w:rsidRPr="00F2637D">
              <w:rPr>
                <w:rFonts w:ascii="Calibri" w:eastAsia="Times New Roman" w:hAnsi="Calibri" w:cs="Calibri"/>
                <w:b/>
                <w:bCs/>
                <w:color w:val="FFFFFF" w:themeColor="background1"/>
                <w:sz w:val="20"/>
                <w:szCs w:val="20"/>
                <w:lang w:eastAsia="pt-BR"/>
              </w:rPr>
              <w:t>Aquisições</w:t>
            </w:r>
          </w:p>
        </w:tc>
        <w:tc>
          <w:tcPr>
            <w:tcW w:w="1096" w:type="dxa"/>
            <w:tcBorders>
              <w:top w:val="nil"/>
              <w:left w:val="nil"/>
              <w:bottom w:val="single" w:sz="8" w:space="0" w:color="auto"/>
              <w:right w:val="nil"/>
            </w:tcBorders>
            <w:shd w:val="clear" w:color="auto" w:fill="006A71"/>
            <w:noWrap/>
            <w:vAlign w:val="bottom"/>
            <w:hideMark/>
          </w:tcPr>
          <w:p w:rsidR="0018407B" w:rsidRPr="00F2637D" w:rsidRDefault="0018407B" w:rsidP="00C843E2">
            <w:pPr>
              <w:spacing w:after="0" w:line="240" w:lineRule="auto"/>
              <w:jc w:val="center"/>
              <w:rPr>
                <w:rFonts w:ascii="Calibri" w:eastAsia="Times New Roman" w:hAnsi="Calibri" w:cs="Calibri"/>
                <w:b/>
                <w:bCs/>
                <w:color w:val="FFFFFF" w:themeColor="background1"/>
                <w:sz w:val="20"/>
                <w:szCs w:val="20"/>
                <w:lang w:eastAsia="pt-BR"/>
              </w:rPr>
            </w:pPr>
            <w:r w:rsidRPr="00F2637D">
              <w:rPr>
                <w:rFonts w:ascii="Calibri" w:eastAsia="Times New Roman" w:hAnsi="Calibri" w:cs="Calibri"/>
                <w:b/>
                <w:bCs/>
                <w:color w:val="FFFFFF" w:themeColor="background1"/>
                <w:sz w:val="20"/>
                <w:szCs w:val="20"/>
                <w:lang w:eastAsia="pt-BR"/>
              </w:rPr>
              <w:t>Baixas</w:t>
            </w:r>
          </w:p>
        </w:tc>
        <w:tc>
          <w:tcPr>
            <w:tcW w:w="1357" w:type="dxa"/>
            <w:tcBorders>
              <w:top w:val="nil"/>
              <w:left w:val="nil"/>
              <w:bottom w:val="single" w:sz="8" w:space="0" w:color="auto"/>
              <w:right w:val="nil"/>
            </w:tcBorders>
            <w:shd w:val="clear" w:color="auto" w:fill="006A71"/>
            <w:noWrap/>
            <w:vAlign w:val="bottom"/>
            <w:hideMark/>
          </w:tcPr>
          <w:p w:rsidR="0018407B" w:rsidRPr="00F2637D" w:rsidRDefault="0018407B" w:rsidP="00086871">
            <w:pPr>
              <w:spacing w:after="0" w:line="240" w:lineRule="auto"/>
              <w:jc w:val="center"/>
              <w:rPr>
                <w:rFonts w:ascii="Calibri" w:eastAsia="Times New Roman" w:hAnsi="Calibri" w:cs="Calibri"/>
                <w:b/>
                <w:bCs/>
                <w:color w:val="FFFFFF" w:themeColor="background1"/>
                <w:sz w:val="20"/>
                <w:szCs w:val="20"/>
                <w:lang w:eastAsia="pt-BR"/>
              </w:rPr>
            </w:pPr>
            <w:r w:rsidRPr="00F2637D">
              <w:rPr>
                <w:rFonts w:ascii="Calibri" w:eastAsia="Times New Roman" w:hAnsi="Calibri" w:cs="Calibri"/>
                <w:b/>
                <w:bCs/>
                <w:color w:val="FFFFFF" w:themeColor="background1"/>
                <w:sz w:val="20"/>
                <w:szCs w:val="20"/>
                <w:lang w:eastAsia="pt-BR"/>
              </w:rPr>
              <w:t>31.12.</w:t>
            </w:r>
            <w:r>
              <w:rPr>
                <w:rFonts w:ascii="Calibri" w:eastAsia="Times New Roman" w:hAnsi="Calibri" w:cs="Calibri"/>
                <w:b/>
                <w:bCs/>
                <w:color w:val="FFFFFF" w:themeColor="background1"/>
                <w:sz w:val="20"/>
                <w:szCs w:val="20"/>
                <w:lang w:eastAsia="pt-BR"/>
              </w:rPr>
              <w:t>202</w:t>
            </w:r>
            <w:r w:rsidR="00086871">
              <w:rPr>
                <w:rFonts w:ascii="Calibri" w:eastAsia="Times New Roman" w:hAnsi="Calibri" w:cs="Calibri"/>
                <w:b/>
                <w:bCs/>
                <w:color w:val="FFFFFF" w:themeColor="background1"/>
                <w:sz w:val="20"/>
                <w:szCs w:val="20"/>
                <w:lang w:eastAsia="pt-BR"/>
              </w:rPr>
              <w:t>2</w:t>
            </w:r>
          </w:p>
        </w:tc>
        <w:tc>
          <w:tcPr>
            <w:tcW w:w="1497" w:type="dxa"/>
            <w:tcBorders>
              <w:top w:val="nil"/>
              <w:left w:val="nil"/>
              <w:bottom w:val="single" w:sz="8" w:space="0" w:color="auto"/>
              <w:right w:val="nil"/>
            </w:tcBorders>
            <w:shd w:val="clear" w:color="auto" w:fill="006A71"/>
            <w:noWrap/>
            <w:vAlign w:val="bottom"/>
            <w:hideMark/>
          </w:tcPr>
          <w:p w:rsidR="0018407B" w:rsidRPr="00F2637D" w:rsidRDefault="0018407B" w:rsidP="00C843E2">
            <w:pPr>
              <w:spacing w:after="0" w:line="240" w:lineRule="auto"/>
              <w:jc w:val="center"/>
              <w:rPr>
                <w:rFonts w:ascii="Calibri" w:eastAsia="Times New Roman" w:hAnsi="Calibri" w:cs="Calibri"/>
                <w:b/>
                <w:bCs/>
                <w:color w:val="FFFFFF" w:themeColor="background1"/>
                <w:sz w:val="20"/>
                <w:szCs w:val="20"/>
                <w:lang w:eastAsia="pt-BR"/>
              </w:rPr>
            </w:pPr>
            <w:r w:rsidRPr="00F2637D">
              <w:rPr>
                <w:rFonts w:ascii="Calibri" w:eastAsia="Times New Roman" w:hAnsi="Calibri" w:cs="Calibri"/>
                <w:b/>
                <w:bCs/>
                <w:color w:val="FFFFFF" w:themeColor="background1"/>
                <w:sz w:val="20"/>
                <w:szCs w:val="20"/>
                <w:lang w:eastAsia="pt-BR"/>
              </w:rPr>
              <w:t>Acumulada</w:t>
            </w:r>
          </w:p>
        </w:tc>
        <w:tc>
          <w:tcPr>
            <w:tcW w:w="1502" w:type="dxa"/>
            <w:tcBorders>
              <w:top w:val="nil"/>
              <w:left w:val="nil"/>
              <w:bottom w:val="single" w:sz="8" w:space="0" w:color="auto"/>
              <w:right w:val="nil"/>
            </w:tcBorders>
            <w:shd w:val="clear" w:color="auto" w:fill="006A71"/>
            <w:noWrap/>
            <w:vAlign w:val="bottom"/>
            <w:hideMark/>
          </w:tcPr>
          <w:p w:rsidR="0018407B" w:rsidRPr="00F2637D" w:rsidRDefault="0018407B" w:rsidP="00C843E2">
            <w:pPr>
              <w:spacing w:after="0" w:line="240" w:lineRule="auto"/>
              <w:jc w:val="center"/>
              <w:rPr>
                <w:rFonts w:ascii="Calibri" w:eastAsia="Times New Roman" w:hAnsi="Calibri" w:cs="Calibri"/>
                <w:b/>
                <w:bCs/>
                <w:color w:val="FFFFFF" w:themeColor="background1"/>
                <w:sz w:val="20"/>
                <w:szCs w:val="20"/>
                <w:lang w:eastAsia="pt-BR"/>
              </w:rPr>
            </w:pPr>
            <w:r w:rsidRPr="00F2637D">
              <w:rPr>
                <w:rFonts w:ascii="Calibri" w:eastAsia="Times New Roman" w:hAnsi="Calibri" w:cs="Calibri"/>
                <w:b/>
                <w:bCs/>
                <w:color w:val="FFFFFF" w:themeColor="background1"/>
                <w:sz w:val="20"/>
                <w:szCs w:val="20"/>
                <w:lang w:eastAsia="pt-BR"/>
              </w:rPr>
              <w:t>Imobilizado</w:t>
            </w:r>
          </w:p>
        </w:tc>
      </w:tr>
      <w:tr w:rsidR="0018407B" w:rsidRPr="0022144B" w:rsidTr="00C843E2">
        <w:trPr>
          <w:trHeight w:val="301"/>
        </w:trPr>
        <w:tc>
          <w:tcPr>
            <w:tcW w:w="1593" w:type="dxa"/>
            <w:tcBorders>
              <w:top w:val="single" w:sz="8" w:space="0" w:color="auto"/>
              <w:left w:val="nil"/>
              <w:bottom w:val="nil"/>
              <w:right w:val="nil"/>
            </w:tcBorders>
            <w:shd w:val="clear" w:color="auto" w:fill="auto"/>
            <w:noWrap/>
            <w:vAlign w:val="bottom"/>
            <w:hideMark/>
          </w:tcPr>
          <w:p w:rsidR="0018407B" w:rsidRPr="0022144B" w:rsidRDefault="0018407B" w:rsidP="00C843E2">
            <w:pPr>
              <w:spacing w:after="0" w:line="240" w:lineRule="auto"/>
              <w:rPr>
                <w:rFonts w:ascii="Calibri" w:eastAsia="Times New Roman" w:hAnsi="Calibri" w:cs="Calibri"/>
                <w:color w:val="000000"/>
                <w:sz w:val="20"/>
                <w:szCs w:val="20"/>
                <w:lang w:eastAsia="pt-BR"/>
              </w:rPr>
            </w:pPr>
            <w:r w:rsidRPr="0022144B">
              <w:rPr>
                <w:rFonts w:ascii="Calibri" w:eastAsia="Times New Roman" w:hAnsi="Calibri" w:cs="Calibri"/>
                <w:color w:val="000000"/>
                <w:sz w:val="20"/>
                <w:szCs w:val="20"/>
                <w:lang w:eastAsia="pt-BR"/>
              </w:rPr>
              <w:t xml:space="preserve">Móveis e </w:t>
            </w:r>
          </w:p>
        </w:tc>
        <w:tc>
          <w:tcPr>
            <w:tcW w:w="1374" w:type="dxa"/>
            <w:tcBorders>
              <w:top w:val="single" w:sz="8" w:space="0" w:color="auto"/>
              <w:left w:val="nil"/>
              <w:bottom w:val="nil"/>
              <w:right w:val="nil"/>
            </w:tcBorders>
            <w:shd w:val="clear" w:color="auto" w:fill="auto"/>
            <w:noWrap/>
            <w:vAlign w:val="bottom"/>
            <w:hideMark/>
          </w:tcPr>
          <w:p w:rsidR="0018407B" w:rsidRPr="0022144B" w:rsidRDefault="0018407B" w:rsidP="00C843E2">
            <w:pPr>
              <w:spacing w:after="0" w:line="240" w:lineRule="auto"/>
              <w:rPr>
                <w:rFonts w:ascii="Calibri" w:eastAsia="Times New Roman" w:hAnsi="Calibri" w:cs="Calibri"/>
                <w:color w:val="000000"/>
                <w:sz w:val="20"/>
                <w:szCs w:val="20"/>
                <w:lang w:eastAsia="pt-BR"/>
              </w:rPr>
            </w:pPr>
          </w:p>
        </w:tc>
        <w:tc>
          <w:tcPr>
            <w:tcW w:w="1184" w:type="dxa"/>
            <w:tcBorders>
              <w:top w:val="single" w:sz="8" w:space="0" w:color="auto"/>
              <w:left w:val="nil"/>
              <w:bottom w:val="nil"/>
              <w:right w:val="nil"/>
            </w:tcBorders>
            <w:shd w:val="clear" w:color="auto" w:fill="auto"/>
            <w:noWrap/>
            <w:vAlign w:val="bottom"/>
            <w:hideMark/>
          </w:tcPr>
          <w:p w:rsidR="0018407B" w:rsidRPr="0022144B" w:rsidRDefault="0018407B" w:rsidP="00C843E2">
            <w:pPr>
              <w:spacing w:after="0" w:line="240" w:lineRule="auto"/>
              <w:rPr>
                <w:rFonts w:ascii="Calibri" w:eastAsia="Times New Roman" w:hAnsi="Calibri" w:cs="Calibri"/>
                <w:color w:val="000000"/>
                <w:sz w:val="20"/>
                <w:szCs w:val="20"/>
                <w:lang w:eastAsia="pt-BR"/>
              </w:rPr>
            </w:pPr>
          </w:p>
        </w:tc>
        <w:tc>
          <w:tcPr>
            <w:tcW w:w="1096" w:type="dxa"/>
            <w:tcBorders>
              <w:top w:val="single" w:sz="8" w:space="0" w:color="auto"/>
              <w:left w:val="nil"/>
              <w:bottom w:val="nil"/>
              <w:right w:val="nil"/>
            </w:tcBorders>
            <w:shd w:val="clear" w:color="auto" w:fill="auto"/>
            <w:noWrap/>
            <w:vAlign w:val="bottom"/>
            <w:hideMark/>
          </w:tcPr>
          <w:p w:rsidR="0018407B" w:rsidRPr="0022144B" w:rsidRDefault="0018407B" w:rsidP="00C843E2">
            <w:pPr>
              <w:spacing w:after="0" w:line="240" w:lineRule="auto"/>
              <w:rPr>
                <w:rFonts w:ascii="Calibri" w:eastAsia="Times New Roman" w:hAnsi="Calibri" w:cs="Calibri"/>
                <w:color w:val="000000"/>
                <w:sz w:val="20"/>
                <w:szCs w:val="20"/>
                <w:lang w:eastAsia="pt-BR"/>
              </w:rPr>
            </w:pPr>
          </w:p>
        </w:tc>
        <w:tc>
          <w:tcPr>
            <w:tcW w:w="1357" w:type="dxa"/>
            <w:tcBorders>
              <w:top w:val="single" w:sz="8" w:space="0" w:color="auto"/>
              <w:left w:val="nil"/>
              <w:bottom w:val="nil"/>
              <w:right w:val="nil"/>
            </w:tcBorders>
            <w:shd w:val="clear" w:color="auto" w:fill="auto"/>
            <w:noWrap/>
            <w:vAlign w:val="bottom"/>
            <w:hideMark/>
          </w:tcPr>
          <w:p w:rsidR="0018407B" w:rsidRPr="0022144B" w:rsidRDefault="0018407B" w:rsidP="00C843E2">
            <w:pPr>
              <w:spacing w:after="0" w:line="240" w:lineRule="auto"/>
              <w:rPr>
                <w:rFonts w:ascii="Calibri" w:eastAsia="Times New Roman" w:hAnsi="Calibri" w:cs="Calibri"/>
                <w:color w:val="000000"/>
                <w:sz w:val="20"/>
                <w:szCs w:val="20"/>
                <w:lang w:eastAsia="pt-BR"/>
              </w:rPr>
            </w:pPr>
          </w:p>
        </w:tc>
        <w:tc>
          <w:tcPr>
            <w:tcW w:w="1497" w:type="dxa"/>
            <w:tcBorders>
              <w:top w:val="single" w:sz="8" w:space="0" w:color="auto"/>
              <w:left w:val="nil"/>
              <w:bottom w:val="nil"/>
              <w:right w:val="nil"/>
            </w:tcBorders>
            <w:shd w:val="clear" w:color="auto" w:fill="auto"/>
            <w:noWrap/>
            <w:vAlign w:val="bottom"/>
            <w:hideMark/>
          </w:tcPr>
          <w:p w:rsidR="0018407B" w:rsidRPr="0022144B" w:rsidRDefault="0018407B" w:rsidP="00C843E2">
            <w:pPr>
              <w:spacing w:after="0" w:line="240" w:lineRule="auto"/>
              <w:rPr>
                <w:rFonts w:ascii="Calibri" w:eastAsia="Times New Roman" w:hAnsi="Calibri" w:cs="Calibri"/>
                <w:color w:val="000000"/>
                <w:sz w:val="20"/>
                <w:szCs w:val="20"/>
                <w:lang w:eastAsia="pt-BR"/>
              </w:rPr>
            </w:pPr>
          </w:p>
        </w:tc>
        <w:tc>
          <w:tcPr>
            <w:tcW w:w="1502" w:type="dxa"/>
            <w:tcBorders>
              <w:top w:val="single" w:sz="8" w:space="0" w:color="auto"/>
              <w:left w:val="nil"/>
              <w:bottom w:val="nil"/>
              <w:right w:val="nil"/>
            </w:tcBorders>
            <w:shd w:val="clear" w:color="auto" w:fill="auto"/>
            <w:noWrap/>
            <w:vAlign w:val="bottom"/>
            <w:hideMark/>
          </w:tcPr>
          <w:p w:rsidR="0018407B" w:rsidRPr="0022144B" w:rsidRDefault="0018407B" w:rsidP="00C843E2">
            <w:pPr>
              <w:spacing w:after="0" w:line="240" w:lineRule="auto"/>
              <w:rPr>
                <w:rFonts w:ascii="Calibri" w:eastAsia="Times New Roman" w:hAnsi="Calibri" w:cs="Calibri"/>
                <w:color w:val="000000"/>
                <w:sz w:val="20"/>
                <w:szCs w:val="20"/>
                <w:lang w:eastAsia="pt-BR"/>
              </w:rPr>
            </w:pPr>
          </w:p>
        </w:tc>
      </w:tr>
      <w:tr w:rsidR="0018407B" w:rsidRPr="0022144B" w:rsidTr="00C843E2">
        <w:trPr>
          <w:trHeight w:val="301"/>
        </w:trPr>
        <w:tc>
          <w:tcPr>
            <w:tcW w:w="1593" w:type="dxa"/>
            <w:tcBorders>
              <w:top w:val="nil"/>
              <w:left w:val="nil"/>
              <w:bottom w:val="single" w:sz="4" w:space="0" w:color="auto"/>
              <w:right w:val="nil"/>
            </w:tcBorders>
            <w:shd w:val="clear" w:color="auto" w:fill="auto"/>
            <w:noWrap/>
            <w:vAlign w:val="bottom"/>
            <w:hideMark/>
          </w:tcPr>
          <w:p w:rsidR="0018407B" w:rsidRPr="0022144B" w:rsidRDefault="0018407B" w:rsidP="00C843E2">
            <w:pPr>
              <w:spacing w:after="0" w:line="240" w:lineRule="auto"/>
              <w:rPr>
                <w:rFonts w:ascii="Calibri" w:eastAsia="Times New Roman" w:hAnsi="Calibri" w:cs="Calibri"/>
                <w:color w:val="000000"/>
                <w:sz w:val="20"/>
                <w:szCs w:val="20"/>
                <w:lang w:eastAsia="pt-BR"/>
              </w:rPr>
            </w:pPr>
            <w:r w:rsidRPr="0022144B">
              <w:rPr>
                <w:rFonts w:ascii="Calibri" w:eastAsia="Times New Roman" w:hAnsi="Calibri" w:cs="Calibri"/>
                <w:color w:val="000000"/>
                <w:sz w:val="20"/>
                <w:szCs w:val="20"/>
                <w:lang w:eastAsia="pt-BR"/>
              </w:rPr>
              <w:t>Utensílios</w:t>
            </w:r>
          </w:p>
        </w:tc>
        <w:tc>
          <w:tcPr>
            <w:tcW w:w="1374" w:type="dxa"/>
            <w:tcBorders>
              <w:top w:val="nil"/>
              <w:left w:val="nil"/>
              <w:bottom w:val="single" w:sz="4" w:space="0" w:color="auto"/>
              <w:right w:val="nil"/>
            </w:tcBorders>
            <w:shd w:val="clear" w:color="auto" w:fill="auto"/>
            <w:noWrap/>
            <w:vAlign w:val="bottom"/>
            <w:hideMark/>
          </w:tcPr>
          <w:p w:rsidR="0018407B" w:rsidRPr="0022144B" w:rsidRDefault="0018407B" w:rsidP="009030AD">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6</w:t>
            </w:r>
            <w:r w:rsidR="009030AD">
              <w:rPr>
                <w:rFonts w:ascii="Calibri" w:eastAsia="Times New Roman" w:hAnsi="Calibri" w:cs="Calibri"/>
                <w:color w:val="000000"/>
                <w:sz w:val="20"/>
                <w:szCs w:val="20"/>
                <w:lang w:eastAsia="pt-BR"/>
              </w:rPr>
              <w:t>74</w:t>
            </w:r>
            <w:r>
              <w:rPr>
                <w:rFonts w:ascii="Calibri" w:eastAsia="Times New Roman" w:hAnsi="Calibri" w:cs="Calibri"/>
                <w:color w:val="000000"/>
                <w:sz w:val="20"/>
                <w:szCs w:val="20"/>
                <w:lang w:eastAsia="pt-BR"/>
              </w:rPr>
              <w:t>.</w:t>
            </w:r>
            <w:r w:rsidR="009030AD">
              <w:rPr>
                <w:rFonts w:ascii="Calibri" w:eastAsia="Times New Roman" w:hAnsi="Calibri" w:cs="Calibri"/>
                <w:color w:val="000000"/>
                <w:sz w:val="20"/>
                <w:szCs w:val="20"/>
                <w:lang w:eastAsia="pt-BR"/>
              </w:rPr>
              <w:t>476</w:t>
            </w:r>
          </w:p>
        </w:tc>
        <w:tc>
          <w:tcPr>
            <w:tcW w:w="1184" w:type="dxa"/>
            <w:tcBorders>
              <w:top w:val="nil"/>
              <w:left w:val="nil"/>
              <w:bottom w:val="single" w:sz="4" w:space="0" w:color="auto"/>
              <w:right w:val="nil"/>
            </w:tcBorders>
            <w:shd w:val="clear" w:color="auto" w:fill="auto"/>
            <w:noWrap/>
            <w:vAlign w:val="bottom"/>
            <w:hideMark/>
          </w:tcPr>
          <w:p w:rsidR="0018407B" w:rsidRPr="0022144B" w:rsidRDefault="009030AD" w:rsidP="009030AD">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106</w:t>
            </w:r>
            <w:r w:rsidR="0018407B">
              <w:rPr>
                <w:rFonts w:ascii="Calibri" w:eastAsia="Times New Roman" w:hAnsi="Calibri" w:cs="Calibri"/>
                <w:color w:val="000000"/>
                <w:sz w:val="20"/>
                <w:szCs w:val="20"/>
                <w:lang w:eastAsia="pt-BR"/>
              </w:rPr>
              <w:t>.</w:t>
            </w:r>
            <w:r>
              <w:rPr>
                <w:rFonts w:ascii="Calibri" w:eastAsia="Times New Roman" w:hAnsi="Calibri" w:cs="Calibri"/>
                <w:color w:val="000000"/>
                <w:sz w:val="20"/>
                <w:szCs w:val="20"/>
                <w:lang w:eastAsia="pt-BR"/>
              </w:rPr>
              <w:t>388</w:t>
            </w:r>
          </w:p>
        </w:tc>
        <w:tc>
          <w:tcPr>
            <w:tcW w:w="1096" w:type="dxa"/>
            <w:tcBorders>
              <w:top w:val="nil"/>
              <w:left w:val="nil"/>
              <w:bottom w:val="single" w:sz="4" w:space="0" w:color="auto"/>
              <w:right w:val="nil"/>
            </w:tcBorders>
            <w:shd w:val="clear" w:color="auto" w:fill="auto"/>
            <w:noWrap/>
            <w:vAlign w:val="bottom"/>
            <w:hideMark/>
          </w:tcPr>
          <w:p w:rsidR="0018407B" w:rsidRPr="0022144B" w:rsidRDefault="0018407B" w:rsidP="00C843E2">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 xml:space="preserve">       </w:t>
            </w:r>
          </w:p>
        </w:tc>
        <w:tc>
          <w:tcPr>
            <w:tcW w:w="1357" w:type="dxa"/>
            <w:tcBorders>
              <w:top w:val="nil"/>
              <w:left w:val="nil"/>
              <w:bottom w:val="single" w:sz="4" w:space="0" w:color="auto"/>
              <w:right w:val="nil"/>
            </w:tcBorders>
            <w:shd w:val="clear" w:color="auto" w:fill="auto"/>
            <w:noWrap/>
            <w:vAlign w:val="bottom"/>
            <w:hideMark/>
          </w:tcPr>
          <w:p w:rsidR="0018407B" w:rsidRPr="0022144B" w:rsidRDefault="009030AD" w:rsidP="009030AD">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780</w:t>
            </w:r>
            <w:r w:rsidR="0018407B">
              <w:rPr>
                <w:rFonts w:ascii="Calibri" w:eastAsia="Times New Roman" w:hAnsi="Calibri" w:cs="Calibri"/>
                <w:color w:val="000000"/>
                <w:sz w:val="20"/>
                <w:szCs w:val="20"/>
                <w:lang w:eastAsia="pt-BR"/>
              </w:rPr>
              <w:t>.</w:t>
            </w:r>
            <w:r>
              <w:rPr>
                <w:rFonts w:ascii="Calibri" w:eastAsia="Times New Roman" w:hAnsi="Calibri" w:cs="Calibri"/>
                <w:color w:val="000000"/>
                <w:sz w:val="20"/>
                <w:szCs w:val="20"/>
                <w:lang w:eastAsia="pt-BR"/>
              </w:rPr>
              <w:t>864</w:t>
            </w:r>
          </w:p>
        </w:tc>
        <w:tc>
          <w:tcPr>
            <w:tcW w:w="1497" w:type="dxa"/>
            <w:tcBorders>
              <w:top w:val="nil"/>
              <w:left w:val="nil"/>
              <w:bottom w:val="single" w:sz="4" w:space="0" w:color="auto"/>
              <w:right w:val="nil"/>
            </w:tcBorders>
            <w:shd w:val="clear" w:color="auto" w:fill="auto"/>
            <w:noWrap/>
            <w:vAlign w:val="bottom"/>
            <w:hideMark/>
          </w:tcPr>
          <w:p w:rsidR="0018407B" w:rsidRPr="0022144B" w:rsidRDefault="0018407B" w:rsidP="009030AD">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w:t>
            </w:r>
            <w:r w:rsidR="009030AD">
              <w:rPr>
                <w:rFonts w:ascii="Calibri" w:eastAsia="Times New Roman" w:hAnsi="Calibri" w:cs="Calibri"/>
                <w:color w:val="000000"/>
                <w:sz w:val="20"/>
                <w:szCs w:val="20"/>
                <w:lang w:eastAsia="pt-BR"/>
              </w:rPr>
              <w:t>504</w:t>
            </w:r>
            <w:r>
              <w:rPr>
                <w:rFonts w:ascii="Calibri" w:eastAsia="Times New Roman" w:hAnsi="Calibri" w:cs="Calibri"/>
                <w:color w:val="000000"/>
                <w:sz w:val="20"/>
                <w:szCs w:val="20"/>
                <w:lang w:eastAsia="pt-BR"/>
              </w:rPr>
              <w:t>.</w:t>
            </w:r>
            <w:r w:rsidR="009030AD">
              <w:rPr>
                <w:rFonts w:ascii="Calibri" w:eastAsia="Times New Roman" w:hAnsi="Calibri" w:cs="Calibri"/>
                <w:color w:val="000000"/>
                <w:sz w:val="20"/>
                <w:szCs w:val="20"/>
                <w:lang w:eastAsia="pt-BR"/>
              </w:rPr>
              <w:t>887</w:t>
            </w:r>
            <w:r>
              <w:rPr>
                <w:rFonts w:ascii="Calibri" w:eastAsia="Times New Roman" w:hAnsi="Calibri" w:cs="Calibri"/>
                <w:color w:val="000000"/>
                <w:sz w:val="20"/>
                <w:szCs w:val="20"/>
                <w:lang w:eastAsia="pt-BR"/>
              </w:rPr>
              <w:t>)</w:t>
            </w:r>
          </w:p>
        </w:tc>
        <w:tc>
          <w:tcPr>
            <w:tcW w:w="1502" w:type="dxa"/>
            <w:tcBorders>
              <w:top w:val="nil"/>
              <w:left w:val="nil"/>
              <w:bottom w:val="single" w:sz="4" w:space="0" w:color="auto"/>
              <w:right w:val="nil"/>
            </w:tcBorders>
            <w:shd w:val="clear" w:color="auto" w:fill="auto"/>
            <w:noWrap/>
            <w:vAlign w:val="bottom"/>
            <w:hideMark/>
          </w:tcPr>
          <w:p w:rsidR="0018407B" w:rsidRPr="0022144B" w:rsidRDefault="00086871" w:rsidP="00086871">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275</w:t>
            </w:r>
            <w:r w:rsidR="0018407B">
              <w:rPr>
                <w:rFonts w:ascii="Calibri" w:eastAsia="Times New Roman" w:hAnsi="Calibri" w:cs="Calibri"/>
                <w:color w:val="000000"/>
                <w:sz w:val="20"/>
                <w:szCs w:val="20"/>
                <w:lang w:eastAsia="pt-BR"/>
              </w:rPr>
              <w:t>.</w:t>
            </w:r>
            <w:r>
              <w:rPr>
                <w:rFonts w:ascii="Calibri" w:eastAsia="Times New Roman" w:hAnsi="Calibri" w:cs="Calibri"/>
                <w:color w:val="000000"/>
                <w:sz w:val="20"/>
                <w:szCs w:val="20"/>
                <w:lang w:eastAsia="pt-BR"/>
              </w:rPr>
              <w:t>977</w:t>
            </w:r>
          </w:p>
        </w:tc>
      </w:tr>
      <w:tr w:rsidR="0018407B" w:rsidRPr="0022144B" w:rsidTr="00C843E2">
        <w:trPr>
          <w:trHeight w:val="301"/>
        </w:trPr>
        <w:tc>
          <w:tcPr>
            <w:tcW w:w="1593" w:type="dxa"/>
            <w:tcBorders>
              <w:top w:val="single" w:sz="4" w:space="0" w:color="auto"/>
              <w:left w:val="nil"/>
              <w:bottom w:val="nil"/>
              <w:right w:val="nil"/>
            </w:tcBorders>
            <w:shd w:val="clear" w:color="auto" w:fill="auto"/>
            <w:noWrap/>
            <w:vAlign w:val="bottom"/>
            <w:hideMark/>
          </w:tcPr>
          <w:p w:rsidR="0018407B" w:rsidRPr="0022144B" w:rsidRDefault="0018407B" w:rsidP="00C843E2">
            <w:pPr>
              <w:spacing w:after="0" w:line="240" w:lineRule="auto"/>
              <w:rPr>
                <w:rFonts w:ascii="Calibri" w:eastAsia="Times New Roman" w:hAnsi="Calibri" w:cs="Calibri"/>
                <w:color w:val="000000"/>
                <w:sz w:val="20"/>
                <w:szCs w:val="20"/>
                <w:lang w:eastAsia="pt-BR"/>
              </w:rPr>
            </w:pPr>
            <w:r w:rsidRPr="0022144B">
              <w:rPr>
                <w:rFonts w:ascii="Calibri" w:eastAsia="Times New Roman" w:hAnsi="Calibri" w:cs="Calibri"/>
                <w:color w:val="000000"/>
                <w:sz w:val="20"/>
                <w:szCs w:val="20"/>
                <w:lang w:eastAsia="pt-BR"/>
              </w:rPr>
              <w:t>Máquinas e</w:t>
            </w:r>
          </w:p>
        </w:tc>
        <w:tc>
          <w:tcPr>
            <w:tcW w:w="1374" w:type="dxa"/>
            <w:tcBorders>
              <w:top w:val="single" w:sz="4" w:space="0" w:color="auto"/>
              <w:left w:val="nil"/>
              <w:bottom w:val="nil"/>
              <w:right w:val="nil"/>
            </w:tcBorders>
            <w:shd w:val="clear" w:color="auto" w:fill="auto"/>
            <w:noWrap/>
            <w:vAlign w:val="bottom"/>
            <w:hideMark/>
          </w:tcPr>
          <w:p w:rsidR="0018407B" w:rsidRPr="0022144B" w:rsidRDefault="0018407B" w:rsidP="00C843E2">
            <w:pPr>
              <w:spacing w:after="0" w:line="240" w:lineRule="auto"/>
              <w:rPr>
                <w:rFonts w:ascii="Calibri" w:eastAsia="Times New Roman" w:hAnsi="Calibri" w:cs="Calibri"/>
                <w:color w:val="000000"/>
                <w:sz w:val="20"/>
                <w:szCs w:val="20"/>
                <w:lang w:eastAsia="pt-BR"/>
              </w:rPr>
            </w:pPr>
          </w:p>
        </w:tc>
        <w:tc>
          <w:tcPr>
            <w:tcW w:w="1184" w:type="dxa"/>
            <w:tcBorders>
              <w:top w:val="single" w:sz="4" w:space="0" w:color="auto"/>
              <w:left w:val="nil"/>
              <w:bottom w:val="nil"/>
              <w:right w:val="nil"/>
            </w:tcBorders>
            <w:shd w:val="clear" w:color="auto" w:fill="auto"/>
            <w:noWrap/>
            <w:vAlign w:val="bottom"/>
            <w:hideMark/>
          </w:tcPr>
          <w:p w:rsidR="0018407B" w:rsidRPr="0022144B" w:rsidRDefault="0018407B" w:rsidP="00C843E2">
            <w:pPr>
              <w:spacing w:after="0" w:line="240" w:lineRule="auto"/>
              <w:rPr>
                <w:rFonts w:ascii="Calibri" w:eastAsia="Times New Roman" w:hAnsi="Calibri" w:cs="Calibri"/>
                <w:color w:val="000000"/>
                <w:sz w:val="20"/>
                <w:szCs w:val="20"/>
                <w:lang w:eastAsia="pt-BR"/>
              </w:rPr>
            </w:pPr>
          </w:p>
        </w:tc>
        <w:tc>
          <w:tcPr>
            <w:tcW w:w="1096" w:type="dxa"/>
            <w:tcBorders>
              <w:top w:val="single" w:sz="4" w:space="0" w:color="auto"/>
              <w:left w:val="nil"/>
              <w:bottom w:val="nil"/>
              <w:right w:val="nil"/>
            </w:tcBorders>
            <w:shd w:val="clear" w:color="auto" w:fill="auto"/>
            <w:noWrap/>
            <w:vAlign w:val="bottom"/>
            <w:hideMark/>
          </w:tcPr>
          <w:p w:rsidR="0018407B" w:rsidRPr="0022144B" w:rsidRDefault="0018407B" w:rsidP="00C843E2">
            <w:pPr>
              <w:spacing w:after="0" w:line="240" w:lineRule="auto"/>
              <w:jc w:val="center"/>
              <w:rPr>
                <w:rFonts w:ascii="Calibri" w:eastAsia="Times New Roman" w:hAnsi="Calibri" w:cs="Calibri"/>
                <w:color w:val="000000"/>
                <w:sz w:val="20"/>
                <w:szCs w:val="20"/>
                <w:lang w:eastAsia="pt-BR"/>
              </w:rPr>
            </w:pPr>
          </w:p>
        </w:tc>
        <w:tc>
          <w:tcPr>
            <w:tcW w:w="1357" w:type="dxa"/>
            <w:tcBorders>
              <w:top w:val="single" w:sz="4" w:space="0" w:color="auto"/>
              <w:left w:val="nil"/>
              <w:bottom w:val="nil"/>
              <w:right w:val="nil"/>
            </w:tcBorders>
            <w:shd w:val="clear" w:color="auto" w:fill="auto"/>
            <w:noWrap/>
            <w:vAlign w:val="bottom"/>
            <w:hideMark/>
          </w:tcPr>
          <w:p w:rsidR="0018407B" w:rsidRPr="0022144B" w:rsidRDefault="0018407B" w:rsidP="00C843E2">
            <w:pPr>
              <w:spacing w:after="0" w:line="240" w:lineRule="auto"/>
              <w:rPr>
                <w:rFonts w:ascii="Calibri" w:eastAsia="Times New Roman" w:hAnsi="Calibri" w:cs="Calibri"/>
                <w:color w:val="000000"/>
                <w:sz w:val="20"/>
                <w:szCs w:val="20"/>
                <w:lang w:eastAsia="pt-BR"/>
              </w:rPr>
            </w:pPr>
          </w:p>
        </w:tc>
        <w:tc>
          <w:tcPr>
            <w:tcW w:w="1497" w:type="dxa"/>
            <w:tcBorders>
              <w:top w:val="single" w:sz="4" w:space="0" w:color="auto"/>
              <w:left w:val="nil"/>
              <w:bottom w:val="nil"/>
              <w:right w:val="nil"/>
            </w:tcBorders>
            <w:shd w:val="clear" w:color="auto" w:fill="auto"/>
            <w:noWrap/>
            <w:vAlign w:val="bottom"/>
            <w:hideMark/>
          </w:tcPr>
          <w:p w:rsidR="0018407B" w:rsidRPr="0022144B" w:rsidRDefault="0018407B" w:rsidP="00C843E2">
            <w:pPr>
              <w:spacing w:after="0" w:line="240" w:lineRule="auto"/>
              <w:rPr>
                <w:rFonts w:ascii="Calibri" w:eastAsia="Times New Roman" w:hAnsi="Calibri" w:cs="Calibri"/>
                <w:color w:val="000000"/>
                <w:sz w:val="20"/>
                <w:szCs w:val="20"/>
                <w:lang w:eastAsia="pt-BR"/>
              </w:rPr>
            </w:pPr>
          </w:p>
        </w:tc>
        <w:tc>
          <w:tcPr>
            <w:tcW w:w="1502" w:type="dxa"/>
            <w:tcBorders>
              <w:top w:val="single" w:sz="4" w:space="0" w:color="auto"/>
              <w:left w:val="nil"/>
              <w:bottom w:val="nil"/>
              <w:right w:val="nil"/>
            </w:tcBorders>
            <w:shd w:val="clear" w:color="auto" w:fill="auto"/>
            <w:noWrap/>
            <w:vAlign w:val="bottom"/>
            <w:hideMark/>
          </w:tcPr>
          <w:p w:rsidR="0018407B" w:rsidRPr="0022144B" w:rsidRDefault="0018407B" w:rsidP="00C843E2">
            <w:pPr>
              <w:spacing w:after="0" w:line="240" w:lineRule="auto"/>
              <w:rPr>
                <w:rFonts w:ascii="Calibri" w:eastAsia="Times New Roman" w:hAnsi="Calibri" w:cs="Calibri"/>
                <w:color w:val="000000"/>
                <w:sz w:val="20"/>
                <w:szCs w:val="20"/>
                <w:lang w:eastAsia="pt-BR"/>
              </w:rPr>
            </w:pPr>
          </w:p>
        </w:tc>
      </w:tr>
      <w:tr w:rsidR="0018407B" w:rsidRPr="0022144B" w:rsidTr="00C843E2">
        <w:trPr>
          <w:trHeight w:val="301"/>
        </w:trPr>
        <w:tc>
          <w:tcPr>
            <w:tcW w:w="1593" w:type="dxa"/>
            <w:tcBorders>
              <w:top w:val="nil"/>
              <w:left w:val="nil"/>
              <w:bottom w:val="single" w:sz="4" w:space="0" w:color="auto"/>
              <w:right w:val="nil"/>
            </w:tcBorders>
            <w:shd w:val="clear" w:color="auto" w:fill="auto"/>
            <w:noWrap/>
            <w:vAlign w:val="bottom"/>
            <w:hideMark/>
          </w:tcPr>
          <w:p w:rsidR="0018407B" w:rsidRPr="0022144B" w:rsidRDefault="0018407B" w:rsidP="00C843E2">
            <w:pPr>
              <w:spacing w:after="0" w:line="240" w:lineRule="auto"/>
              <w:rPr>
                <w:rFonts w:ascii="Calibri" w:eastAsia="Times New Roman" w:hAnsi="Calibri" w:cs="Calibri"/>
                <w:color w:val="000000"/>
                <w:sz w:val="20"/>
                <w:szCs w:val="20"/>
                <w:lang w:eastAsia="pt-BR"/>
              </w:rPr>
            </w:pPr>
            <w:r w:rsidRPr="0022144B">
              <w:rPr>
                <w:rFonts w:ascii="Calibri" w:eastAsia="Times New Roman" w:hAnsi="Calibri" w:cs="Calibri"/>
                <w:color w:val="000000"/>
                <w:sz w:val="20"/>
                <w:szCs w:val="20"/>
                <w:lang w:eastAsia="pt-BR"/>
              </w:rPr>
              <w:t>Equipamentos</w:t>
            </w:r>
          </w:p>
        </w:tc>
        <w:tc>
          <w:tcPr>
            <w:tcW w:w="1374" w:type="dxa"/>
            <w:tcBorders>
              <w:top w:val="nil"/>
              <w:left w:val="nil"/>
              <w:bottom w:val="single" w:sz="4" w:space="0" w:color="auto"/>
              <w:right w:val="nil"/>
            </w:tcBorders>
            <w:shd w:val="clear" w:color="auto" w:fill="auto"/>
            <w:noWrap/>
            <w:vAlign w:val="bottom"/>
            <w:hideMark/>
          </w:tcPr>
          <w:p w:rsidR="0018407B" w:rsidRPr="0022144B" w:rsidRDefault="009030AD" w:rsidP="009030AD">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324</w:t>
            </w:r>
            <w:r w:rsidR="0018407B">
              <w:rPr>
                <w:rFonts w:ascii="Calibri" w:eastAsia="Times New Roman" w:hAnsi="Calibri" w:cs="Calibri"/>
                <w:color w:val="000000"/>
                <w:sz w:val="20"/>
                <w:szCs w:val="20"/>
                <w:lang w:eastAsia="pt-BR"/>
              </w:rPr>
              <w:t>.</w:t>
            </w:r>
            <w:r>
              <w:rPr>
                <w:rFonts w:ascii="Calibri" w:eastAsia="Times New Roman" w:hAnsi="Calibri" w:cs="Calibri"/>
                <w:color w:val="000000"/>
                <w:sz w:val="20"/>
                <w:szCs w:val="20"/>
                <w:lang w:eastAsia="pt-BR"/>
              </w:rPr>
              <w:t>937</w:t>
            </w:r>
          </w:p>
        </w:tc>
        <w:tc>
          <w:tcPr>
            <w:tcW w:w="1184" w:type="dxa"/>
            <w:tcBorders>
              <w:top w:val="nil"/>
              <w:left w:val="nil"/>
              <w:bottom w:val="single" w:sz="4" w:space="0" w:color="auto"/>
              <w:right w:val="nil"/>
            </w:tcBorders>
            <w:shd w:val="clear" w:color="auto" w:fill="auto"/>
            <w:noWrap/>
            <w:vAlign w:val="bottom"/>
            <w:hideMark/>
          </w:tcPr>
          <w:p w:rsidR="0018407B" w:rsidRPr="0022144B" w:rsidRDefault="0018407B" w:rsidP="009030AD">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 xml:space="preserve">           </w:t>
            </w:r>
          </w:p>
        </w:tc>
        <w:tc>
          <w:tcPr>
            <w:tcW w:w="1096" w:type="dxa"/>
            <w:tcBorders>
              <w:top w:val="nil"/>
              <w:left w:val="nil"/>
              <w:bottom w:val="single" w:sz="4" w:space="0" w:color="auto"/>
              <w:right w:val="nil"/>
            </w:tcBorders>
            <w:shd w:val="clear" w:color="auto" w:fill="auto"/>
            <w:noWrap/>
            <w:vAlign w:val="bottom"/>
            <w:hideMark/>
          </w:tcPr>
          <w:p w:rsidR="0018407B" w:rsidRPr="0022144B" w:rsidRDefault="0018407B" w:rsidP="00C843E2">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w:t>
            </w:r>
          </w:p>
        </w:tc>
        <w:tc>
          <w:tcPr>
            <w:tcW w:w="1357" w:type="dxa"/>
            <w:tcBorders>
              <w:top w:val="nil"/>
              <w:left w:val="nil"/>
              <w:bottom w:val="single" w:sz="4" w:space="0" w:color="auto"/>
              <w:right w:val="nil"/>
            </w:tcBorders>
            <w:shd w:val="clear" w:color="auto" w:fill="auto"/>
            <w:noWrap/>
            <w:vAlign w:val="bottom"/>
            <w:hideMark/>
          </w:tcPr>
          <w:p w:rsidR="0018407B" w:rsidRPr="0022144B" w:rsidRDefault="0018407B" w:rsidP="00C843E2">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324.937</w:t>
            </w:r>
          </w:p>
        </w:tc>
        <w:tc>
          <w:tcPr>
            <w:tcW w:w="1497" w:type="dxa"/>
            <w:tcBorders>
              <w:top w:val="nil"/>
              <w:left w:val="nil"/>
              <w:bottom w:val="single" w:sz="4" w:space="0" w:color="auto"/>
              <w:right w:val="nil"/>
            </w:tcBorders>
            <w:shd w:val="clear" w:color="auto" w:fill="auto"/>
            <w:noWrap/>
            <w:vAlign w:val="bottom"/>
            <w:hideMark/>
          </w:tcPr>
          <w:p w:rsidR="0018407B" w:rsidRPr="0022144B" w:rsidRDefault="0018407B" w:rsidP="009030AD">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w:t>
            </w:r>
            <w:r w:rsidR="009030AD">
              <w:rPr>
                <w:rFonts w:ascii="Calibri" w:eastAsia="Times New Roman" w:hAnsi="Calibri" w:cs="Calibri"/>
                <w:color w:val="000000"/>
                <w:sz w:val="20"/>
                <w:szCs w:val="20"/>
                <w:lang w:eastAsia="pt-BR"/>
              </w:rPr>
              <w:t>229</w:t>
            </w:r>
            <w:r>
              <w:rPr>
                <w:rFonts w:ascii="Calibri" w:eastAsia="Times New Roman" w:hAnsi="Calibri" w:cs="Calibri"/>
                <w:color w:val="000000"/>
                <w:sz w:val="20"/>
                <w:szCs w:val="20"/>
                <w:lang w:eastAsia="pt-BR"/>
              </w:rPr>
              <w:t>.</w:t>
            </w:r>
            <w:r w:rsidR="009030AD">
              <w:rPr>
                <w:rFonts w:ascii="Calibri" w:eastAsia="Times New Roman" w:hAnsi="Calibri" w:cs="Calibri"/>
                <w:color w:val="000000"/>
                <w:sz w:val="20"/>
                <w:szCs w:val="20"/>
                <w:lang w:eastAsia="pt-BR"/>
              </w:rPr>
              <w:t>887</w:t>
            </w:r>
            <w:r>
              <w:rPr>
                <w:rFonts w:ascii="Calibri" w:eastAsia="Times New Roman" w:hAnsi="Calibri" w:cs="Calibri"/>
                <w:color w:val="000000"/>
                <w:sz w:val="20"/>
                <w:szCs w:val="20"/>
                <w:lang w:eastAsia="pt-BR"/>
              </w:rPr>
              <w:t>)</w:t>
            </w:r>
          </w:p>
        </w:tc>
        <w:tc>
          <w:tcPr>
            <w:tcW w:w="1502" w:type="dxa"/>
            <w:tcBorders>
              <w:top w:val="nil"/>
              <w:left w:val="nil"/>
              <w:bottom w:val="single" w:sz="4" w:space="0" w:color="auto"/>
              <w:right w:val="nil"/>
            </w:tcBorders>
            <w:shd w:val="clear" w:color="auto" w:fill="auto"/>
            <w:noWrap/>
            <w:vAlign w:val="bottom"/>
            <w:hideMark/>
          </w:tcPr>
          <w:p w:rsidR="0018407B" w:rsidRPr="0022144B" w:rsidRDefault="00086871" w:rsidP="00086871">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9</w:t>
            </w:r>
            <w:r w:rsidR="0018407B">
              <w:rPr>
                <w:rFonts w:ascii="Calibri" w:eastAsia="Times New Roman" w:hAnsi="Calibri" w:cs="Calibri"/>
                <w:color w:val="000000"/>
                <w:sz w:val="20"/>
                <w:szCs w:val="20"/>
                <w:lang w:eastAsia="pt-BR"/>
              </w:rPr>
              <w:t>5.</w:t>
            </w:r>
            <w:r>
              <w:rPr>
                <w:rFonts w:ascii="Calibri" w:eastAsia="Times New Roman" w:hAnsi="Calibri" w:cs="Calibri"/>
                <w:color w:val="000000"/>
                <w:sz w:val="20"/>
                <w:szCs w:val="20"/>
                <w:lang w:eastAsia="pt-BR"/>
              </w:rPr>
              <w:t>050</w:t>
            </w:r>
          </w:p>
        </w:tc>
      </w:tr>
      <w:tr w:rsidR="0018407B" w:rsidRPr="0022144B" w:rsidTr="00C843E2">
        <w:trPr>
          <w:trHeight w:val="301"/>
        </w:trPr>
        <w:tc>
          <w:tcPr>
            <w:tcW w:w="1593" w:type="dxa"/>
            <w:tcBorders>
              <w:top w:val="single" w:sz="4" w:space="0" w:color="auto"/>
              <w:left w:val="nil"/>
              <w:bottom w:val="single" w:sz="4" w:space="0" w:color="auto"/>
              <w:right w:val="nil"/>
            </w:tcBorders>
            <w:shd w:val="clear" w:color="auto" w:fill="auto"/>
            <w:noWrap/>
            <w:vAlign w:val="bottom"/>
            <w:hideMark/>
          </w:tcPr>
          <w:p w:rsidR="0018407B" w:rsidRPr="0022144B" w:rsidRDefault="0018407B" w:rsidP="00C843E2">
            <w:pPr>
              <w:spacing w:after="0" w:line="240" w:lineRule="auto"/>
              <w:rPr>
                <w:rFonts w:ascii="Calibri" w:eastAsia="Times New Roman" w:hAnsi="Calibri" w:cs="Calibri"/>
                <w:color w:val="000000"/>
                <w:sz w:val="20"/>
                <w:szCs w:val="20"/>
                <w:lang w:eastAsia="pt-BR"/>
              </w:rPr>
            </w:pPr>
            <w:r w:rsidRPr="0022144B">
              <w:rPr>
                <w:rFonts w:ascii="Calibri" w:eastAsia="Times New Roman" w:hAnsi="Calibri" w:cs="Calibri"/>
                <w:color w:val="000000"/>
                <w:sz w:val="20"/>
                <w:szCs w:val="20"/>
                <w:lang w:eastAsia="pt-BR"/>
              </w:rPr>
              <w:t>Instalações</w:t>
            </w:r>
          </w:p>
        </w:tc>
        <w:tc>
          <w:tcPr>
            <w:tcW w:w="1374" w:type="dxa"/>
            <w:tcBorders>
              <w:top w:val="single" w:sz="4" w:space="0" w:color="auto"/>
              <w:left w:val="nil"/>
              <w:bottom w:val="single" w:sz="4" w:space="0" w:color="auto"/>
              <w:right w:val="nil"/>
            </w:tcBorders>
            <w:shd w:val="clear" w:color="auto" w:fill="auto"/>
            <w:noWrap/>
            <w:vAlign w:val="bottom"/>
            <w:hideMark/>
          </w:tcPr>
          <w:p w:rsidR="0018407B" w:rsidRPr="0022144B" w:rsidRDefault="0018407B" w:rsidP="00C843E2">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21.800</w:t>
            </w:r>
          </w:p>
        </w:tc>
        <w:tc>
          <w:tcPr>
            <w:tcW w:w="1184" w:type="dxa"/>
            <w:tcBorders>
              <w:top w:val="single" w:sz="4" w:space="0" w:color="auto"/>
              <w:left w:val="nil"/>
              <w:bottom w:val="single" w:sz="4" w:space="0" w:color="auto"/>
              <w:right w:val="nil"/>
            </w:tcBorders>
            <w:shd w:val="clear" w:color="auto" w:fill="auto"/>
            <w:noWrap/>
            <w:vAlign w:val="bottom"/>
            <w:hideMark/>
          </w:tcPr>
          <w:p w:rsidR="0018407B" w:rsidRPr="0022144B" w:rsidRDefault="0018407B" w:rsidP="00C843E2">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w:t>
            </w:r>
          </w:p>
        </w:tc>
        <w:tc>
          <w:tcPr>
            <w:tcW w:w="1096" w:type="dxa"/>
            <w:tcBorders>
              <w:top w:val="single" w:sz="4" w:space="0" w:color="auto"/>
              <w:left w:val="nil"/>
              <w:bottom w:val="single" w:sz="4" w:space="0" w:color="auto"/>
              <w:right w:val="nil"/>
            </w:tcBorders>
            <w:shd w:val="clear" w:color="auto" w:fill="auto"/>
            <w:noWrap/>
            <w:vAlign w:val="bottom"/>
            <w:hideMark/>
          </w:tcPr>
          <w:p w:rsidR="0018407B" w:rsidRPr="0022144B" w:rsidRDefault="0018407B" w:rsidP="00C843E2">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w:t>
            </w:r>
          </w:p>
        </w:tc>
        <w:tc>
          <w:tcPr>
            <w:tcW w:w="1357" w:type="dxa"/>
            <w:tcBorders>
              <w:top w:val="single" w:sz="4" w:space="0" w:color="auto"/>
              <w:left w:val="nil"/>
              <w:bottom w:val="single" w:sz="4" w:space="0" w:color="auto"/>
              <w:right w:val="nil"/>
            </w:tcBorders>
            <w:shd w:val="clear" w:color="auto" w:fill="auto"/>
            <w:noWrap/>
            <w:vAlign w:val="bottom"/>
            <w:hideMark/>
          </w:tcPr>
          <w:p w:rsidR="0018407B" w:rsidRPr="0022144B" w:rsidRDefault="0018407B" w:rsidP="00C843E2">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21.800</w:t>
            </w:r>
          </w:p>
        </w:tc>
        <w:tc>
          <w:tcPr>
            <w:tcW w:w="1497" w:type="dxa"/>
            <w:tcBorders>
              <w:top w:val="single" w:sz="4" w:space="0" w:color="auto"/>
              <w:left w:val="nil"/>
              <w:bottom w:val="single" w:sz="4" w:space="0" w:color="auto"/>
              <w:right w:val="nil"/>
            </w:tcBorders>
            <w:shd w:val="clear" w:color="auto" w:fill="auto"/>
            <w:noWrap/>
            <w:vAlign w:val="bottom"/>
            <w:hideMark/>
          </w:tcPr>
          <w:p w:rsidR="0018407B" w:rsidRPr="0022144B" w:rsidRDefault="0018407B" w:rsidP="009030AD">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w:t>
            </w:r>
            <w:r w:rsidR="009030AD">
              <w:rPr>
                <w:rFonts w:ascii="Calibri" w:eastAsia="Times New Roman" w:hAnsi="Calibri" w:cs="Calibri"/>
                <w:color w:val="000000"/>
                <w:sz w:val="20"/>
                <w:szCs w:val="20"/>
                <w:lang w:eastAsia="pt-BR"/>
              </w:rPr>
              <w:t>15</w:t>
            </w:r>
            <w:r>
              <w:rPr>
                <w:rFonts w:ascii="Calibri" w:eastAsia="Times New Roman" w:hAnsi="Calibri" w:cs="Calibri"/>
                <w:color w:val="000000"/>
                <w:sz w:val="20"/>
                <w:szCs w:val="20"/>
                <w:lang w:eastAsia="pt-BR"/>
              </w:rPr>
              <w:t>.</w:t>
            </w:r>
            <w:r w:rsidR="009030AD">
              <w:rPr>
                <w:rFonts w:ascii="Calibri" w:eastAsia="Times New Roman" w:hAnsi="Calibri" w:cs="Calibri"/>
                <w:color w:val="000000"/>
                <w:sz w:val="20"/>
                <w:szCs w:val="20"/>
                <w:lang w:eastAsia="pt-BR"/>
              </w:rPr>
              <w:t>761</w:t>
            </w:r>
            <w:r>
              <w:rPr>
                <w:rFonts w:ascii="Calibri" w:eastAsia="Times New Roman" w:hAnsi="Calibri" w:cs="Calibri"/>
                <w:color w:val="000000"/>
                <w:sz w:val="20"/>
                <w:szCs w:val="20"/>
                <w:lang w:eastAsia="pt-BR"/>
              </w:rPr>
              <w:t>)</w:t>
            </w:r>
          </w:p>
        </w:tc>
        <w:tc>
          <w:tcPr>
            <w:tcW w:w="1502" w:type="dxa"/>
            <w:tcBorders>
              <w:top w:val="single" w:sz="4" w:space="0" w:color="auto"/>
              <w:left w:val="nil"/>
              <w:bottom w:val="single" w:sz="4" w:space="0" w:color="auto"/>
              <w:right w:val="nil"/>
            </w:tcBorders>
            <w:shd w:val="clear" w:color="auto" w:fill="auto"/>
            <w:noWrap/>
            <w:vAlign w:val="bottom"/>
            <w:hideMark/>
          </w:tcPr>
          <w:p w:rsidR="0018407B" w:rsidRPr="0022144B" w:rsidRDefault="00086871" w:rsidP="00086871">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6</w:t>
            </w:r>
            <w:r w:rsidR="0018407B">
              <w:rPr>
                <w:rFonts w:ascii="Calibri" w:eastAsia="Times New Roman" w:hAnsi="Calibri" w:cs="Calibri"/>
                <w:color w:val="000000"/>
                <w:sz w:val="20"/>
                <w:szCs w:val="20"/>
                <w:lang w:eastAsia="pt-BR"/>
              </w:rPr>
              <w:t>.</w:t>
            </w:r>
            <w:r>
              <w:rPr>
                <w:rFonts w:ascii="Calibri" w:eastAsia="Times New Roman" w:hAnsi="Calibri" w:cs="Calibri"/>
                <w:color w:val="000000"/>
                <w:sz w:val="20"/>
                <w:szCs w:val="20"/>
                <w:lang w:eastAsia="pt-BR"/>
              </w:rPr>
              <w:t>039</w:t>
            </w:r>
          </w:p>
        </w:tc>
      </w:tr>
      <w:tr w:rsidR="0018407B" w:rsidRPr="0022144B" w:rsidTr="00C843E2">
        <w:trPr>
          <w:trHeight w:val="301"/>
        </w:trPr>
        <w:tc>
          <w:tcPr>
            <w:tcW w:w="1593" w:type="dxa"/>
            <w:tcBorders>
              <w:top w:val="single" w:sz="4" w:space="0" w:color="auto"/>
              <w:left w:val="nil"/>
              <w:bottom w:val="nil"/>
              <w:right w:val="nil"/>
            </w:tcBorders>
            <w:shd w:val="clear" w:color="auto" w:fill="auto"/>
            <w:noWrap/>
            <w:vAlign w:val="bottom"/>
            <w:hideMark/>
          </w:tcPr>
          <w:p w:rsidR="0018407B" w:rsidRPr="0022144B" w:rsidRDefault="0018407B" w:rsidP="00C843E2">
            <w:pPr>
              <w:spacing w:after="0" w:line="240" w:lineRule="auto"/>
              <w:rPr>
                <w:rFonts w:ascii="Calibri" w:eastAsia="Times New Roman" w:hAnsi="Calibri" w:cs="Calibri"/>
                <w:color w:val="000000"/>
                <w:sz w:val="20"/>
                <w:szCs w:val="20"/>
                <w:lang w:eastAsia="pt-BR"/>
              </w:rPr>
            </w:pPr>
            <w:r w:rsidRPr="0022144B">
              <w:rPr>
                <w:rFonts w:ascii="Calibri" w:eastAsia="Times New Roman" w:hAnsi="Calibri" w:cs="Calibri"/>
                <w:color w:val="000000"/>
                <w:sz w:val="20"/>
                <w:szCs w:val="20"/>
                <w:lang w:eastAsia="pt-BR"/>
              </w:rPr>
              <w:t xml:space="preserve">Utensílios de </w:t>
            </w:r>
          </w:p>
        </w:tc>
        <w:tc>
          <w:tcPr>
            <w:tcW w:w="1374" w:type="dxa"/>
            <w:tcBorders>
              <w:top w:val="single" w:sz="4" w:space="0" w:color="auto"/>
              <w:left w:val="nil"/>
              <w:bottom w:val="nil"/>
              <w:right w:val="nil"/>
            </w:tcBorders>
            <w:shd w:val="clear" w:color="auto" w:fill="auto"/>
            <w:noWrap/>
            <w:vAlign w:val="bottom"/>
            <w:hideMark/>
          </w:tcPr>
          <w:p w:rsidR="0018407B" w:rsidRPr="0022144B" w:rsidRDefault="0018407B" w:rsidP="00C843E2">
            <w:pPr>
              <w:spacing w:after="0" w:line="240" w:lineRule="auto"/>
              <w:rPr>
                <w:rFonts w:ascii="Calibri" w:eastAsia="Times New Roman" w:hAnsi="Calibri" w:cs="Calibri"/>
                <w:color w:val="000000"/>
                <w:sz w:val="20"/>
                <w:szCs w:val="20"/>
                <w:lang w:eastAsia="pt-BR"/>
              </w:rPr>
            </w:pPr>
          </w:p>
        </w:tc>
        <w:tc>
          <w:tcPr>
            <w:tcW w:w="1184" w:type="dxa"/>
            <w:tcBorders>
              <w:top w:val="single" w:sz="4" w:space="0" w:color="auto"/>
              <w:left w:val="nil"/>
              <w:bottom w:val="nil"/>
              <w:right w:val="nil"/>
            </w:tcBorders>
            <w:shd w:val="clear" w:color="auto" w:fill="auto"/>
            <w:noWrap/>
            <w:vAlign w:val="bottom"/>
            <w:hideMark/>
          </w:tcPr>
          <w:p w:rsidR="0018407B" w:rsidRPr="0022144B" w:rsidRDefault="0018407B" w:rsidP="00C843E2">
            <w:pPr>
              <w:spacing w:after="0" w:line="240" w:lineRule="auto"/>
              <w:rPr>
                <w:rFonts w:ascii="Calibri" w:eastAsia="Times New Roman" w:hAnsi="Calibri" w:cs="Calibri"/>
                <w:color w:val="000000"/>
                <w:sz w:val="20"/>
                <w:szCs w:val="20"/>
                <w:lang w:eastAsia="pt-BR"/>
              </w:rPr>
            </w:pPr>
          </w:p>
        </w:tc>
        <w:tc>
          <w:tcPr>
            <w:tcW w:w="1096" w:type="dxa"/>
            <w:tcBorders>
              <w:top w:val="single" w:sz="4" w:space="0" w:color="auto"/>
              <w:left w:val="nil"/>
              <w:bottom w:val="nil"/>
              <w:right w:val="nil"/>
            </w:tcBorders>
            <w:shd w:val="clear" w:color="auto" w:fill="auto"/>
            <w:noWrap/>
            <w:vAlign w:val="bottom"/>
            <w:hideMark/>
          </w:tcPr>
          <w:p w:rsidR="0018407B" w:rsidRPr="0022144B" w:rsidRDefault="0018407B" w:rsidP="00C843E2">
            <w:pPr>
              <w:spacing w:after="0" w:line="240" w:lineRule="auto"/>
              <w:jc w:val="center"/>
              <w:rPr>
                <w:rFonts w:ascii="Calibri" w:eastAsia="Times New Roman" w:hAnsi="Calibri" w:cs="Calibri"/>
                <w:color w:val="000000"/>
                <w:sz w:val="20"/>
                <w:szCs w:val="20"/>
                <w:lang w:eastAsia="pt-BR"/>
              </w:rPr>
            </w:pPr>
          </w:p>
        </w:tc>
        <w:tc>
          <w:tcPr>
            <w:tcW w:w="1357" w:type="dxa"/>
            <w:tcBorders>
              <w:top w:val="single" w:sz="4" w:space="0" w:color="auto"/>
              <w:left w:val="nil"/>
              <w:bottom w:val="nil"/>
              <w:right w:val="nil"/>
            </w:tcBorders>
            <w:shd w:val="clear" w:color="auto" w:fill="auto"/>
            <w:noWrap/>
            <w:vAlign w:val="bottom"/>
            <w:hideMark/>
          </w:tcPr>
          <w:p w:rsidR="0018407B" w:rsidRPr="0022144B" w:rsidRDefault="0018407B" w:rsidP="00C843E2">
            <w:pPr>
              <w:spacing w:after="0" w:line="240" w:lineRule="auto"/>
              <w:rPr>
                <w:rFonts w:ascii="Calibri" w:eastAsia="Times New Roman" w:hAnsi="Calibri" w:cs="Calibri"/>
                <w:color w:val="000000"/>
                <w:sz w:val="20"/>
                <w:szCs w:val="20"/>
                <w:lang w:eastAsia="pt-BR"/>
              </w:rPr>
            </w:pPr>
          </w:p>
        </w:tc>
        <w:tc>
          <w:tcPr>
            <w:tcW w:w="1497" w:type="dxa"/>
            <w:tcBorders>
              <w:top w:val="single" w:sz="4" w:space="0" w:color="auto"/>
              <w:left w:val="nil"/>
              <w:bottom w:val="nil"/>
              <w:right w:val="nil"/>
            </w:tcBorders>
            <w:shd w:val="clear" w:color="auto" w:fill="auto"/>
            <w:noWrap/>
            <w:vAlign w:val="bottom"/>
            <w:hideMark/>
          </w:tcPr>
          <w:p w:rsidR="0018407B" w:rsidRPr="0022144B" w:rsidRDefault="0018407B" w:rsidP="00C843E2">
            <w:pPr>
              <w:spacing w:after="0" w:line="240" w:lineRule="auto"/>
              <w:rPr>
                <w:rFonts w:ascii="Calibri" w:eastAsia="Times New Roman" w:hAnsi="Calibri" w:cs="Calibri"/>
                <w:color w:val="000000"/>
                <w:sz w:val="20"/>
                <w:szCs w:val="20"/>
                <w:lang w:eastAsia="pt-BR"/>
              </w:rPr>
            </w:pPr>
          </w:p>
        </w:tc>
        <w:tc>
          <w:tcPr>
            <w:tcW w:w="1502" w:type="dxa"/>
            <w:tcBorders>
              <w:top w:val="single" w:sz="4" w:space="0" w:color="auto"/>
              <w:left w:val="nil"/>
              <w:bottom w:val="nil"/>
              <w:right w:val="nil"/>
            </w:tcBorders>
            <w:shd w:val="clear" w:color="auto" w:fill="auto"/>
            <w:noWrap/>
            <w:vAlign w:val="bottom"/>
            <w:hideMark/>
          </w:tcPr>
          <w:p w:rsidR="0018407B" w:rsidRPr="0022144B" w:rsidRDefault="0018407B" w:rsidP="00C843E2">
            <w:pPr>
              <w:spacing w:after="0" w:line="240" w:lineRule="auto"/>
              <w:rPr>
                <w:rFonts w:ascii="Calibri" w:eastAsia="Times New Roman" w:hAnsi="Calibri" w:cs="Calibri"/>
                <w:color w:val="000000"/>
                <w:sz w:val="20"/>
                <w:szCs w:val="20"/>
                <w:lang w:eastAsia="pt-BR"/>
              </w:rPr>
            </w:pPr>
          </w:p>
        </w:tc>
      </w:tr>
      <w:tr w:rsidR="0018407B" w:rsidRPr="0022144B" w:rsidTr="00C843E2">
        <w:trPr>
          <w:trHeight w:val="301"/>
        </w:trPr>
        <w:tc>
          <w:tcPr>
            <w:tcW w:w="1593" w:type="dxa"/>
            <w:tcBorders>
              <w:top w:val="nil"/>
              <w:left w:val="nil"/>
              <w:bottom w:val="single" w:sz="4" w:space="0" w:color="auto"/>
              <w:right w:val="nil"/>
            </w:tcBorders>
            <w:shd w:val="clear" w:color="auto" w:fill="auto"/>
            <w:noWrap/>
            <w:vAlign w:val="bottom"/>
            <w:hideMark/>
          </w:tcPr>
          <w:p w:rsidR="0018407B" w:rsidRPr="0022144B" w:rsidRDefault="0018407B" w:rsidP="00C843E2">
            <w:pPr>
              <w:spacing w:after="0" w:line="240" w:lineRule="auto"/>
              <w:rPr>
                <w:rFonts w:ascii="Calibri" w:eastAsia="Times New Roman" w:hAnsi="Calibri" w:cs="Calibri"/>
                <w:color w:val="000000"/>
                <w:sz w:val="20"/>
                <w:szCs w:val="20"/>
                <w:lang w:eastAsia="pt-BR"/>
              </w:rPr>
            </w:pPr>
            <w:r w:rsidRPr="0022144B">
              <w:rPr>
                <w:rFonts w:ascii="Calibri" w:eastAsia="Times New Roman" w:hAnsi="Calibri" w:cs="Calibri"/>
                <w:color w:val="000000"/>
                <w:sz w:val="20"/>
                <w:szCs w:val="20"/>
                <w:lang w:eastAsia="pt-BR"/>
              </w:rPr>
              <w:t>Copa e Cozinha</w:t>
            </w:r>
          </w:p>
        </w:tc>
        <w:tc>
          <w:tcPr>
            <w:tcW w:w="1374" w:type="dxa"/>
            <w:tcBorders>
              <w:top w:val="nil"/>
              <w:left w:val="nil"/>
              <w:bottom w:val="single" w:sz="4" w:space="0" w:color="auto"/>
              <w:right w:val="nil"/>
            </w:tcBorders>
            <w:shd w:val="clear" w:color="auto" w:fill="auto"/>
            <w:noWrap/>
            <w:vAlign w:val="bottom"/>
          </w:tcPr>
          <w:p w:rsidR="0018407B" w:rsidRPr="0022144B" w:rsidRDefault="0018407B" w:rsidP="00C843E2">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12.500</w:t>
            </w:r>
          </w:p>
        </w:tc>
        <w:tc>
          <w:tcPr>
            <w:tcW w:w="1184" w:type="dxa"/>
            <w:tcBorders>
              <w:top w:val="nil"/>
              <w:left w:val="nil"/>
              <w:bottom w:val="single" w:sz="4" w:space="0" w:color="auto"/>
              <w:right w:val="nil"/>
            </w:tcBorders>
            <w:shd w:val="clear" w:color="auto" w:fill="auto"/>
            <w:noWrap/>
            <w:vAlign w:val="bottom"/>
          </w:tcPr>
          <w:p w:rsidR="0018407B" w:rsidRPr="0022144B" w:rsidRDefault="009030AD" w:rsidP="009030AD">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 xml:space="preserve">           1.470</w:t>
            </w:r>
          </w:p>
        </w:tc>
        <w:tc>
          <w:tcPr>
            <w:tcW w:w="1096" w:type="dxa"/>
            <w:tcBorders>
              <w:top w:val="nil"/>
              <w:left w:val="nil"/>
              <w:bottom w:val="single" w:sz="4" w:space="0" w:color="auto"/>
              <w:right w:val="nil"/>
            </w:tcBorders>
            <w:shd w:val="clear" w:color="auto" w:fill="auto"/>
            <w:noWrap/>
            <w:vAlign w:val="bottom"/>
          </w:tcPr>
          <w:p w:rsidR="0018407B" w:rsidRPr="0022144B" w:rsidRDefault="0018407B" w:rsidP="00C843E2">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w:t>
            </w:r>
          </w:p>
        </w:tc>
        <w:tc>
          <w:tcPr>
            <w:tcW w:w="1357" w:type="dxa"/>
            <w:tcBorders>
              <w:top w:val="nil"/>
              <w:left w:val="nil"/>
              <w:bottom w:val="single" w:sz="4" w:space="0" w:color="auto"/>
              <w:right w:val="nil"/>
            </w:tcBorders>
            <w:shd w:val="clear" w:color="auto" w:fill="auto"/>
            <w:noWrap/>
            <w:vAlign w:val="bottom"/>
          </w:tcPr>
          <w:p w:rsidR="0018407B" w:rsidRPr="0022144B" w:rsidRDefault="0018407B" w:rsidP="009030AD">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1</w:t>
            </w:r>
            <w:r w:rsidR="009030AD">
              <w:rPr>
                <w:rFonts w:ascii="Calibri" w:eastAsia="Times New Roman" w:hAnsi="Calibri" w:cs="Calibri"/>
                <w:color w:val="000000"/>
                <w:sz w:val="20"/>
                <w:szCs w:val="20"/>
                <w:lang w:eastAsia="pt-BR"/>
              </w:rPr>
              <w:t>3</w:t>
            </w:r>
            <w:r>
              <w:rPr>
                <w:rFonts w:ascii="Calibri" w:eastAsia="Times New Roman" w:hAnsi="Calibri" w:cs="Calibri"/>
                <w:color w:val="000000"/>
                <w:sz w:val="20"/>
                <w:szCs w:val="20"/>
                <w:lang w:eastAsia="pt-BR"/>
              </w:rPr>
              <w:t>.</w:t>
            </w:r>
            <w:r w:rsidR="009030AD">
              <w:rPr>
                <w:rFonts w:ascii="Calibri" w:eastAsia="Times New Roman" w:hAnsi="Calibri" w:cs="Calibri"/>
                <w:color w:val="000000"/>
                <w:sz w:val="20"/>
                <w:szCs w:val="20"/>
                <w:lang w:eastAsia="pt-BR"/>
              </w:rPr>
              <w:t>970</w:t>
            </w:r>
          </w:p>
        </w:tc>
        <w:tc>
          <w:tcPr>
            <w:tcW w:w="1497" w:type="dxa"/>
            <w:tcBorders>
              <w:top w:val="nil"/>
              <w:left w:val="nil"/>
              <w:bottom w:val="single" w:sz="4" w:space="0" w:color="auto"/>
              <w:right w:val="nil"/>
            </w:tcBorders>
            <w:shd w:val="clear" w:color="auto" w:fill="auto"/>
            <w:noWrap/>
            <w:vAlign w:val="bottom"/>
          </w:tcPr>
          <w:p w:rsidR="0018407B" w:rsidRPr="0022144B" w:rsidRDefault="0018407B" w:rsidP="009030AD">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w:t>
            </w:r>
            <w:r w:rsidR="009030AD">
              <w:rPr>
                <w:rFonts w:ascii="Calibri" w:eastAsia="Times New Roman" w:hAnsi="Calibri" w:cs="Calibri"/>
                <w:color w:val="000000"/>
                <w:sz w:val="20"/>
                <w:szCs w:val="20"/>
                <w:lang w:eastAsia="pt-BR"/>
              </w:rPr>
              <w:t>11</w:t>
            </w:r>
            <w:r>
              <w:rPr>
                <w:rFonts w:ascii="Calibri" w:eastAsia="Times New Roman" w:hAnsi="Calibri" w:cs="Calibri"/>
                <w:color w:val="000000"/>
                <w:sz w:val="20"/>
                <w:szCs w:val="20"/>
                <w:lang w:eastAsia="pt-BR"/>
              </w:rPr>
              <w:t>.</w:t>
            </w:r>
            <w:r w:rsidR="009030AD">
              <w:rPr>
                <w:rFonts w:ascii="Calibri" w:eastAsia="Times New Roman" w:hAnsi="Calibri" w:cs="Calibri"/>
                <w:color w:val="000000"/>
                <w:sz w:val="20"/>
                <w:szCs w:val="20"/>
                <w:lang w:eastAsia="pt-BR"/>
              </w:rPr>
              <w:t>180</w:t>
            </w:r>
            <w:r>
              <w:rPr>
                <w:rFonts w:ascii="Calibri" w:eastAsia="Times New Roman" w:hAnsi="Calibri" w:cs="Calibri"/>
                <w:color w:val="000000"/>
                <w:sz w:val="20"/>
                <w:szCs w:val="20"/>
                <w:lang w:eastAsia="pt-BR"/>
              </w:rPr>
              <w:t>)</w:t>
            </w:r>
          </w:p>
        </w:tc>
        <w:tc>
          <w:tcPr>
            <w:tcW w:w="1502" w:type="dxa"/>
            <w:tcBorders>
              <w:top w:val="nil"/>
              <w:left w:val="nil"/>
              <w:bottom w:val="single" w:sz="4" w:space="0" w:color="auto"/>
              <w:right w:val="nil"/>
            </w:tcBorders>
            <w:shd w:val="clear" w:color="auto" w:fill="auto"/>
            <w:noWrap/>
            <w:vAlign w:val="bottom"/>
          </w:tcPr>
          <w:p w:rsidR="0018407B" w:rsidRPr="0022144B" w:rsidRDefault="00086871" w:rsidP="00086871">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2</w:t>
            </w:r>
            <w:r w:rsidR="0018407B">
              <w:rPr>
                <w:rFonts w:ascii="Calibri" w:eastAsia="Times New Roman" w:hAnsi="Calibri" w:cs="Calibri"/>
                <w:color w:val="000000"/>
                <w:sz w:val="20"/>
                <w:szCs w:val="20"/>
                <w:lang w:eastAsia="pt-BR"/>
              </w:rPr>
              <w:t>.</w:t>
            </w:r>
            <w:r>
              <w:rPr>
                <w:rFonts w:ascii="Calibri" w:eastAsia="Times New Roman" w:hAnsi="Calibri" w:cs="Calibri"/>
                <w:color w:val="000000"/>
                <w:sz w:val="20"/>
                <w:szCs w:val="20"/>
                <w:lang w:eastAsia="pt-BR"/>
              </w:rPr>
              <w:t>790</w:t>
            </w:r>
          </w:p>
        </w:tc>
      </w:tr>
      <w:tr w:rsidR="0018407B" w:rsidRPr="0022144B" w:rsidTr="00C843E2">
        <w:trPr>
          <w:trHeight w:val="301"/>
        </w:trPr>
        <w:tc>
          <w:tcPr>
            <w:tcW w:w="1593" w:type="dxa"/>
            <w:tcBorders>
              <w:top w:val="single" w:sz="4" w:space="0" w:color="auto"/>
              <w:left w:val="nil"/>
              <w:bottom w:val="single" w:sz="4" w:space="0" w:color="auto"/>
              <w:right w:val="nil"/>
            </w:tcBorders>
            <w:shd w:val="clear" w:color="auto" w:fill="auto"/>
            <w:noWrap/>
            <w:vAlign w:val="bottom"/>
            <w:hideMark/>
          </w:tcPr>
          <w:p w:rsidR="0018407B" w:rsidRPr="0022144B" w:rsidRDefault="0018407B" w:rsidP="00C843E2">
            <w:pPr>
              <w:spacing w:after="0" w:line="240" w:lineRule="auto"/>
              <w:rPr>
                <w:rFonts w:ascii="Calibri" w:eastAsia="Times New Roman" w:hAnsi="Calibri" w:cs="Calibri"/>
                <w:color w:val="000000"/>
                <w:sz w:val="20"/>
                <w:szCs w:val="20"/>
                <w:lang w:eastAsia="pt-BR"/>
              </w:rPr>
            </w:pPr>
            <w:r w:rsidRPr="0022144B">
              <w:rPr>
                <w:rFonts w:ascii="Calibri" w:eastAsia="Times New Roman" w:hAnsi="Calibri" w:cs="Calibri"/>
                <w:color w:val="000000"/>
                <w:sz w:val="20"/>
                <w:szCs w:val="20"/>
                <w:lang w:eastAsia="pt-BR"/>
              </w:rPr>
              <w:t>Veículos</w:t>
            </w:r>
          </w:p>
        </w:tc>
        <w:tc>
          <w:tcPr>
            <w:tcW w:w="1374" w:type="dxa"/>
            <w:tcBorders>
              <w:top w:val="single" w:sz="4" w:space="0" w:color="auto"/>
              <w:left w:val="nil"/>
              <w:bottom w:val="single" w:sz="4" w:space="0" w:color="auto"/>
              <w:right w:val="nil"/>
            </w:tcBorders>
            <w:shd w:val="clear" w:color="auto" w:fill="auto"/>
            <w:noWrap/>
            <w:vAlign w:val="bottom"/>
          </w:tcPr>
          <w:p w:rsidR="0018407B" w:rsidRPr="0022144B" w:rsidRDefault="0018407B" w:rsidP="00C843E2">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143.007</w:t>
            </w:r>
          </w:p>
        </w:tc>
        <w:tc>
          <w:tcPr>
            <w:tcW w:w="1184" w:type="dxa"/>
            <w:tcBorders>
              <w:top w:val="single" w:sz="4" w:space="0" w:color="auto"/>
              <w:left w:val="nil"/>
              <w:bottom w:val="single" w:sz="4" w:space="0" w:color="auto"/>
              <w:right w:val="nil"/>
            </w:tcBorders>
            <w:shd w:val="clear" w:color="auto" w:fill="auto"/>
            <w:noWrap/>
            <w:vAlign w:val="bottom"/>
          </w:tcPr>
          <w:p w:rsidR="0018407B" w:rsidRPr="0022144B" w:rsidRDefault="0018407B" w:rsidP="00C843E2">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w:t>
            </w:r>
          </w:p>
        </w:tc>
        <w:tc>
          <w:tcPr>
            <w:tcW w:w="1096" w:type="dxa"/>
            <w:tcBorders>
              <w:top w:val="single" w:sz="4" w:space="0" w:color="auto"/>
              <w:left w:val="nil"/>
              <w:bottom w:val="single" w:sz="4" w:space="0" w:color="auto"/>
              <w:right w:val="nil"/>
            </w:tcBorders>
            <w:shd w:val="clear" w:color="auto" w:fill="auto"/>
            <w:noWrap/>
            <w:vAlign w:val="bottom"/>
          </w:tcPr>
          <w:p w:rsidR="0018407B" w:rsidRPr="0022144B" w:rsidRDefault="0018407B" w:rsidP="00C843E2">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w:t>
            </w:r>
          </w:p>
        </w:tc>
        <w:tc>
          <w:tcPr>
            <w:tcW w:w="1357" w:type="dxa"/>
            <w:tcBorders>
              <w:top w:val="single" w:sz="4" w:space="0" w:color="auto"/>
              <w:left w:val="nil"/>
              <w:bottom w:val="single" w:sz="4" w:space="0" w:color="auto"/>
              <w:right w:val="nil"/>
            </w:tcBorders>
            <w:shd w:val="clear" w:color="auto" w:fill="auto"/>
            <w:noWrap/>
            <w:vAlign w:val="bottom"/>
          </w:tcPr>
          <w:p w:rsidR="0018407B" w:rsidRPr="0022144B" w:rsidRDefault="0018407B" w:rsidP="00C843E2">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143.007</w:t>
            </w:r>
          </w:p>
        </w:tc>
        <w:tc>
          <w:tcPr>
            <w:tcW w:w="1497" w:type="dxa"/>
            <w:tcBorders>
              <w:top w:val="single" w:sz="4" w:space="0" w:color="auto"/>
              <w:left w:val="nil"/>
              <w:bottom w:val="single" w:sz="4" w:space="0" w:color="auto"/>
              <w:right w:val="nil"/>
            </w:tcBorders>
            <w:shd w:val="clear" w:color="auto" w:fill="auto"/>
            <w:noWrap/>
            <w:vAlign w:val="bottom"/>
          </w:tcPr>
          <w:p w:rsidR="0018407B" w:rsidRPr="0022144B" w:rsidRDefault="0018407B" w:rsidP="009030AD">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(1</w:t>
            </w:r>
            <w:r w:rsidR="009030AD">
              <w:rPr>
                <w:rFonts w:ascii="Calibri" w:eastAsia="Times New Roman" w:hAnsi="Calibri" w:cs="Calibri"/>
                <w:color w:val="000000"/>
                <w:sz w:val="20"/>
                <w:szCs w:val="20"/>
                <w:lang w:eastAsia="pt-BR"/>
              </w:rPr>
              <w:t>1</w:t>
            </w:r>
            <w:r>
              <w:rPr>
                <w:rFonts w:ascii="Calibri" w:eastAsia="Times New Roman" w:hAnsi="Calibri" w:cs="Calibri"/>
                <w:color w:val="000000"/>
                <w:sz w:val="20"/>
                <w:szCs w:val="20"/>
                <w:lang w:eastAsia="pt-BR"/>
              </w:rPr>
              <w:t>7.</w:t>
            </w:r>
            <w:r w:rsidR="009030AD">
              <w:rPr>
                <w:rFonts w:ascii="Calibri" w:eastAsia="Times New Roman" w:hAnsi="Calibri" w:cs="Calibri"/>
                <w:color w:val="000000"/>
                <w:sz w:val="20"/>
                <w:szCs w:val="20"/>
                <w:lang w:eastAsia="pt-BR"/>
              </w:rPr>
              <w:t>116</w:t>
            </w:r>
            <w:r>
              <w:rPr>
                <w:rFonts w:ascii="Calibri" w:eastAsia="Times New Roman" w:hAnsi="Calibri" w:cs="Calibri"/>
                <w:color w:val="000000"/>
                <w:sz w:val="20"/>
                <w:szCs w:val="20"/>
                <w:lang w:eastAsia="pt-BR"/>
              </w:rPr>
              <w:t>)</w:t>
            </w:r>
          </w:p>
        </w:tc>
        <w:tc>
          <w:tcPr>
            <w:tcW w:w="1502" w:type="dxa"/>
            <w:tcBorders>
              <w:top w:val="single" w:sz="4" w:space="0" w:color="auto"/>
              <w:left w:val="nil"/>
              <w:bottom w:val="single" w:sz="4" w:space="0" w:color="auto"/>
              <w:right w:val="nil"/>
            </w:tcBorders>
            <w:shd w:val="clear" w:color="auto" w:fill="auto"/>
            <w:noWrap/>
            <w:vAlign w:val="bottom"/>
          </w:tcPr>
          <w:p w:rsidR="0018407B" w:rsidRPr="0022144B" w:rsidRDefault="00086871" w:rsidP="00086871">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2</w:t>
            </w:r>
            <w:r w:rsidR="0018407B">
              <w:rPr>
                <w:rFonts w:ascii="Calibri" w:eastAsia="Times New Roman" w:hAnsi="Calibri" w:cs="Calibri"/>
                <w:color w:val="000000"/>
                <w:sz w:val="20"/>
                <w:szCs w:val="20"/>
                <w:lang w:eastAsia="pt-BR"/>
              </w:rPr>
              <w:t>5.</w:t>
            </w:r>
            <w:r>
              <w:rPr>
                <w:rFonts w:ascii="Calibri" w:eastAsia="Times New Roman" w:hAnsi="Calibri" w:cs="Calibri"/>
                <w:color w:val="000000"/>
                <w:sz w:val="20"/>
                <w:szCs w:val="20"/>
                <w:lang w:eastAsia="pt-BR"/>
              </w:rPr>
              <w:t>581</w:t>
            </w:r>
          </w:p>
        </w:tc>
      </w:tr>
      <w:tr w:rsidR="0018407B" w:rsidRPr="0022144B" w:rsidTr="00C843E2">
        <w:trPr>
          <w:trHeight w:val="301"/>
        </w:trPr>
        <w:tc>
          <w:tcPr>
            <w:tcW w:w="2967" w:type="dxa"/>
            <w:gridSpan w:val="2"/>
            <w:tcBorders>
              <w:top w:val="single" w:sz="4" w:space="0" w:color="auto"/>
              <w:left w:val="nil"/>
              <w:bottom w:val="nil"/>
              <w:right w:val="nil"/>
            </w:tcBorders>
            <w:shd w:val="clear" w:color="auto" w:fill="auto"/>
            <w:noWrap/>
            <w:vAlign w:val="bottom"/>
            <w:hideMark/>
          </w:tcPr>
          <w:p w:rsidR="0018407B" w:rsidRPr="0022144B" w:rsidRDefault="0018407B" w:rsidP="00C843E2">
            <w:pPr>
              <w:spacing w:after="0" w:line="240" w:lineRule="auto"/>
              <w:rPr>
                <w:rFonts w:ascii="Calibri" w:eastAsia="Times New Roman" w:hAnsi="Calibri" w:cs="Calibri"/>
                <w:color w:val="000000"/>
                <w:sz w:val="20"/>
                <w:szCs w:val="20"/>
                <w:lang w:eastAsia="pt-BR"/>
              </w:rPr>
            </w:pPr>
            <w:r w:rsidRPr="0022144B">
              <w:rPr>
                <w:rFonts w:ascii="Calibri" w:eastAsia="Times New Roman" w:hAnsi="Calibri" w:cs="Calibri"/>
                <w:color w:val="000000"/>
                <w:sz w:val="20"/>
                <w:szCs w:val="20"/>
                <w:lang w:eastAsia="pt-BR"/>
              </w:rPr>
              <w:t>Equipamentos de</w:t>
            </w:r>
          </w:p>
        </w:tc>
        <w:tc>
          <w:tcPr>
            <w:tcW w:w="1184" w:type="dxa"/>
            <w:tcBorders>
              <w:top w:val="single" w:sz="4" w:space="0" w:color="auto"/>
              <w:left w:val="nil"/>
              <w:bottom w:val="nil"/>
              <w:right w:val="nil"/>
            </w:tcBorders>
            <w:shd w:val="clear" w:color="auto" w:fill="auto"/>
            <w:noWrap/>
            <w:vAlign w:val="bottom"/>
            <w:hideMark/>
          </w:tcPr>
          <w:p w:rsidR="0018407B" w:rsidRPr="0022144B" w:rsidRDefault="0018407B" w:rsidP="00C843E2">
            <w:pPr>
              <w:spacing w:after="0" w:line="240" w:lineRule="auto"/>
              <w:rPr>
                <w:rFonts w:ascii="Calibri" w:eastAsia="Times New Roman" w:hAnsi="Calibri" w:cs="Calibri"/>
                <w:color w:val="000000"/>
                <w:sz w:val="20"/>
                <w:szCs w:val="20"/>
                <w:lang w:eastAsia="pt-BR"/>
              </w:rPr>
            </w:pPr>
          </w:p>
        </w:tc>
        <w:tc>
          <w:tcPr>
            <w:tcW w:w="1096" w:type="dxa"/>
            <w:tcBorders>
              <w:top w:val="single" w:sz="4" w:space="0" w:color="auto"/>
              <w:left w:val="nil"/>
              <w:bottom w:val="nil"/>
              <w:right w:val="nil"/>
            </w:tcBorders>
            <w:shd w:val="clear" w:color="auto" w:fill="auto"/>
            <w:noWrap/>
            <w:vAlign w:val="bottom"/>
            <w:hideMark/>
          </w:tcPr>
          <w:p w:rsidR="0018407B" w:rsidRPr="0022144B" w:rsidRDefault="0018407B" w:rsidP="00C843E2">
            <w:pPr>
              <w:spacing w:after="0" w:line="240" w:lineRule="auto"/>
              <w:jc w:val="center"/>
              <w:rPr>
                <w:rFonts w:ascii="Calibri" w:eastAsia="Times New Roman" w:hAnsi="Calibri" w:cs="Calibri"/>
                <w:color w:val="000000"/>
                <w:sz w:val="20"/>
                <w:szCs w:val="20"/>
                <w:lang w:eastAsia="pt-BR"/>
              </w:rPr>
            </w:pPr>
          </w:p>
        </w:tc>
        <w:tc>
          <w:tcPr>
            <w:tcW w:w="1357" w:type="dxa"/>
            <w:tcBorders>
              <w:top w:val="single" w:sz="4" w:space="0" w:color="auto"/>
              <w:left w:val="nil"/>
              <w:bottom w:val="nil"/>
              <w:right w:val="nil"/>
            </w:tcBorders>
            <w:shd w:val="clear" w:color="auto" w:fill="auto"/>
            <w:noWrap/>
            <w:vAlign w:val="bottom"/>
            <w:hideMark/>
          </w:tcPr>
          <w:p w:rsidR="0018407B" w:rsidRPr="0022144B" w:rsidRDefault="0018407B" w:rsidP="00C843E2">
            <w:pPr>
              <w:spacing w:after="0" w:line="240" w:lineRule="auto"/>
              <w:rPr>
                <w:rFonts w:ascii="Calibri" w:eastAsia="Times New Roman" w:hAnsi="Calibri" w:cs="Calibri"/>
                <w:color w:val="000000"/>
                <w:sz w:val="20"/>
                <w:szCs w:val="20"/>
                <w:lang w:eastAsia="pt-BR"/>
              </w:rPr>
            </w:pPr>
          </w:p>
        </w:tc>
        <w:tc>
          <w:tcPr>
            <w:tcW w:w="1497" w:type="dxa"/>
            <w:tcBorders>
              <w:top w:val="single" w:sz="4" w:space="0" w:color="auto"/>
              <w:left w:val="nil"/>
              <w:bottom w:val="nil"/>
              <w:right w:val="nil"/>
            </w:tcBorders>
            <w:shd w:val="clear" w:color="auto" w:fill="auto"/>
            <w:noWrap/>
            <w:vAlign w:val="bottom"/>
            <w:hideMark/>
          </w:tcPr>
          <w:p w:rsidR="0018407B" w:rsidRPr="0022144B" w:rsidRDefault="0018407B" w:rsidP="00C843E2">
            <w:pPr>
              <w:spacing w:after="0" w:line="240" w:lineRule="auto"/>
              <w:rPr>
                <w:rFonts w:ascii="Calibri" w:eastAsia="Times New Roman" w:hAnsi="Calibri" w:cs="Calibri"/>
                <w:color w:val="000000"/>
                <w:sz w:val="20"/>
                <w:szCs w:val="20"/>
                <w:lang w:eastAsia="pt-BR"/>
              </w:rPr>
            </w:pPr>
          </w:p>
        </w:tc>
        <w:tc>
          <w:tcPr>
            <w:tcW w:w="1502" w:type="dxa"/>
            <w:tcBorders>
              <w:top w:val="single" w:sz="4" w:space="0" w:color="auto"/>
              <w:left w:val="nil"/>
              <w:bottom w:val="nil"/>
              <w:right w:val="nil"/>
            </w:tcBorders>
            <w:shd w:val="clear" w:color="auto" w:fill="auto"/>
            <w:noWrap/>
            <w:vAlign w:val="bottom"/>
            <w:hideMark/>
          </w:tcPr>
          <w:p w:rsidR="0018407B" w:rsidRPr="0022144B" w:rsidRDefault="0018407B" w:rsidP="00C843E2">
            <w:pPr>
              <w:spacing w:after="0" w:line="240" w:lineRule="auto"/>
              <w:rPr>
                <w:rFonts w:ascii="Calibri" w:eastAsia="Times New Roman" w:hAnsi="Calibri" w:cs="Calibri"/>
                <w:color w:val="000000"/>
                <w:sz w:val="20"/>
                <w:szCs w:val="20"/>
                <w:lang w:eastAsia="pt-BR"/>
              </w:rPr>
            </w:pPr>
          </w:p>
        </w:tc>
      </w:tr>
      <w:tr w:rsidR="0018407B" w:rsidRPr="0022144B" w:rsidTr="00C843E2">
        <w:trPr>
          <w:trHeight w:val="301"/>
        </w:trPr>
        <w:tc>
          <w:tcPr>
            <w:tcW w:w="1593" w:type="dxa"/>
            <w:tcBorders>
              <w:top w:val="nil"/>
              <w:left w:val="nil"/>
              <w:bottom w:val="single" w:sz="4" w:space="0" w:color="auto"/>
              <w:right w:val="nil"/>
            </w:tcBorders>
            <w:shd w:val="clear" w:color="auto" w:fill="auto"/>
            <w:noWrap/>
            <w:vAlign w:val="bottom"/>
            <w:hideMark/>
          </w:tcPr>
          <w:p w:rsidR="0018407B" w:rsidRPr="0022144B" w:rsidRDefault="0018407B" w:rsidP="00C843E2">
            <w:pPr>
              <w:spacing w:after="0" w:line="240" w:lineRule="auto"/>
              <w:rPr>
                <w:rFonts w:ascii="Calibri" w:eastAsia="Times New Roman" w:hAnsi="Calibri" w:cs="Calibri"/>
                <w:color w:val="000000"/>
                <w:sz w:val="20"/>
                <w:szCs w:val="20"/>
                <w:lang w:eastAsia="pt-BR"/>
              </w:rPr>
            </w:pPr>
            <w:r w:rsidRPr="0022144B">
              <w:rPr>
                <w:rFonts w:ascii="Calibri" w:eastAsia="Times New Roman" w:hAnsi="Calibri" w:cs="Calibri"/>
                <w:color w:val="000000"/>
                <w:sz w:val="20"/>
                <w:szCs w:val="20"/>
                <w:lang w:eastAsia="pt-BR"/>
              </w:rPr>
              <w:t>Proc. de Dados</w:t>
            </w:r>
          </w:p>
        </w:tc>
        <w:tc>
          <w:tcPr>
            <w:tcW w:w="1374" w:type="dxa"/>
            <w:tcBorders>
              <w:top w:val="nil"/>
              <w:left w:val="nil"/>
              <w:bottom w:val="single" w:sz="4" w:space="0" w:color="auto"/>
              <w:right w:val="nil"/>
            </w:tcBorders>
            <w:shd w:val="clear" w:color="auto" w:fill="auto"/>
            <w:noWrap/>
            <w:vAlign w:val="bottom"/>
          </w:tcPr>
          <w:p w:rsidR="0018407B" w:rsidRPr="0022144B" w:rsidRDefault="0018407B" w:rsidP="009030AD">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1.</w:t>
            </w:r>
            <w:r w:rsidR="009030AD">
              <w:rPr>
                <w:rFonts w:ascii="Calibri" w:eastAsia="Times New Roman" w:hAnsi="Calibri" w:cs="Calibri"/>
                <w:color w:val="000000"/>
                <w:sz w:val="20"/>
                <w:szCs w:val="20"/>
                <w:lang w:eastAsia="pt-BR"/>
              </w:rPr>
              <w:t>227</w:t>
            </w:r>
            <w:r>
              <w:rPr>
                <w:rFonts w:ascii="Calibri" w:eastAsia="Times New Roman" w:hAnsi="Calibri" w:cs="Calibri"/>
                <w:color w:val="000000"/>
                <w:sz w:val="20"/>
                <w:szCs w:val="20"/>
                <w:lang w:eastAsia="pt-BR"/>
              </w:rPr>
              <w:t>.</w:t>
            </w:r>
            <w:r w:rsidR="009030AD">
              <w:rPr>
                <w:rFonts w:ascii="Calibri" w:eastAsia="Times New Roman" w:hAnsi="Calibri" w:cs="Calibri"/>
                <w:color w:val="000000"/>
                <w:sz w:val="20"/>
                <w:szCs w:val="20"/>
                <w:lang w:eastAsia="pt-BR"/>
              </w:rPr>
              <w:t>357</w:t>
            </w:r>
          </w:p>
        </w:tc>
        <w:tc>
          <w:tcPr>
            <w:tcW w:w="1184" w:type="dxa"/>
            <w:tcBorders>
              <w:top w:val="nil"/>
              <w:left w:val="nil"/>
              <w:bottom w:val="single" w:sz="4" w:space="0" w:color="auto"/>
              <w:right w:val="nil"/>
            </w:tcBorders>
            <w:shd w:val="clear" w:color="auto" w:fill="auto"/>
            <w:noWrap/>
            <w:vAlign w:val="bottom"/>
          </w:tcPr>
          <w:p w:rsidR="0018407B" w:rsidRPr="0022144B" w:rsidRDefault="0018407B" w:rsidP="009030AD">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 xml:space="preserve">          </w:t>
            </w:r>
          </w:p>
        </w:tc>
        <w:tc>
          <w:tcPr>
            <w:tcW w:w="1096" w:type="dxa"/>
            <w:tcBorders>
              <w:top w:val="nil"/>
              <w:left w:val="nil"/>
              <w:bottom w:val="single" w:sz="4" w:space="0" w:color="auto"/>
              <w:right w:val="nil"/>
            </w:tcBorders>
            <w:shd w:val="clear" w:color="auto" w:fill="auto"/>
            <w:noWrap/>
            <w:vAlign w:val="bottom"/>
          </w:tcPr>
          <w:p w:rsidR="0018407B" w:rsidRPr="0022144B" w:rsidRDefault="0018407B" w:rsidP="00C843E2">
            <w:pPr>
              <w:spacing w:after="0" w:line="240" w:lineRule="auto"/>
              <w:rPr>
                <w:rFonts w:ascii="Calibri" w:eastAsia="Times New Roman" w:hAnsi="Calibri" w:cs="Calibri"/>
                <w:color w:val="000000"/>
                <w:sz w:val="20"/>
                <w:szCs w:val="20"/>
                <w:lang w:eastAsia="pt-BR"/>
              </w:rPr>
            </w:pPr>
          </w:p>
        </w:tc>
        <w:tc>
          <w:tcPr>
            <w:tcW w:w="1357" w:type="dxa"/>
            <w:tcBorders>
              <w:top w:val="nil"/>
              <w:left w:val="nil"/>
              <w:bottom w:val="single" w:sz="4" w:space="0" w:color="auto"/>
              <w:right w:val="nil"/>
            </w:tcBorders>
            <w:shd w:val="clear" w:color="auto" w:fill="auto"/>
            <w:noWrap/>
            <w:vAlign w:val="bottom"/>
          </w:tcPr>
          <w:p w:rsidR="0018407B" w:rsidRPr="0022144B" w:rsidRDefault="0018407B" w:rsidP="00C843E2">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1.227.357</w:t>
            </w:r>
          </w:p>
        </w:tc>
        <w:tc>
          <w:tcPr>
            <w:tcW w:w="1497" w:type="dxa"/>
            <w:tcBorders>
              <w:top w:val="nil"/>
              <w:left w:val="nil"/>
              <w:bottom w:val="single" w:sz="4" w:space="0" w:color="auto"/>
              <w:right w:val="nil"/>
            </w:tcBorders>
            <w:shd w:val="clear" w:color="auto" w:fill="auto"/>
            <w:noWrap/>
            <w:vAlign w:val="bottom"/>
          </w:tcPr>
          <w:p w:rsidR="0018407B" w:rsidRPr="0022144B" w:rsidRDefault="0018407B" w:rsidP="004F6A4D">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w:t>
            </w:r>
            <w:r w:rsidR="009030AD">
              <w:rPr>
                <w:rFonts w:ascii="Calibri" w:eastAsia="Times New Roman" w:hAnsi="Calibri" w:cs="Calibri"/>
                <w:color w:val="000000"/>
                <w:sz w:val="20"/>
                <w:szCs w:val="20"/>
                <w:lang w:eastAsia="pt-BR"/>
              </w:rPr>
              <w:t>933</w:t>
            </w:r>
            <w:r>
              <w:rPr>
                <w:rFonts w:ascii="Calibri" w:eastAsia="Times New Roman" w:hAnsi="Calibri" w:cs="Calibri"/>
                <w:color w:val="000000"/>
                <w:sz w:val="20"/>
                <w:szCs w:val="20"/>
                <w:lang w:eastAsia="pt-BR"/>
              </w:rPr>
              <w:t>.</w:t>
            </w:r>
            <w:r w:rsidR="009030AD">
              <w:rPr>
                <w:rFonts w:ascii="Calibri" w:eastAsia="Times New Roman" w:hAnsi="Calibri" w:cs="Calibri"/>
                <w:color w:val="000000"/>
                <w:sz w:val="20"/>
                <w:szCs w:val="20"/>
                <w:lang w:eastAsia="pt-BR"/>
              </w:rPr>
              <w:t>21</w:t>
            </w:r>
            <w:r w:rsidR="004F6A4D">
              <w:rPr>
                <w:rFonts w:ascii="Calibri" w:eastAsia="Times New Roman" w:hAnsi="Calibri" w:cs="Calibri"/>
                <w:color w:val="000000"/>
                <w:sz w:val="20"/>
                <w:szCs w:val="20"/>
                <w:lang w:eastAsia="pt-BR"/>
              </w:rPr>
              <w:t>1</w:t>
            </w:r>
            <w:r>
              <w:rPr>
                <w:rFonts w:ascii="Calibri" w:eastAsia="Times New Roman" w:hAnsi="Calibri" w:cs="Calibri"/>
                <w:color w:val="000000"/>
                <w:sz w:val="20"/>
                <w:szCs w:val="20"/>
                <w:lang w:eastAsia="pt-BR"/>
              </w:rPr>
              <w:t>)</w:t>
            </w:r>
          </w:p>
        </w:tc>
        <w:tc>
          <w:tcPr>
            <w:tcW w:w="1502" w:type="dxa"/>
            <w:tcBorders>
              <w:top w:val="nil"/>
              <w:left w:val="nil"/>
              <w:bottom w:val="single" w:sz="4" w:space="0" w:color="auto"/>
              <w:right w:val="nil"/>
            </w:tcBorders>
            <w:shd w:val="clear" w:color="auto" w:fill="auto"/>
            <w:noWrap/>
            <w:vAlign w:val="bottom"/>
          </w:tcPr>
          <w:p w:rsidR="0018407B" w:rsidRPr="0022144B" w:rsidRDefault="00086871" w:rsidP="00086871">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294</w:t>
            </w:r>
            <w:r w:rsidR="0018407B">
              <w:rPr>
                <w:rFonts w:ascii="Calibri" w:eastAsia="Times New Roman" w:hAnsi="Calibri" w:cs="Calibri"/>
                <w:color w:val="000000"/>
                <w:sz w:val="20"/>
                <w:szCs w:val="20"/>
                <w:lang w:eastAsia="pt-BR"/>
              </w:rPr>
              <w:t>.</w:t>
            </w:r>
            <w:r>
              <w:rPr>
                <w:rFonts w:ascii="Calibri" w:eastAsia="Times New Roman" w:hAnsi="Calibri" w:cs="Calibri"/>
                <w:color w:val="000000"/>
                <w:sz w:val="20"/>
                <w:szCs w:val="20"/>
                <w:lang w:eastAsia="pt-BR"/>
              </w:rPr>
              <w:t>146</w:t>
            </w:r>
          </w:p>
        </w:tc>
      </w:tr>
      <w:tr w:rsidR="0018407B" w:rsidRPr="0022144B" w:rsidTr="00C843E2">
        <w:trPr>
          <w:trHeight w:val="301"/>
        </w:trPr>
        <w:tc>
          <w:tcPr>
            <w:tcW w:w="1593" w:type="dxa"/>
            <w:tcBorders>
              <w:top w:val="single" w:sz="4" w:space="0" w:color="auto"/>
              <w:left w:val="nil"/>
              <w:bottom w:val="single" w:sz="4" w:space="0" w:color="auto"/>
              <w:right w:val="nil"/>
            </w:tcBorders>
            <w:shd w:val="clear" w:color="auto" w:fill="auto"/>
            <w:noWrap/>
            <w:vAlign w:val="bottom"/>
            <w:hideMark/>
          </w:tcPr>
          <w:p w:rsidR="0018407B" w:rsidRPr="0022144B" w:rsidRDefault="0018407B" w:rsidP="00C843E2">
            <w:pPr>
              <w:spacing w:after="0" w:line="240" w:lineRule="auto"/>
              <w:rPr>
                <w:rFonts w:ascii="Calibri" w:eastAsia="Times New Roman" w:hAnsi="Calibri" w:cs="Calibri"/>
                <w:color w:val="000000"/>
                <w:sz w:val="20"/>
                <w:szCs w:val="20"/>
                <w:lang w:eastAsia="pt-BR"/>
              </w:rPr>
            </w:pPr>
            <w:r w:rsidRPr="0022144B">
              <w:rPr>
                <w:rFonts w:ascii="Calibri" w:eastAsia="Times New Roman" w:hAnsi="Calibri" w:cs="Calibri"/>
                <w:color w:val="000000"/>
                <w:sz w:val="20"/>
                <w:szCs w:val="20"/>
                <w:lang w:eastAsia="pt-BR"/>
              </w:rPr>
              <w:lastRenderedPageBreak/>
              <w:t>Biblioteca</w:t>
            </w:r>
          </w:p>
        </w:tc>
        <w:tc>
          <w:tcPr>
            <w:tcW w:w="1374" w:type="dxa"/>
            <w:tcBorders>
              <w:top w:val="single" w:sz="4" w:space="0" w:color="auto"/>
              <w:left w:val="nil"/>
              <w:bottom w:val="single" w:sz="4" w:space="0" w:color="auto"/>
              <w:right w:val="nil"/>
            </w:tcBorders>
            <w:shd w:val="clear" w:color="auto" w:fill="auto"/>
            <w:noWrap/>
            <w:vAlign w:val="bottom"/>
          </w:tcPr>
          <w:p w:rsidR="0018407B" w:rsidRPr="0022144B" w:rsidRDefault="0018407B" w:rsidP="00C843E2">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21.810</w:t>
            </w:r>
          </w:p>
        </w:tc>
        <w:tc>
          <w:tcPr>
            <w:tcW w:w="1184" w:type="dxa"/>
            <w:tcBorders>
              <w:top w:val="single" w:sz="4" w:space="0" w:color="auto"/>
              <w:left w:val="nil"/>
              <w:bottom w:val="single" w:sz="4" w:space="0" w:color="auto"/>
              <w:right w:val="nil"/>
            </w:tcBorders>
            <w:shd w:val="clear" w:color="auto" w:fill="auto"/>
            <w:noWrap/>
            <w:vAlign w:val="bottom"/>
          </w:tcPr>
          <w:p w:rsidR="0018407B" w:rsidRPr="0022144B" w:rsidRDefault="0018407B" w:rsidP="00C843E2">
            <w:pPr>
              <w:spacing w:after="0" w:line="240" w:lineRule="auto"/>
              <w:jc w:val="right"/>
              <w:rPr>
                <w:rFonts w:ascii="Calibri" w:eastAsia="Times New Roman" w:hAnsi="Calibri" w:cs="Calibri"/>
                <w:color w:val="000000"/>
                <w:sz w:val="20"/>
                <w:szCs w:val="20"/>
                <w:lang w:eastAsia="pt-BR"/>
              </w:rPr>
            </w:pPr>
          </w:p>
        </w:tc>
        <w:tc>
          <w:tcPr>
            <w:tcW w:w="1096" w:type="dxa"/>
            <w:tcBorders>
              <w:top w:val="single" w:sz="4" w:space="0" w:color="auto"/>
              <w:left w:val="nil"/>
              <w:bottom w:val="single" w:sz="4" w:space="0" w:color="auto"/>
              <w:right w:val="nil"/>
            </w:tcBorders>
            <w:shd w:val="clear" w:color="auto" w:fill="auto"/>
            <w:noWrap/>
            <w:vAlign w:val="bottom"/>
          </w:tcPr>
          <w:p w:rsidR="0018407B" w:rsidRPr="0022144B" w:rsidRDefault="0018407B" w:rsidP="00C843E2">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w:t>
            </w:r>
          </w:p>
        </w:tc>
        <w:tc>
          <w:tcPr>
            <w:tcW w:w="1357" w:type="dxa"/>
            <w:tcBorders>
              <w:top w:val="single" w:sz="4" w:space="0" w:color="auto"/>
              <w:left w:val="nil"/>
              <w:bottom w:val="single" w:sz="4" w:space="0" w:color="auto"/>
              <w:right w:val="nil"/>
            </w:tcBorders>
            <w:shd w:val="clear" w:color="auto" w:fill="auto"/>
            <w:noWrap/>
            <w:vAlign w:val="bottom"/>
          </w:tcPr>
          <w:p w:rsidR="0018407B" w:rsidRPr="0022144B" w:rsidRDefault="0018407B" w:rsidP="00C843E2">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21.810</w:t>
            </w:r>
          </w:p>
        </w:tc>
        <w:tc>
          <w:tcPr>
            <w:tcW w:w="1497" w:type="dxa"/>
            <w:tcBorders>
              <w:top w:val="single" w:sz="4" w:space="0" w:color="auto"/>
              <w:left w:val="nil"/>
              <w:bottom w:val="single" w:sz="4" w:space="0" w:color="auto"/>
              <w:right w:val="nil"/>
            </w:tcBorders>
            <w:shd w:val="clear" w:color="auto" w:fill="auto"/>
            <w:noWrap/>
            <w:vAlign w:val="bottom"/>
          </w:tcPr>
          <w:p w:rsidR="0018407B" w:rsidRPr="0022144B" w:rsidRDefault="0018407B" w:rsidP="009030AD">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w:t>
            </w:r>
            <w:r w:rsidR="009030AD">
              <w:rPr>
                <w:rFonts w:ascii="Calibri" w:eastAsia="Times New Roman" w:hAnsi="Calibri" w:cs="Calibri"/>
                <w:color w:val="000000"/>
                <w:sz w:val="20"/>
                <w:szCs w:val="20"/>
                <w:lang w:eastAsia="pt-BR"/>
              </w:rPr>
              <w:t>12</w:t>
            </w:r>
            <w:r>
              <w:rPr>
                <w:rFonts w:ascii="Calibri" w:eastAsia="Times New Roman" w:hAnsi="Calibri" w:cs="Calibri"/>
                <w:color w:val="000000"/>
                <w:sz w:val="20"/>
                <w:szCs w:val="20"/>
                <w:lang w:eastAsia="pt-BR"/>
              </w:rPr>
              <w:t>.</w:t>
            </w:r>
            <w:r w:rsidR="009030AD">
              <w:rPr>
                <w:rFonts w:ascii="Calibri" w:eastAsia="Times New Roman" w:hAnsi="Calibri" w:cs="Calibri"/>
                <w:color w:val="000000"/>
                <w:sz w:val="20"/>
                <w:szCs w:val="20"/>
                <w:lang w:eastAsia="pt-BR"/>
              </w:rPr>
              <w:t>129</w:t>
            </w:r>
            <w:r>
              <w:rPr>
                <w:rFonts w:ascii="Calibri" w:eastAsia="Times New Roman" w:hAnsi="Calibri" w:cs="Calibri"/>
                <w:color w:val="000000"/>
                <w:sz w:val="20"/>
                <w:szCs w:val="20"/>
                <w:lang w:eastAsia="pt-BR"/>
              </w:rPr>
              <w:t>)</w:t>
            </w:r>
          </w:p>
        </w:tc>
        <w:tc>
          <w:tcPr>
            <w:tcW w:w="1502" w:type="dxa"/>
            <w:tcBorders>
              <w:top w:val="single" w:sz="4" w:space="0" w:color="auto"/>
              <w:left w:val="nil"/>
              <w:bottom w:val="single" w:sz="4" w:space="0" w:color="auto"/>
              <w:right w:val="nil"/>
            </w:tcBorders>
            <w:shd w:val="clear" w:color="auto" w:fill="auto"/>
            <w:noWrap/>
            <w:vAlign w:val="bottom"/>
          </w:tcPr>
          <w:p w:rsidR="0018407B" w:rsidRPr="0022144B" w:rsidRDefault="00086871" w:rsidP="00086871">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9</w:t>
            </w:r>
            <w:r w:rsidR="0018407B">
              <w:rPr>
                <w:rFonts w:ascii="Calibri" w:eastAsia="Times New Roman" w:hAnsi="Calibri" w:cs="Calibri"/>
                <w:color w:val="000000"/>
                <w:sz w:val="20"/>
                <w:szCs w:val="20"/>
                <w:lang w:eastAsia="pt-BR"/>
              </w:rPr>
              <w:t>.</w:t>
            </w:r>
            <w:r>
              <w:rPr>
                <w:rFonts w:ascii="Calibri" w:eastAsia="Times New Roman" w:hAnsi="Calibri" w:cs="Calibri"/>
                <w:color w:val="000000"/>
                <w:sz w:val="20"/>
                <w:szCs w:val="20"/>
                <w:lang w:eastAsia="pt-BR"/>
              </w:rPr>
              <w:t>681</w:t>
            </w:r>
          </w:p>
        </w:tc>
      </w:tr>
      <w:tr w:rsidR="0018407B" w:rsidRPr="0022144B" w:rsidTr="00C843E2">
        <w:trPr>
          <w:trHeight w:val="301"/>
        </w:trPr>
        <w:tc>
          <w:tcPr>
            <w:tcW w:w="1593" w:type="dxa"/>
            <w:tcBorders>
              <w:top w:val="single" w:sz="4" w:space="0" w:color="auto"/>
              <w:left w:val="nil"/>
              <w:bottom w:val="nil"/>
              <w:right w:val="nil"/>
            </w:tcBorders>
            <w:shd w:val="clear" w:color="auto" w:fill="auto"/>
            <w:noWrap/>
            <w:vAlign w:val="bottom"/>
            <w:hideMark/>
          </w:tcPr>
          <w:p w:rsidR="0018407B" w:rsidRPr="0022144B" w:rsidRDefault="0018407B" w:rsidP="00C843E2">
            <w:pPr>
              <w:spacing w:after="0" w:line="240" w:lineRule="auto"/>
              <w:rPr>
                <w:rFonts w:ascii="Calibri" w:eastAsia="Times New Roman" w:hAnsi="Calibri" w:cs="Calibri"/>
                <w:color w:val="000000"/>
                <w:sz w:val="20"/>
                <w:szCs w:val="20"/>
                <w:lang w:eastAsia="pt-BR"/>
              </w:rPr>
            </w:pPr>
            <w:r w:rsidRPr="0022144B">
              <w:rPr>
                <w:rFonts w:ascii="Calibri" w:eastAsia="Times New Roman" w:hAnsi="Calibri" w:cs="Calibri"/>
                <w:color w:val="000000"/>
                <w:sz w:val="20"/>
                <w:szCs w:val="20"/>
                <w:lang w:eastAsia="pt-BR"/>
              </w:rPr>
              <w:t>Obras em</w:t>
            </w:r>
          </w:p>
        </w:tc>
        <w:tc>
          <w:tcPr>
            <w:tcW w:w="1374" w:type="dxa"/>
            <w:tcBorders>
              <w:top w:val="single" w:sz="4" w:space="0" w:color="auto"/>
              <w:left w:val="nil"/>
              <w:bottom w:val="nil"/>
              <w:right w:val="nil"/>
            </w:tcBorders>
            <w:shd w:val="clear" w:color="auto" w:fill="auto"/>
            <w:noWrap/>
            <w:vAlign w:val="bottom"/>
          </w:tcPr>
          <w:p w:rsidR="0018407B" w:rsidRPr="0022144B" w:rsidRDefault="0018407B" w:rsidP="00C843E2">
            <w:pPr>
              <w:spacing w:after="0" w:line="240" w:lineRule="auto"/>
              <w:rPr>
                <w:rFonts w:ascii="Calibri" w:eastAsia="Times New Roman" w:hAnsi="Calibri" w:cs="Calibri"/>
                <w:color w:val="000000"/>
                <w:sz w:val="20"/>
                <w:szCs w:val="20"/>
                <w:lang w:eastAsia="pt-BR"/>
              </w:rPr>
            </w:pPr>
          </w:p>
        </w:tc>
        <w:tc>
          <w:tcPr>
            <w:tcW w:w="1184" w:type="dxa"/>
            <w:tcBorders>
              <w:top w:val="single" w:sz="4" w:space="0" w:color="auto"/>
              <w:left w:val="nil"/>
              <w:bottom w:val="nil"/>
              <w:right w:val="nil"/>
            </w:tcBorders>
            <w:shd w:val="clear" w:color="auto" w:fill="auto"/>
            <w:noWrap/>
            <w:vAlign w:val="bottom"/>
          </w:tcPr>
          <w:p w:rsidR="0018407B" w:rsidRPr="0022144B" w:rsidRDefault="0018407B" w:rsidP="00C843E2">
            <w:pPr>
              <w:spacing w:after="0" w:line="240" w:lineRule="auto"/>
              <w:rPr>
                <w:rFonts w:ascii="Calibri" w:eastAsia="Times New Roman" w:hAnsi="Calibri" w:cs="Calibri"/>
                <w:color w:val="000000"/>
                <w:sz w:val="20"/>
                <w:szCs w:val="20"/>
                <w:lang w:eastAsia="pt-BR"/>
              </w:rPr>
            </w:pPr>
          </w:p>
        </w:tc>
        <w:tc>
          <w:tcPr>
            <w:tcW w:w="1096" w:type="dxa"/>
            <w:tcBorders>
              <w:top w:val="single" w:sz="4" w:space="0" w:color="auto"/>
              <w:left w:val="nil"/>
              <w:bottom w:val="nil"/>
              <w:right w:val="nil"/>
            </w:tcBorders>
            <w:shd w:val="clear" w:color="auto" w:fill="auto"/>
            <w:noWrap/>
            <w:vAlign w:val="bottom"/>
          </w:tcPr>
          <w:p w:rsidR="0018407B" w:rsidRPr="0022144B" w:rsidRDefault="0018407B" w:rsidP="00C843E2">
            <w:pPr>
              <w:spacing w:after="0" w:line="240" w:lineRule="auto"/>
              <w:rPr>
                <w:rFonts w:ascii="Calibri" w:eastAsia="Times New Roman" w:hAnsi="Calibri" w:cs="Calibri"/>
                <w:color w:val="000000"/>
                <w:sz w:val="20"/>
                <w:szCs w:val="20"/>
                <w:lang w:eastAsia="pt-BR"/>
              </w:rPr>
            </w:pPr>
          </w:p>
        </w:tc>
        <w:tc>
          <w:tcPr>
            <w:tcW w:w="1357" w:type="dxa"/>
            <w:tcBorders>
              <w:top w:val="single" w:sz="4" w:space="0" w:color="auto"/>
              <w:left w:val="nil"/>
              <w:bottom w:val="nil"/>
              <w:right w:val="nil"/>
            </w:tcBorders>
            <w:shd w:val="clear" w:color="auto" w:fill="auto"/>
            <w:noWrap/>
            <w:vAlign w:val="bottom"/>
          </w:tcPr>
          <w:p w:rsidR="0018407B" w:rsidRPr="0022144B" w:rsidRDefault="0018407B" w:rsidP="00C843E2">
            <w:pPr>
              <w:spacing w:after="0" w:line="240" w:lineRule="auto"/>
              <w:rPr>
                <w:rFonts w:ascii="Calibri" w:eastAsia="Times New Roman" w:hAnsi="Calibri" w:cs="Calibri"/>
                <w:color w:val="000000"/>
                <w:sz w:val="20"/>
                <w:szCs w:val="20"/>
                <w:lang w:eastAsia="pt-BR"/>
              </w:rPr>
            </w:pPr>
          </w:p>
        </w:tc>
        <w:tc>
          <w:tcPr>
            <w:tcW w:w="1497" w:type="dxa"/>
            <w:tcBorders>
              <w:top w:val="single" w:sz="4" w:space="0" w:color="auto"/>
              <w:left w:val="nil"/>
              <w:bottom w:val="nil"/>
              <w:right w:val="nil"/>
            </w:tcBorders>
            <w:shd w:val="clear" w:color="auto" w:fill="auto"/>
            <w:noWrap/>
            <w:vAlign w:val="bottom"/>
          </w:tcPr>
          <w:p w:rsidR="0018407B" w:rsidRPr="0022144B" w:rsidRDefault="0018407B" w:rsidP="00C843E2">
            <w:pPr>
              <w:spacing w:after="0" w:line="240" w:lineRule="auto"/>
              <w:rPr>
                <w:rFonts w:ascii="Calibri" w:eastAsia="Times New Roman" w:hAnsi="Calibri" w:cs="Calibri"/>
                <w:color w:val="000000"/>
                <w:sz w:val="20"/>
                <w:szCs w:val="20"/>
                <w:lang w:eastAsia="pt-BR"/>
              </w:rPr>
            </w:pPr>
          </w:p>
        </w:tc>
        <w:tc>
          <w:tcPr>
            <w:tcW w:w="1502" w:type="dxa"/>
            <w:tcBorders>
              <w:top w:val="single" w:sz="4" w:space="0" w:color="auto"/>
              <w:left w:val="nil"/>
              <w:bottom w:val="nil"/>
              <w:right w:val="nil"/>
            </w:tcBorders>
            <w:shd w:val="clear" w:color="auto" w:fill="auto"/>
            <w:noWrap/>
            <w:vAlign w:val="bottom"/>
          </w:tcPr>
          <w:p w:rsidR="0018407B" w:rsidRPr="0022144B" w:rsidRDefault="0018407B" w:rsidP="00C843E2">
            <w:pPr>
              <w:spacing w:after="0" w:line="240" w:lineRule="auto"/>
              <w:rPr>
                <w:rFonts w:ascii="Calibri" w:eastAsia="Times New Roman" w:hAnsi="Calibri" w:cs="Calibri"/>
                <w:color w:val="000000"/>
                <w:sz w:val="20"/>
                <w:szCs w:val="20"/>
                <w:lang w:eastAsia="pt-BR"/>
              </w:rPr>
            </w:pPr>
          </w:p>
        </w:tc>
      </w:tr>
      <w:tr w:rsidR="0018407B" w:rsidRPr="0022144B" w:rsidTr="00C843E2">
        <w:trPr>
          <w:trHeight w:val="301"/>
        </w:trPr>
        <w:tc>
          <w:tcPr>
            <w:tcW w:w="1593" w:type="dxa"/>
            <w:tcBorders>
              <w:top w:val="nil"/>
              <w:left w:val="nil"/>
              <w:bottom w:val="nil"/>
              <w:right w:val="nil"/>
            </w:tcBorders>
            <w:shd w:val="clear" w:color="auto" w:fill="auto"/>
            <w:noWrap/>
            <w:vAlign w:val="bottom"/>
            <w:hideMark/>
          </w:tcPr>
          <w:p w:rsidR="0018407B" w:rsidRPr="0022144B" w:rsidRDefault="0018407B" w:rsidP="00C843E2">
            <w:pPr>
              <w:spacing w:after="0" w:line="240" w:lineRule="auto"/>
              <w:rPr>
                <w:rFonts w:ascii="Calibri" w:eastAsia="Times New Roman" w:hAnsi="Calibri" w:cs="Calibri"/>
                <w:color w:val="000000"/>
                <w:sz w:val="20"/>
                <w:szCs w:val="20"/>
                <w:lang w:eastAsia="pt-BR"/>
              </w:rPr>
            </w:pPr>
            <w:r w:rsidRPr="0022144B">
              <w:rPr>
                <w:rFonts w:ascii="Calibri" w:eastAsia="Times New Roman" w:hAnsi="Calibri" w:cs="Calibri"/>
                <w:color w:val="000000"/>
                <w:sz w:val="20"/>
                <w:szCs w:val="20"/>
                <w:lang w:eastAsia="pt-BR"/>
              </w:rPr>
              <w:t>Andamento</w:t>
            </w:r>
          </w:p>
        </w:tc>
        <w:tc>
          <w:tcPr>
            <w:tcW w:w="1374" w:type="dxa"/>
            <w:tcBorders>
              <w:top w:val="nil"/>
              <w:left w:val="nil"/>
              <w:bottom w:val="nil"/>
              <w:right w:val="nil"/>
            </w:tcBorders>
            <w:shd w:val="clear" w:color="auto" w:fill="auto"/>
            <w:noWrap/>
            <w:vAlign w:val="bottom"/>
          </w:tcPr>
          <w:p w:rsidR="0018407B" w:rsidRPr="0022144B" w:rsidRDefault="0018407B" w:rsidP="009030AD">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1.</w:t>
            </w:r>
            <w:r w:rsidR="009030AD">
              <w:rPr>
                <w:rFonts w:ascii="Calibri" w:eastAsia="Times New Roman" w:hAnsi="Calibri" w:cs="Calibri"/>
                <w:color w:val="000000"/>
                <w:sz w:val="20"/>
                <w:szCs w:val="20"/>
                <w:lang w:eastAsia="pt-BR"/>
              </w:rPr>
              <w:t>412</w:t>
            </w:r>
            <w:r>
              <w:rPr>
                <w:rFonts w:ascii="Calibri" w:eastAsia="Times New Roman" w:hAnsi="Calibri" w:cs="Calibri"/>
                <w:color w:val="000000"/>
                <w:sz w:val="20"/>
                <w:szCs w:val="20"/>
                <w:lang w:eastAsia="pt-BR"/>
              </w:rPr>
              <w:t>.</w:t>
            </w:r>
            <w:r w:rsidR="009030AD">
              <w:rPr>
                <w:rFonts w:ascii="Calibri" w:eastAsia="Times New Roman" w:hAnsi="Calibri" w:cs="Calibri"/>
                <w:color w:val="000000"/>
                <w:sz w:val="20"/>
                <w:szCs w:val="20"/>
                <w:lang w:eastAsia="pt-BR"/>
              </w:rPr>
              <w:t>365</w:t>
            </w:r>
          </w:p>
        </w:tc>
        <w:tc>
          <w:tcPr>
            <w:tcW w:w="1184" w:type="dxa"/>
            <w:tcBorders>
              <w:top w:val="nil"/>
              <w:left w:val="nil"/>
              <w:bottom w:val="nil"/>
              <w:right w:val="nil"/>
            </w:tcBorders>
            <w:shd w:val="clear" w:color="auto" w:fill="auto"/>
            <w:noWrap/>
            <w:vAlign w:val="bottom"/>
          </w:tcPr>
          <w:p w:rsidR="0018407B" w:rsidRPr="0022144B" w:rsidRDefault="009030AD" w:rsidP="009030AD">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217</w:t>
            </w:r>
            <w:r w:rsidR="0018407B">
              <w:rPr>
                <w:rFonts w:ascii="Calibri" w:eastAsia="Times New Roman" w:hAnsi="Calibri" w:cs="Calibri"/>
                <w:color w:val="000000"/>
                <w:sz w:val="20"/>
                <w:szCs w:val="20"/>
                <w:lang w:eastAsia="pt-BR"/>
              </w:rPr>
              <w:t>.</w:t>
            </w:r>
            <w:r>
              <w:rPr>
                <w:rFonts w:ascii="Calibri" w:eastAsia="Times New Roman" w:hAnsi="Calibri" w:cs="Calibri"/>
                <w:color w:val="000000"/>
                <w:sz w:val="20"/>
                <w:szCs w:val="20"/>
                <w:lang w:eastAsia="pt-BR"/>
              </w:rPr>
              <w:t>616</w:t>
            </w:r>
          </w:p>
        </w:tc>
        <w:tc>
          <w:tcPr>
            <w:tcW w:w="1096" w:type="dxa"/>
            <w:tcBorders>
              <w:top w:val="nil"/>
              <w:left w:val="nil"/>
              <w:bottom w:val="nil"/>
              <w:right w:val="nil"/>
            </w:tcBorders>
            <w:shd w:val="clear" w:color="auto" w:fill="auto"/>
            <w:noWrap/>
            <w:vAlign w:val="bottom"/>
          </w:tcPr>
          <w:p w:rsidR="0018407B" w:rsidRPr="0022144B" w:rsidRDefault="0018407B" w:rsidP="00C843E2">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w:t>
            </w:r>
          </w:p>
        </w:tc>
        <w:tc>
          <w:tcPr>
            <w:tcW w:w="1357" w:type="dxa"/>
            <w:tcBorders>
              <w:top w:val="nil"/>
              <w:left w:val="nil"/>
              <w:bottom w:val="nil"/>
              <w:right w:val="nil"/>
            </w:tcBorders>
            <w:shd w:val="clear" w:color="auto" w:fill="auto"/>
            <w:noWrap/>
            <w:vAlign w:val="bottom"/>
          </w:tcPr>
          <w:p w:rsidR="0018407B" w:rsidRPr="0022144B" w:rsidRDefault="0018407B" w:rsidP="009030AD">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1.</w:t>
            </w:r>
            <w:r w:rsidR="009030AD">
              <w:rPr>
                <w:rFonts w:ascii="Calibri" w:eastAsia="Times New Roman" w:hAnsi="Calibri" w:cs="Calibri"/>
                <w:color w:val="000000"/>
                <w:sz w:val="20"/>
                <w:szCs w:val="20"/>
                <w:lang w:eastAsia="pt-BR"/>
              </w:rPr>
              <w:t>629</w:t>
            </w:r>
            <w:r>
              <w:rPr>
                <w:rFonts w:ascii="Calibri" w:eastAsia="Times New Roman" w:hAnsi="Calibri" w:cs="Calibri"/>
                <w:color w:val="000000"/>
                <w:sz w:val="20"/>
                <w:szCs w:val="20"/>
                <w:lang w:eastAsia="pt-BR"/>
              </w:rPr>
              <w:t>.</w:t>
            </w:r>
            <w:r w:rsidR="009030AD">
              <w:rPr>
                <w:rFonts w:ascii="Calibri" w:eastAsia="Times New Roman" w:hAnsi="Calibri" w:cs="Calibri"/>
                <w:color w:val="000000"/>
                <w:sz w:val="20"/>
                <w:szCs w:val="20"/>
                <w:lang w:eastAsia="pt-BR"/>
              </w:rPr>
              <w:t>981</w:t>
            </w:r>
          </w:p>
        </w:tc>
        <w:tc>
          <w:tcPr>
            <w:tcW w:w="1497" w:type="dxa"/>
            <w:tcBorders>
              <w:top w:val="nil"/>
              <w:left w:val="nil"/>
              <w:bottom w:val="nil"/>
              <w:right w:val="nil"/>
            </w:tcBorders>
            <w:shd w:val="clear" w:color="auto" w:fill="auto"/>
            <w:noWrap/>
            <w:vAlign w:val="bottom"/>
          </w:tcPr>
          <w:p w:rsidR="0018407B" w:rsidRPr="0022144B" w:rsidRDefault="0018407B" w:rsidP="00C843E2">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w:t>
            </w:r>
          </w:p>
        </w:tc>
        <w:tc>
          <w:tcPr>
            <w:tcW w:w="1502" w:type="dxa"/>
            <w:tcBorders>
              <w:top w:val="nil"/>
              <w:left w:val="nil"/>
              <w:bottom w:val="nil"/>
              <w:right w:val="nil"/>
            </w:tcBorders>
            <w:shd w:val="clear" w:color="auto" w:fill="auto"/>
            <w:noWrap/>
            <w:vAlign w:val="bottom"/>
          </w:tcPr>
          <w:p w:rsidR="0018407B" w:rsidRPr="0022144B" w:rsidRDefault="0018407B" w:rsidP="00086871">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1.</w:t>
            </w:r>
            <w:r w:rsidR="00086871">
              <w:rPr>
                <w:rFonts w:ascii="Calibri" w:eastAsia="Times New Roman" w:hAnsi="Calibri" w:cs="Calibri"/>
                <w:color w:val="000000"/>
                <w:sz w:val="20"/>
                <w:szCs w:val="20"/>
                <w:lang w:eastAsia="pt-BR"/>
              </w:rPr>
              <w:t>629</w:t>
            </w:r>
            <w:r>
              <w:rPr>
                <w:rFonts w:ascii="Calibri" w:eastAsia="Times New Roman" w:hAnsi="Calibri" w:cs="Calibri"/>
                <w:color w:val="000000"/>
                <w:sz w:val="20"/>
                <w:szCs w:val="20"/>
                <w:lang w:eastAsia="pt-BR"/>
              </w:rPr>
              <w:t>.</w:t>
            </w:r>
            <w:r w:rsidR="00086871">
              <w:rPr>
                <w:rFonts w:ascii="Calibri" w:eastAsia="Times New Roman" w:hAnsi="Calibri" w:cs="Calibri"/>
                <w:color w:val="000000"/>
                <w:sz w:val="20"/>
                <w:szCs w:val="20"/>
                <w:lang w:eastAsia="pt-BR"/>
              </w:rPr>
              <w:t>981</w:t>
            </w:r>
          </w:p>
        </w:tc>
      </w:tr>
      <w:tr w:rsidR="0018407B" w:rsidRPr="0022144B" w:rsidTr="00C843E2">
        <w:trPr>
          <w:trHeight w:val="316"/>
        </w:trPr>
        <w:tc>
          <w:tcPr>
            <w:tcW w:w="1593" w:type="dxa"/>
            <w:tcBorders>
              <w:top w:val="single" w:sz="4" w:space="0" w:color="auto"/>
              <w:left w:val="nil"/>
              <w:bottom w:val="double" w:sz="6" w:space="0" w:color="auto"/>
              <w:right w:val="nil"/>
            </w:tcBorders>
            <w:shd w:val="clear" w:color="auto" w:fill="006A71"/>
            <w:noWrap/>
            <w:vAlign w:val="bottom"/>
            <w:hideMark/>
          </w:tcPr>
          <w:p w:rsidR="0018407B" w:rsidRPr="00F2637D" w:rsidRDefault="0018407B" w:rsidP="00C843E2">
            <w:pPr>
              <w:spacing w:after="0" w:line="240" w:lineRule="auto"/>
              <w:rPr>
                <w:rFonts w:ascii="Calibri" w:eastAsia="Times New Roman" w:hAnsi="Calibri" w:cs="Calibri"/>
                <w:b/>
                <w:bCs/>
                <w:color w:val="FFFFFF" w:themeColor="background1"/>
                <w:sz w:val="20"/>
                <w:szCs w:val="20"/>
                <w:lang w:eastAsia="pt-BR"/>
              </w:rPr>
            </w:pPr>
            <w:r w:rsidRPr="00F2637D">
              <w:rPr>
                <w:rFonts w:ascii="Calibri" w:eastAsia="Times New Roman" w:hAnsi="Calibri" w:cs="Calibri"/>
                <w:b/>
                <w:bCs/>
                <w:color w:val="FFFFFF" w:themeColor="background1"/>
                <w:sz w:val="20"/>
                <w:szCs w:val="20"/>
                <w:lang w:eastAsia="pt-BR"/>
              </w:rPr>
              <w:t>Total</w:t>
            </w:r>
          </w:p>
        </w:tc>
        <w:tc>
          <w:tcPr>
            <w:tcW w:w="1374" w:type="dxa"/>
            <w:tcBorders>
              <w:top w:val="single" w:sz="4" w:space="0" w:color="auto"/>
              <w:left w:val="nil"/>
              <w:bottom w:val="double" w:sz="6" w:space="0" w:color="auto"/>
              <w:right w:val="nil"/>
            </w:tcBorders>
            <w:shd w:val="clear" w:color="auto" w:fill="006A71"/>
            <w:noWrap/>
            <w:vAlign w:val="bottom"/>
          </w:tcPr>
          <w:p w:rsidR="0018407B" w:rsidRPr="00F2637D" w:rsidRDefault="0018407B" w:rsidP="009030AD">
            <w:pPr>
              <w:spacing w:after="0" w:line="240" w:lineRule="auto"/>
              <w:jc w:val="right"/>
              <w:rPr>
                <w:rFonts w:ascii="Calibri" w:eastAsia="Times New Roman" w:hAnsi="Calibri" w:cs="Calibri"/>
                <w:b/>
                <w:bCs/>
                <w:color w:val="FFFFFF" w:themeColor="background1"/>
                <w:sz w:val="20"/>
                <w:szCs w:val="20"/>
                <w:lang w:eastAsia="pt-BR"/>
              </w:rPr>
            </w:pPr>
            <w:r w:rsidRPr="00F2637D">
              <w:rPr>
                <w:rFonts w:ascii="Calibri" w:eastAsia="Times New Roman" w:hAnsi="Calibri" w:cs="Calibri"/>
                <w:b/>
                <w:bCs/>
                <w:color w:val="FFFFFF" w:themeColor="background1"/>
                <w:sz w:val="20"/>
                <w:szCs w:val="20"/>
                <w:lang w:eastAsia="pt-BR"/>
              </w:rPr>
              <w:t>3.</w:t>
            </w:r>
            <w:r w:rsidR="009030AD">
              <w:rPr>
                <w:rFonts w:ascii="Calibri" w:eastAsia="Times New Roman" w:hAnsi="Calibri" w:cs="Calibri"/>
                <w:b/>
                <w:bCs/>
                <w:color w:val="FFFFFF" w:themeColor="background1"/>
                <w:sz w:val="20"/>
                <w:szCs w:val="20"/>
                <w:lang w:eastAsia="pt-BR"/>
              </w:rPr>
              <w:t>838</w:t>
            </w:r>
            <w:r>
              <w:rPr>
                <w:rFonts w:ascii="Calibri" w:eastAsia="Times New Roman" w:hAnsi="Calibri" w:cs="Calibri"/>
                <w:b/>
                <w:bCs/>
                <w:color w:val="FFFFFF" w:themeColor="background1"/>
                <w:sz w:val="20"/>
                <w:szCs w:val="20"/>
                <w:lang w:eastAsia="pt-BR"/>
              </w:rPr>
              <w:t>.</w:t>
            </w:r>
            <w:r w:rsidR="009030AD">
              <w:rPr>
                <w:rFonts w:ascii="Calibri" w:eastAsia="Times New Roman" w:hAnsi="Calibri" w:cs="Calibri"/>
                <w:b/>
                <w:bCs/>
                <w:color w:val="FFFFFF" w:themeColor="background1"/>
                <w:sz w:val="20"/>
                <w:szCs w:val="20"/>
                <w:lang w:eastAsia="pt-BR"/>
              </w:rPr>
              <w:t>252</w:t>
            </w:r>
          </w:p>
        </w:tc>
        <w:tc>
          <w:tcPr>
            <w:tcW w:w="1184" w:type="dxa"/>
            <w:tcBorders>
              <w:top w:val="single" w:sz="4" w:space="0" w:color="auto"/>
              <w:left w:val="nil"/>
              <w:bottom w:val="double" w:sz="6" w:space="0" w:color="auto"/>
              <w:right w:val="nil"/>
            </w:tcBorders>
            <w:shd w:val="clear" w:color="auto" w:fill="006A71"/>
            <w:noWrap/>
            <w:vAlign w:val="bottom"/>
          </w:tcPr>
          <w:p w:rsidR="0018407B" w:rsidRPr="00F2637D" w:rsidRDefault="009030AD" w:rsidP="009030AD">
            <w:pPr>
              <w:spacing w:after="0" w:line="240" w:lineRule="auto"/>
              <w:jc w:val="right"/>
              <w:rPr>
                <w:rFonts w:ascii="Calibri" w:eastAsia="Times New Roman" w:hAnsi="Calibri" w:cs="Calibri"/>
                <w:b/>
                <w:bCs/>
                <w:color w:val="FFFFFF" w:themeColor="background1"/>
                <w:sz w:val="20"/>
                <w:szCs w:val="20"/>
                <w:lang w:eastAsia="pt-BR"/>
              </w:rPr>
            </w:pPr>
            <w:r>
              <w:rPr>
                <w:rFonts w:ascii="Calibri" w:eastAsia="Times New Roman" w:hAnsi="Calibri" w:cs="Calibri"/>
                <w:b/>
                <w:bCs/>
                <w:color w:val="FFFFFF" w:themeColor="background1"/>
                <w:sz w:val="20"/>
                <w:szCs w:val="20"/>
                <w:lang w:eastAsia="pt-BR"/>
              </w:rPr>
              <w:t>325</w:t>
            </w:r>
            <w:r w:rsidR="0018407B">
              <w:rPr>
                <w:rFonts w:ascii="Calibri" w:eastAsia="Times New Roman" w:hAnsi="Calibri" w:cs="Calibri"/>
                <w:b/>
                <w:bCs/>
                <w:color w:val="FFFFFF" w:themeColor="background1"/>
                <w:sz w:val="20"/>
                <w:szCs w:val="20"/>
                <w:lang w:eastAsia="pt-BR"/>
              </w:rPr>
              <w:t>.</w:t>
            </w:r>
            <w:r>
              <w:rPr>
                <w:rFonts w:ascii="Calibri" w:eastAsia="Times New Roman" w:hAnsi="Calibri" w:cs="Calibri"/>
                <w:b/>
                <w:bCs/>
                <w:color w:val="FFFFFF" w:themeColor="background1"/>
                <w:sz w:val="20"/>
                <w:szCs w:val="20"/>
                <w:lang w:eastAsia="pt-BR"/>
              </w:rPr>
              <w:t>474</w:t>
            </w:r>
          </w:p>
        </w:tc>
        <w:tc>
          <w:tcPr>
            <w:tcW w:w="1096" w:type="dxa"/>
            <w:tcBorders>
              <w:top w:val="single" w:sz="4" w:space="0" w:color="auto"/>
              <w:left w:val="nil"/>
              <w:bottom w:val="double" w:sz="6" w:space="0" w:color="auto"/>
              <w:right w:val="nil"/>
            </w:tcBorders>
            <w:shd w:val="clear" w:color="auto" w:fill="006A71"/>
            <w:noWrap/>
            <w:vAlign w:val="bottom"/>
          </w:tcPr>
          <w:p w:rsidR="0018407B" w:rsidRPr="00F2637D" w:rsidRDefault="0018407B" w:rsidP="00C843E2">
            <w:pPr>
              <w:spacing w:after="0" w:line="240" w:lineRule="auto"/>
              <w:jc w:val="right"/>
              <w:rPr>
                <w:rFonts w:ascii="Calibri" w:eastAsia="Times New Roman" w:hAnsi="Calibri" w:cs="Calibri"/>
                <w:b/>
                <w:bCs/>
                <w:color w:val="FFFFFF" w:themeColor="background1"/>
                <w:sz w:val="20"/>
                <w:szCs w:val="20"/>
                <w:lang w:eastAsia="pt-BR"/>
              </w:rPr>
            </w:pPr>
          </w:p>
        </w:tc>
        <w:tc>
          <w:tcPr>
            <w:tcW w:w="1357" w:type="dxa"/>
            <w:tcBorders>
              <w:top w:val="single" w:sz="4" w:space="0" w:color="auto"/>
              <w:left w:val="nil"/>
              <w:bottom w:val="double" w:sz="6" w:space="0" w:color="auto"/>
              <w:right w:val="nil"/>
            </w:tcBorders>
            <w:shd w:val="clear" w:color="auto" w:fill="006A71"/>
            <w:noWrap/>
            <w:vAlign w:val="bottom"/>
          </w:tcPr>
          <w:p w:rsidR="0018407B" w:rsidRPr="00F2637D" w:rsidRDefault="009030AD" w:rsidP="009030AD">
            <w:pPr>
              <w:spacing w:after="0" w:line="240" w:lineRule="auto"/>
              <w:jc w:val="right"/>
              <w:rPr>
                <w:rFonts w:ascii="Calibri" w:eastAsia="Times New Roman" w:hAnsi="Calibri" w:cs="Calibri"/>
                <w:b/>
                <w:bCs/>
                <w:color w:val="FFFFFF" w:themeColor="background1"/>
                <w:sz w:val="20"/>
                <w:szCs w:val="20"/>
                <w:lang w:eastAsia="pt-BR"/>
              </w:rPr>
            </w:pPr>
            <w:r>
              <w:rPr>
                <w:rFonts w:ascii="Calibri" w:eastAsia="Times New Roman" w:hAnsi="Calibri" w:cs="Calibri"/>
                <w:b/>
                <w:bCs/>
                <w:color w:val="FFFFFF" w:themeColor="background1"/>
                <w:sz w:val="20"/>
                <w:szCs w:val="20"/>
                <w:lang w:eastAsia="pt-BR"/>
              </w:rPr>
              <w:t>4</w:t>
            </w:r>
            <w:r w:rsidR="0018407B">
              <w:rPr>
                <w:rFonts w:ascii="Calibri" w:eastAsia="Times New Roman" w:hAnsi="Calibri" w:cs="Calibri"/>
                <w:b/>
                <w:bCs/>
                <w:color w:val="FFFFFF" w:themeColor="background1"/>
                <w:sz w:val="20"/>
                <w:szCs w:val="20"/>
                <w:lang w:eastAsia="pt-BR"/>
              </w:rPr>
              <w:t>.</w:t>
            </w:r>
            <w:r>
              <w:rPr>
                <w:rFonts w:ascii="Calibri" w:eastAsia="Times New Roman" w:hAnsi="Calibri" w:cs="Calibri"/>
                <w:b/>
                <w:bCs/>
                <w:color w:val="FFFFFF" w:themeColor="background1"/>
                <w:sz w:val="20"/>
                <w:szCs w:val="20"/>
                <w:lang w:eastAsia="pt-BR"/>
              </w:rPr>
              <w:t>163</w:t>
            </w:r>
            <w:r w:rsidR="0018407B">
              <w:rPr>
                <w:rFonts w:ascii="Calibri" w:eastAsia="Times New Roman" w:hAnsi="Calibri" w:cs="Calibri"/>
                <w:b/>
                <w:bCs/>
                <w:color w:val="FFFFFF" w:themeColor="background1"/>
                <w:sz w:val="20"/>
                <w:szCs w:val="20"/>
                <w:lang w:eastAsia="pt-BR"/>
              </w:rPr>
              <w:t>.</w:t>
            </w:r>
            <w:r>
              <w:rPr>
                <w:rFonts w:ascii="Calibri" w:eastAsia="Times New Roman" w:hAnsi="Calibri" w:cs="Calibri"/>
                <w:b/>
                <w:bCs/>
                <w:color w:val="FFFFFF" w:themeColor="background1"/>
                <w:sz w:val="20"/>
                <w:szCs w:val="20"/>
                <w:lang w:eastAsia="pt-BR"/>
              </w:rPr>
              <w:t>726</w:t>
            </w:r>
          </w:p>
        </w:tc>
        <w:tc>
          <w:tcPr>
            <w:tcW w:w="1497" w:type="dxa"/>
            <w:tcBorders>
              <w:top w:val="single" w:sz="4" w:space="0" w:color="auto"/>
              <w:left w:val="nil"/>
              <w:bottom w:val="double" w:sz="6" w:space="0" w:color="auto"/>
              <w:right w:val="nil"/>
            </w:tcBorders>
            <w:shd w:val="clear" w:color="auto" w:fill="006A71"/>
            <w:noWrap/>
            <w:vAlign w:val="bottom"/>
          </w:tcPr>
          <w:p w:rsidR="0018407B" w:rsidRPr="00F2637D" w:rsidRDefault="0018407B" w:rsidP="004F6A4D">
            <w:pPr>
              <w:spacing w:after="0" w:line="240" w:lineRule="auto"/>
              <w:jc w:val="right"/>
              <w:rPr>
                <w:rFonts w:ascii="Calibri" w:eastAsia="Times New Roman" w:hAnsi="Calibri" w:cs="Calibri"/>
                <w:b/>
                <w:bCs/>
                <w:color w:val="FFFFFF" w:themeColor="background1"/>
                <w:sz w:val="20"/>
                <w:szCs w:val="20"/>
                <w:lang w:eastAsia="pt-BR"/>
              </w:rPr>
            </w:pPr>
            <w:r>
              <w:rPr>
                <w:rFonts w:ascii="Calibri" w:eastAsia="Times New Roman" w:hAnsi="Calibri" w:cs="Calibri"/>
                <w:b/>
                <w:bCs/>
                <w:color w:val="FFFFFF" w:themeColor="background1"/>
                <w:sz w:val="20"/>
                <w:szCs w:val="20"/>
                <w:lang w:eastAsia="pt-BR"/>
              </w:rPr>
              <w:t>(1.</w:t>
            </w:r>
            <w:r w:rsidR="004F6A4D">
              <w:rPr>
                <w:rFonts w:ascii="Calibri" w:eastAsia="Times New Roman" w:hAnsi="Calibri" w:cs="Calibri"/>
                <w:b/>
                <w:bCs/>
                <w:color w:val="FFFFFF" w:themeColor="background1"/>
                <w:sz w:val="20"/>
                <w:szCs w:val="20"/>
                <w:lang w:eastAsia="pt-BR"/>
              </w:rPr>
              <w:t>824</w:t>
            </w:r>
            <w:r>
              <w:rPr>
                <w:rFonts w:ascii="Calibri" w:eastAsia="Times New Roman" w:hAnsi="Calibri" w:cs="Calibri"/>
                <w:b/>
                <w:bCs/>
                <w:color w:val="FFFFFF" w:themeColor="background1"/>
                <w:sz w:val="20"/>
                <w:szCs w:val="20"/>
                <w:lang w:eastAsia="pt-BR"/>
              </w:rPr>
              <w:t>.</w:t>
            </w:r>
            <w:r w:rsidR="004F6A4D">
              <w:rPr>
                <w:rFonts w:ascii="Calibri" w:eastAsia="Times New Roman" w:hAnsi="Calibri" w:cs="Calibri"/>
                <w:b/>
                <w:bCs/>
                <w:color w:val="FFFFFF" w:themeColor="background1"/>
                <w:sz w:val="20"/>
                <w:szCs w:val="20"/>
                <w:lang w:eastAsia="pt-BR"/>
              </w:rPr>
              <w:t>171</w:t>
            </w:r>
            <w:r w:rsidRPr="00F2637D">
              <w:rPr>
                <w:rFonts w:ascii="Calibri" w:eastAsia="Times New Roman" w:hAnsi="Calibri" w:cs="Calibri"/>
                <w:b/>
                <w:bCs/>
                <w:color w:val="FFFFFF" w:themeColor="background1"/>
                <w:sz w:val="20"/>
                <w:szCs w:val="20"/>
                <w:lang w:eastAsia="pt-BR"/>
              </w:rPr>
              <w:t>)</w:t>
            </w:r>
          </w:p>
        </w:tc>
        <w:tc>
          <w:tcPr>
            <w:tcW w:w="1502" w:type="dxa"/>
            <w:tcBorders>
              <w:top w:val="single" w:sz="4" w:space="0" w:color="auto"/>
              <w:left w:val="nil"/>
              <w:bottom w:val="double" w:sz="6" w:space="0" w:color="auto"/>
              <w:right w:val="nil"/>
            </w:tcBorders>
            <w:shd w:val="clear" w:color="auto" w:fill="006A71"/>
            <w:noWrap/>
            <w:vAlign w:val="bottom"/>
            <w:hideMark/>
          </w:tcPr>
          <w:p w:rsidR="0018407B" w:rsidRPr="00F2637D" w:rsidRDefault="0018407B" w:rsidP="00086871">
            <w:pPr>
              <w:spacing w:after="0" w:line="240" w:lineRule="auto"/>
              <w:jc w:val="right"/>
              <w:rPr>
                <w:rFonts w:ascii="Calibri" w:eastAsia="Times New Roman" w:hAnsi="Calibri" w:cs="Calibri"/>
                <w:b/>
                <w:bCs/>
                <w:color w:val="FFFFFF" w:themeColor="background1"/>
                <w:sz w:val="20"/>
                <w:szCs w:val="20"/>
                <w:lang w:eastAsia="pt-BR"/>
              </w:rPr>
            </w:pPr>
            <w:r>
              <w:rPr>
                <w:rFonts w:ascii="Calibri" w:eastAsia="Times New Roman" w:hAnsi="Calibri" w:cs="Calibri"/>
                <w:b/>
                <w:bCs/>
                <w:color w:val="FFFFFF" w:themeColor="background1"/>
                <w:sz w:val="20"/>
                <w:szCs w:val="20"/>
                <w:lang w:eastAsia="pt-BR"/>
              </w:rPr>
              <w:t>2.</w:t>
            </w:r>
            <w:r w:rsidR="00086871">
              <w:rPr>
                <w:rFonts w:ascii="Calibri" w:eastAsia="Times New Roman" w:hAnsi="Calibri" w:cs="Calibri"/>
                <w:b/>
                <w:bCs/>
                <w:color w:val="FFFFFF" w:themeColor="background1"/>
                <w:sz w:val="20"/>
                <w:szCs w:val="20"/>
                <w:lang w:eastAsia="pt-BR"/>
              </w:rPr>
              <w:t>339</w:t>
            </w:r>
            <w:r>
              <w:rPr>
                <w:rFonts w:ascii="Calibri" w:eastAsia="Times New Roman" w:hAnsi="Calibri" w:cs="Calibri"/>
                <w:b/>
                <w:bCs/>
                <w:color w:val="FFFFFF" w:themeColor="background1"/>
                <w:sz w:val="20"/>
                <w:szCs w:val="20"/>
                <w:lang w:eastAsia="pt-BR"/>
              </w:rPr>
              <w:t>.</w:t>
            </w:r>
            <w:r w:rsidR="00086871">
              <w:rPr>
                <w:rFonts w:ascii="Calibri" w:eastAsia="Times New Roman" w:hAnsi="Calibri" w:cs="Calibri"/>
                <w:b/>
                <w:bCs/>
                <w:color w:val="FFFFFF" w:themeColor="background1"/>
                <w:sz w:val="20"/>
                <w:szCs w:val="20"/>
                <w:lang w:eastAsia="pt-BR"/>
              </w:rPr>
              <w:t>555</w:t>
            </w:r>
          </w:p>
        </w:tc>
      </w:tr>
    </w:tbl>
    <w:p w:rsidR="0018407B" w:rsidRDefault="0018407B" w:rsidP="0018407B">
      <w:pPr>
        <w:spacing w:after="0" w:line="240" w:lineRule="auto"/>
        <w:jc w:val="both"/>
        <w:rPr>
          <w:rFonts w:ascii="Times New Roman" w:eastAsia="Times New Roman" w:hAnsi="Times New Roman" w:cs="Times New Roman"/>
          <w:sz w:val="24"/>
          <w:szCs w:val="24"/>
          <w:lang w:eastAsia="pt-BR"/>
        </w:rPr>
      </w:pPr>
    </w:p>
    <w:p w:rsidR="00086871" w:rsidRDefault="00086871" w:rsidP="0018407B">
      <w:pPr>
        <w:spacing w:after="0" w:line="240" w:lineRule="auto"/>
        <w:jc w:val="both"/>
        <w:rPr>
          <w:rFonts w:ascii="Times New Roman" w:eastAsia="Times New Roman" w:hAnsi="Times New Roman" w:cs="Times New Roman"/>
          <w:sz w:val="24"/>
          <w:szCs w:val="24"/>
          <w:lang w:eastAsia="pt-BR"/>
        </w:rPr>
      </w:pPr>
    </w:p>
    <w:p w:rsidR="0018407B" w:rsidRDefault="0018407B" w:rsidP="0018407B">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10. </w:t>
      </w:r>
      <w:r w:rsidRPr="00AA4C7C">
        <w:rPr>
          <w:rFonts w:ascii="Times New Roman" w:eastAsia="Times New Roman" w:hAnsi="Times New Roman" w:cs="Times New Roman"/>
          <w:b/>
          <w:sz w:val="24"/>
          <w:szCs w:val="24"/>
          <w:lang w:eastAsia="pt-BR"/>
        </w:rPr>
        <w:t>Intangível</w:t>
      </w:r>
    </w:p>
    <w:p w:rsidR="0018407B" w:rsidRPr="00AA4C7C" w:rsidRDefault="0018407B" w:rsidP="0018407B">
      <w:pPr>
        <w:spacing w:after="0" w:line="240" w:lineRule="auto"/>
        <w:jc w:val="both"/>
        <w:rPr>
          <w:rFonts w:ascii="Times New Roman" w:eastAsia="Times New Roman" w:hAnsi="Times New Roman" w:cs="Times New Roman"/>
          <w:b/>
          <w:sz w:val="24"/>
          <w:szCs w:val="24"/>
          <w:lang w:eastAsia="pt-BR"/>
        </w:rPr>
      </w:pPr>
    </w:p>
    <w:p w:rsidR="0018407B"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xml:space="preserve">A composição do Intangível do Conselho de Arquitetura e Urbanismo </w:t>
      </w:r>
      <w:r>
        <w:rPr>
          <w:rFonts w:ascii="Times New Roman" w:eastAsia="Times New Roman" w:hAnsi="Times New Roman" w:cs="Times New Roman"/>
          <w:sz w:val="24"/>
          <w:szCs w:val="24"/>
          <w:lang w:eastAsia="pt-BR"/>
        </w:rPr>
        <w:t>do Brasil em 31/12/202</w:t>
      </w:r>
      <w:r w:rsidR="00A10B10">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 xml:space="preserve"> é de R$ 1</w:t>
      </w:r>
      <w:r w:rsidR="00A10B10">
        <w:rPr>
          <w:rFonts w:ascii="Times New Roman" w:eastAsia="Times New Roman" w:hAnsi="Times New Roman" w:cs="Times New Roman"/>
          <w:sz w:val="24"/>
          <w:szCs w:val="24"/>
          <w:lang w:eastAsia="pt-BR"/>
        </w:rPr>
        <w:t>8</w:t>
      </w:r>
      <w:r>
        <w:rPr>
          <w:rFonts w:ascii="Times New Roman" w:eastAsia="Times New Roman" w:hAnsi="Times New Roman" w:cs="Times New Roman"/>
          <w:sz w:val="24"/>
          <w:szCs w:val="24"/>
          <w:lang w:eastAsia="pt-BR"/>
        </w:rPr>
        <w:t>.</w:t>
      </w:r>
      <w:r w:rsidR="00A10B10">
        <w:rPr>
          <w:rFonts w:ascii="Times New Roman" w:eastAsia="Times New Roman" w:hAnsi="Times New Roman" w:cs="Times New Roman"/>
          <w:sz w:val="24"/>
          <w:szCs w:val="24"/>
          <w:lang w:eastAsia="pt-BR"/>
        </w:rPr>
        <w:t>458</w:t>
      </w:r>
      <w:r>
        <w:rPr>
          <w:rFonts w:ascii="Times New Roman" w:eastAsia="Times New Roman" w:hAnsi="Times New Roman" w:cs="Times New Roman"/>
          <w:sz w:val="24"/>
          <w:szCs w:val="24"/>
          <w:lang w:eastAsia="pt-BR"/>
        </w:rPr>
        <w:t>.</w:t>
      </w:r>
      <w:r w:rsidR="00A10B10">
        <w:rPr>
          <w:rFonts w:ascii="Times New Roman" w:eastAsia="Times New Roman" w:hAnsi="Times New Roman" w:cs="Times New Roman"/>
          <w:sz w:val="24"/>
          <w:szCs w:val="24"/>
          <w:lang w:eastAsia="pt-BR"/>
        </w:rPr>
        <w:t>529</w:t>
      </w:r>
      <w:r w:rsidRPr="00CE2B53">
        <w:rPr>
          <w:rFonts w:ascii="Times New Roman" w:eastAsia="Times New Roman" w:hAnsi="Times New Roman" w:cs="Times New Roman"/>
          <w:sz w:val="24"/>
          <w:szCs w:val="24"/>
          <w:lang w:eastAsia="pt-BR"/>
        </w:rPr>
        <w:t xml:space="preserve"> (</w:t>
      </w:r>
      <w:r w:rsidR="00A10B10">
        <w:rPr>
          <w:rFonts w:ascii="Times New Roman" w:eastAsia="Times New Roman" w:hAnsi="Times New Roman" w:cs="Times New Roman"/>
          <w:sz w:val="24"/>
          <w:szCs w:val="24"/>
          <w:lang w:eastAsia="pt-BR"/>
        </w:rPr>
        <w:t xml:space="preserve">dezoito </w:t>
      </w:r>
      <w:r>
        <w:rPr>
          <w:rFonts w:ascii="Times New Roman" w:eastAsia="Times New Roman" w:hAnsi="Times New Roman" w:cs="Times New Roman"/>
          <w:sz w:val="24"/>
          <w:szCs w:val="24"/>
          <w:lang w:eastAsia="pt-BR"/>
        </w:rPr>
        <w:t xml:space="preserve">milhões, </w:t>
      </w:r>
      <w:r w:rsidR="00A10B10">
        <w:rPr>
          <w:rFonts w:ascii="Times New Roman" w:eastAsia="Times New Roman" w:hAnsi="Times New Roman" w:cs="Times New Roman"/>
          <w:sz w:val="24"/>
          <w:szCs w:val="24"/>
          <w:lang w:eastAsia="pt-BR"/>
        </w:rPr>
        <w:t xml:space="preserve">quatrocentos </w:t>
      </w:r>
      <w:r>
        <w:rPr>
          <w:rFonts w:ascii="Times New Roman" w:eastAsia="Times New Roman" w:hAnsi="Times New Roman" w:cs="Times New Roman"/>
          <w:sz w:val="24"/>
          <w:szCs w:val="24"/>
          <w:lang w:eastAsia="pt-BR"/>
        </w:rPr>
        <w:t xml:space="preserve">e </w:t>
      </w:r>
      <w:r w:rsidR="00A10B10">
        <w:rPr>
          <w:rFonts w:ascii="Times New Roman" w:eastAsia="Times New Roman" w:hAnsi="Times New Roman" w:cs="Times New Roman"/>
          <w:sz w:val="24"/>
          <w:szCs w:val="24"/>
          <w:lang w:eastAsia="pt-BR"/>
        </w:rPr>
        <w:t xml:space="preserve">cinquenta e oito mil </w:t>
      </w:r>
      <w:r>
        <w:rPr>
          <w:rFonts w:ascii="Times New Roman" w:eastAsia="Times New Roman" w:hAnsi="Times New Roman" w:cs="Times New Roman"/>
          <w:sz w:val="24"/>
          <w:szCs w:val="24"/>
          <w:lang w:eastAsia="pt-BR"/>
        </w:rPr>
        <w:t xml:space="preserve">e </w:t>
      </w:r>
      <w:r w:rsidR="00A10B10">
        <w:rPr>
          <w:rFonts w:ascii="Times New Roman" w:eastAsia="Times New Roman" w:hAnsi="Times New Roman" w:cs="Times New Roman"/>
          <w:sz w:val="24"/>
          <w:szCs w:val="24"/>
          <w:lang w:eastAsia="pt-BR"/>
        </w:rPr>
        <w:t xml:space="preserve">quinhentos e vinte nove </w:t>
      </w:r>
      <w:r>
        <w:rPr>
          <w:rFonts w:ascii="Times New Roman" w:eastAsia="Times New Roman" w:hAnsi="Times New Roman" w:cs="Times New Roman"/>
          <w:sz w:val="24"/>
          <w:szCs w:val="24"/>
          <w:lang w:eastAsia="pt-BR"/>
        </w:rPr>
        <w:t>reais</w:t>
      </w:r>
      <w:r w:rsidRPr="00CE2B53">
        <w:rPr>
          <w:rFonts w:ascii="Times New Roman" w:eastAsia="Times New Roman" w:hAnsi="Times New Roman" w:cs="Times New Roman"/>
          <w:sz w:val="24"/>
          <w:szCs w:val="24"/>
          <w:lang w:eastAsia="pt-BR"/>
        </w:rPr>
        <w:t>), composto da seguinte forma:</w:t>
      </w:r>
    </w:p>
    <w:p w:rsidR="0018407B" w:rsidRDefault="0018407B" w:rsidP="0018407B">
      <w:pPr>
        <w:spacing w:after="0" w:line="240" w:lineRule="auto"/>
        <w:jc w:val="both"/>
        <w:rPr>
          <w:rFonts w:ascii="Times New Roman" w:eastAsia="Times New Roman" w:hAnsi="Times New Roman" w:cs="Times New Roman"/>
          <w:sz w:val="24"/>
          <w:szCs w:val="24"/>
          <w:lang w:eastAsia="pt-BR"/>
        </w:rPr>
      </w:pPr>
    </w:p>
    <w:p w:rsidR="0018407B" w:rsidRDefault="0018407B" w:rsidP="0018407B">
      <w:pPr>
        <w:spacing w:after="0" w:line="240" w:lineRule="auto"/>
        <w:jc w:val="both"/>
        <w:rPr>
          <w:rFonts w:ascii="Calibri" w:eastAsia="Times New Roman" w:hAnsi="Calibri" w:cs="Calibri"/>
          <w:b/>
          <w:bCs/>
          <w:color w:val="000000"/>
          <w:sz w:val="20"/>
          <w:szCs w:val="20"/>
          <w:lang w:eastAsia="pt-BR"/>
        </w:rPr>
      </w:pPr>
      <w:r w:rsidRPr="00C25014">
        <w:rPr>
          <w:rFonts w:ascii="Calibri" w:eastAsia="Times New Roman" w:hAnsi="Calibri" w:cs="Calibri"/>
          <w:b/>
          <w:bCs/>
          <w:color w:val="000000"/>
          <w:sz w:val="20"/>
          <w:szCs w:val="20"/>
          <w:lang w:eastAsia="pt-BR"/>
        </w:rPr>
        <w:t>Movimento do Ativo Intangível</w:t>
      </w:r>
      <w:r>
        <w:rPr>
          <w:rFonts w:ascii="Calibri" w:eastAsia="Times New Roman" w:hAnsi="Calibri" w:cs="Calibri"/>
          <w:b/>
          <w:bCs/>
          <w:color w:val="000000"/>
          <w:sz w:val="20"/>
          <w:szCs w:val="20"/>
          <w:lang w:eastAsia="pt-BR"/>
        </w:rPr>
        <w:t>:</w:t>
      </w:r>
    </w:p>
    <w:p w:rsidR="0018407B" w:rsidRDefault="0018407B" w:rsidP="0018407B">
      <w:pPr>
        <w:spacing w:after="0" w:line="240" w:lineRule="auto"/>
        <w:jc w:val="both"/>
        <w:rPr>
          <w:rFonts w:ascii="Times New Roman" w:eastAsia="Times New Roman" w:hAnsi="Times New Roman" w:cs="Times New Roman"/>
          <w:sz w:val="24"/>
          <w:szCs w:val="24"/>
          <w:lang w:eastAsia="pt-BR"/>
        </w:rPr>
      </w:pPr>
    </w:p>
    <w:tbl>
      <w:tblPr>
        <w:tblW w:w="9938" w:type="dxa"/>
        <w:tblInd w:w="55" w:type="dxa"/>
        <w:tblCellMar>
          <w:left w:w="70" w:type="dxa"/>
          <w:right w:w="70" w:type="dxa"/>
        </w:tblCellMar>
        <w:tblLook w:val="04A0" w:firstRow="1" w:lastRow="0" w:firstColumn="1" w:lastColumn="0" w:noHBand="0" w:noVBand="1"/>
      </w:tblPr>
      <w:tblGrid>
        <w:gridCol w:w="1851"/>
        <w:gridCol w:w="1348"/>
        <w:gridCol w:w="1347"/>
        <w:gridCol w:w="1068"/>
        <w:gridCol w:w="1347"/>
        <w:gridCol w:w="1486"/>
        <w:gridCol w:w="1491"/>
      </w:tblGrid>
      <w:tr w:rsidR="0018407B" w:rsidRPr="00C25014" w:rsidTr="00C843E2">
        <w:trPr>
          <w:trHeight w:val="300"/>
        </w:trPr>
        <w:tc>
          <w:tcPr>
            <w:tcW w:w="3199" w:type="dxa"/>
            <w:gridSpan w:val="2"/>
            <w:tcBorders>
              <w:top w:val="nil"/>
              <w:left w:val="nil"/>
              <w:bottom w:val="nil"/>
              <w:right w:val="nil"/>
            </w:tcBorders>
            <w:shd w:val="clear" w:color="auto" w:fill="006A71"/>
            <w:noWrap/>
            <w:vAlign w:val="bottom"/>
            <w:hideMark/>
          </w:tcPr>
          <w:p w:rsidR="0018407B" w:rsidRPr="00F2637D" w:rsidRDefault="0018407B" w:rsidP="00C843E2">
            <w:pPr>
              <w:spacing w:after="0" w:line="240" w:lineRule="auto"/>
              <w:rPr>
                <w:rFonts w:ascii="Calibri" w:eastAsia="Times New Roman" w:hAnsi="Calibri" w:cs="Calibri"/>
                <w:b/>
                <w:bCs/>
                <w:color w:val="FFFFFF" w:themeColor="background1"/>
                <w:sz w:val="20"/>
                <w:szCs w:val="20"/>
                <w:lang w:eastAsia="pt-BR"/>
              </w:rPr>
            </w:pPr>
          </w:p>
        </w:tc>
        <w:tc>
          <w:tcPr>
            <w:tcW w:w="1347" w:type="dxa"/>
            <w:tcBorders>
              <w:top w:val="nil"/>
              <w:left w:val="nil"/>
              <w:bottom w:val="nil"/>
              <w:right w:val="nil"/>
            </w:tcBorders>
            <w:shd w:val="clear" w:color="auto" w:fill="006A71"/>
            <w:noWrap/>
            <w:vAlign w:val="bottom"/>
            <w:hideMark/>
          </w:tcPr>
          <w:p w:rsidR="0018407B" w:rsidRPr="00F2637D" w:rsidRDefault="0018407B" w:rsidP="00C843E2">
            <w:pPr>
              <w:spacing w:after="0" w:line="240" w:lineRule="auto"/>
              <w:rPr>
                <w:rFonts w:ascii="Calibri" w:eastAsia="Times New Roman" w:hAnsi="Calibri" w:cs="Calibri"/>
                <w:color w:val="FFFFFF" w:themeColor="background1"/>
                <w:sz w:val="20"/>
                <w:szCs w:val="20"/>
                <w:lang w:eastAsia="pt-BR"/>
              </w:rPr>
            </w:pPr>
          </w:p>
        </w:tc>
        <w:tc>
          <w:tcPr>
            <w:tcW w:w="1068" w:type="dxa"/>
            <w:tcBorders>
              <w:top w:val="nil"/>
              <w:left w:val="nil"/>
              <w:bottom w:val="nil"/>
              <w:right w:val="nil"/>
            </w:tcBorders>
            <w:shd w:val="clear" w:color="auto" w:fill="006A71"/>
            <w:noWrap/>
            <w:vAlign w:val="bottom"/>
            <w:hideMark/>
          </w:tcPr>
          <w:p w:rsidR="0018407B" w:rsidRPr="00F2637D" w:rsidRDefault="0018407B" w:rsidP="00C843E2">
            <w:pPr>
              <w:spacing w:after="0" w:line="240" w:lineRule="auto"/>
              <w:rPr>
                <w:rFonts w:ascii="Calibri" w:eastAsia="Times New Roman" w:hAnsi="Calibri" w:cs="Calibri"/>
                <w:color w:val="FFFFFF" w:themeColor="background1"/>
                <w:sz w:val="20"/>
                <w:szCs w:val="20"/>
                <w:lang w:eastAsia="pt-BR"/>
              </w:rPr>
            </w:pPr>
          </w:p>
        </w:tc>
        <w:tc>
          <w:tcPr>
            <w:tcW w:w="1347" w:type="dxa"/>
            <w:tcBorders>
              <w:top w:val="nil"/>
              <w:left w:val="nil"/>
              <w:bottom w:val="nil"/>
              <w:right w:val="nil"/>
            </w:tcBorders>
            <w:shd w:val="clear" w:color="auto" w:fill="006A71"/>
            <w:noWrap/>
            <w:vAlign w:val="bottom"/>
            <w:hideMark/>
          </w:tcPr>
          <w:p w:rsidR="0018407B" w:rsidRPr="00F2637D" w:rsidRDefault="0018407B" w:rsidP="00C843E2">
            <w:pPr>
              <w:spacing w:after="0" w:line="240" w:lineRule="auto"/>
              <w:rPr>
                <w:rFonts w:ascii="Calibri" w:eastAsia="Times New Roman" w:hAnsi="Calibri" w:cs="Calibri"/>
                <w:color w:val="FFFFFF" w:themeColor="background1"/>
                <w:lang w:eastAsia="pt-BR"/>
              </w:rPr>
            </w:pPr>
          </w:p>
        </w:tc>
        <w:tc>
          <w:tcPr>
            <w:tcW w:w="1486" w:type="dxa"/>
            <w:tcBorders>
              <w:top w:val="nil"/>
              <w:left w:val="nil"/>
              <w:bottom w:val="nil"/>
              <w:right w:val="nil"/>
            </w:tcBorders>
            <w:shd w:val="clear" w:color="auto" w:fill="006A71"/>
            <w:noWrap/>
            <w:vAlign w:val="bottom"/>
            <w:hideMark/>
          </w:tcPr>
          <w:p w:rsidR="0018407B" w:rsidRPr="00F2637D" w:rsidRDefault="0018407B" w:rsidP="00C843E2">
            <w:pPr>
              <w:spacing w:after="0" w:line="240" w:lineRule="auto"/>
              <w:jc w:val="center"/>
              <w:rPr>
                <w:rFonts w:ascii="Calibri" w:eastAsia="Times New Roman" w:hAnsi="Calibri" w:cs="Calibri"/>
                <w:b/>
                <w:bCs/>
                <w:color w:val="FFFFFF" w:themeColor="background1"/>
                <w:sz w:val="20"/>
                <w:szCs w:val="20"/>
                <w:lang w:eastAsia="pt-BR"/>
              </w:rPr>
            </w:pPr>
            <w:r w:rsidRPr="00F2637D">
              <w:rPr>
                <w:rFonts w:ascii="Calibri" w:eastAsia="Times New Roman" w:hAnsi="Calibri" w:cs="Calibri"/>
                <w:b/>
                <w:bCs/>
                <w:color w:val="FFFFFF" w:themeColor="background1"/>
                <w:sz w:val="20"/>
                <w:szCs w:val="20"/>
                <w:lang w:eastAsia="pt-BR"/>
              </w:rPr>
              <w:t>Amortização</w:t>
            </w:r>
          </w:p>
        </w:tc>
        <w:tc>
          <w:tcPr>
            <w:tcW w:w="1491" w:type="dxa"/>
            <w:tcBorders>
              <w:top w:val="nil"/>
              <w:left w:val="nil"/>
              <w:bottom w:val="nil"/>
              <w:right w:val="nil"/>
            </w:tcBorders>
            <w:shd w:val="clear" w:color="auto" w:fill="006A71"/>
            <w:noWrap/>
            <w:vAlign w:val="bottom"/>
            <w:hideMark/>
          </w:tcPr>
          <w:p w:rsidR="0018407B" w:rsidRPr="00F2637D" w:rsidRDefault="0018407B" w:rsidP="00C843E2">
            <w:pPr>
              <w:spacing w:after="0" w:line="240" w:lineRule="auto"/>
              <w:rPr>
                <w:rFonts w:ascii="Calibri" w:eastAsia="Times New Roman" w:hAnsi="Calibri" w:cs="Calibri"/>
                <w:color w:val="FFFFFF" w:themeColor="background1"/>
                <w:lang w:eastAsia="pt-BR"/>
              </w:rPr>
            </w:pPr>
          </w:p>
        </w:tc>
      </w:tr>
      <w:tr w:rsidR="0018407B" w:rsidRPr="00C25014" w:rsidTr="00C843E2">
        <w:trPr>
          <w:trHeight w:val="315"/>
        </w:trPr>
        <w:tc>
          <w:tcPr>
            <w:tcW w:w="1851" w:type="dxa"/>
            <w:tcBorders>
              <w:top w:val="nil"/>
              <w:left w:val="nil"/>
              <w:bottom w:val="nil"/>
              <w:right w:val="nil"/>
            </w:tcBorders>
            <w:shd w:val="clear" w:color="auto" w:fill="006A71"/>
            <w:noWrap/>
            <w:vAlign w:val="bottom"/>
            <w:hideMark/>
          </w:tcPr>
          <w:p w:rsidR="0018407B" w:rsidRPr="00F2637D" w:rsidRDefault="0018407B" w:rsidP="00C843E2">
            <w:pPr>
              <w:spacing w:after="0" w:line="240" w:lineRule="auto"/>
              <w:jc w:val="center"/>
              <w:rPr>
                <w:rFonts w:ascii="Calibri" w:eastAsia="Times New Roman" w:hAnsi="Calibri" w:cs="Calibri"/>
                <w:b/>
                <w:color w:val="FFFFFF" w:themeColor="background1"/>
                <w:sz w:val="20"/>
                <w:szCs w:val="20"/>
                <w:lang w:eastAsia="pt-BR"/>
              </w:rPr>
            </w:pPr>
            <w:r w:rsidRPr="00F2637D">
              <w:rPr>
                <w:rFonts w:ascii="Calibri" w:eastAsia="Times New Roman" w:hAnsi="Calibri" w:cs="Calibri"/>
                <w:b/>
                <w:color w:val="FFFFFF" w:themeColor="background1"/>
                <w:sz w:val="20"/>
                <w:szCs w:val="20"/>
                <w:lang w:eastAsia="pt-BR"/>
              </w:rPr>
              <w:t>Tipo de</w:t>
            </w:r>
          </w:p>
        </w:tc>
        <w:tc>
          <w:tcPr>
            <w:tcW w:w="1348" w:type="dxa"/>
            <w:tcBorders>
              <w:top w:val="nil"/>
              <w:left w:val="nil"/>
              <w:bottom w:val="nil"/>
              <w:right w:val="nil"/>
            </w:tcBorders>
            <w:shd w:val="clear" w:color="auto" w:fill="006A71"/>
            <w:noWrap/>
            <w:vAlign w:val="bottom"/>
            <w:hideMark/>
          </w:tcPr>
          <w:p w:rsidR="0018407B" w:rsidRPr="00F2637D" w:rsidRDefault="0018407B" w:rsidP="00C843E2">
            <w:pPr>
              <w:spacing w:after="0" w:line="240" w:lineRule="auto"/>
              <w:rPr>
                <w:rFonts w:ascii="Calibri" w:eastAsia="Times New Roman" w:hAnsi="Calibri" w:cs="Calibri"/>
                <w:b/>
                <w:bCs/>
                <w:color w:val="FFFFFF" w:themeColor="background1"/>
                <w:lang w:eastAsia="pt-BR"/>
              </w:rPr>
            </w:pPr>
          </w:p>
        </w:tc>
        <w:tc>
          <w:tcPr>
            <w:tcW w:w="1347" w:type="dxa"/>
            <w:tcBorders>
              <w:top w:val="nil"/>
              <w:left w:val="nil"/>
              <w:bottom w:val="nil"/>
              <w:right w:val="nil"/>
            </w:tcBorders>
            <w:shd w:val="clear" w:color="auto" w:fill="006A71"/>
            <w:noWrap/>
            <w:vAlign w:val="bottom"/>
            <w:hideMark/>
          </w:tcPr>
          <w:p w:rsidR="0018407B" w:rsidRPr="00F2637D" w:rsidRDefault="0018407B" w:rsidP="00C843E2">
            <w:pPr>
              <w:spacing w:after="0" w:line="240" w:lineRule="auto"/>
              <w:rPr>
                <w:rFonts w:ascii="Calibri" w:eastAsia="Times New Roman" w:hAnsi="Calibri" w:cs="Calibri"/>
                <w:b/>
                <w:bCs/>
                <w:color w:val="FFFFFF" w:themeColor="background1"/>
                <w:lang w:eastAsia="pt-BR"/>
              </w:rPr>
            </w:pPr>
          </w:p>
        </w:tc>
        <w:tc>
          <w:tcPr>
            <w:tcW w:w="1068" w:type="dxa"/>
            <w:tcBorders>
              <w:top w:val="nil"/>
              <w:left w:val="nil"/>
              <w:bottom w:val="nil"/>
              <w:right w:val="nil"/>
            </w:tcBorders>
            <w:shd w:val="clear" w:color="auto" w:fill="006A71"/>
            <w:noWrap/>
            <w:vAlign w:val="bottom"/>
            <w:hideMark/>
          </w:tcPr>
          <w:p w:rsidR="0018407B" w:rsidRPr="00F2637D" w:rsidRDefault="0018407B" w:rsidP="00C843E2">
            <w:pPr>
              <w:spacing w:after="0" w:line="240" w:lineRule="auto"/>
              <w:rPr>
                <w:rFonts w:ascii="Calibri" w:eastAsia="Times New Roman" w:hAnsi="Calibri" w:cs="Calibri"/>
                <w:b/>
                <w:bCs/>
                <w:color w:val="FFFFFF" w:themeColor="background1"/>
                <w:lang w:eastAsia="pt-BR"/>
              </w:rPr>
            </w:pPr>
          </w:p>
        </w:tc>
        <w:tc>
          <w:tcPr>
            <w:tcW w:w="1347" w:type="dxa"/>
            <w:tcBorders>
              <w:top w:val="nil"/>
              <w:left w:val="nil"/>
              <w:bottom w:val="nil"/>
              <w:right w:val="nil"/>
            </w:tcBorders>
            <w:shd w:val="clear" w:color="auto" w:fill="006A71"/>
            <w:noWrap/>
            <w:vAlign w:val="bottom"/>
            <w:hideMark/>
          </w:tcPr>
          <w:p w:rsidR="0018407B" w:rsidRPr="00F2637D" w:rsidRDefault="0018407B" w:rsidP="00C843E2">
            <w:pPr>
              <w:spacing w:after="0" w:line="240" w:lineRule="auto"/>
              <w:rPr>
                <w:rFonts w:ascii="Calibri" w:eastAsia="Times New Roman" w:hAnsi="Calibri" w:cs="Calibri"/>
                <w:b/>
                <w:bCs/>
                <w:color w:val="FFFFFF" w:themeColor="background1"/>
                <w:lang w:eastAsia="pt-BR"/>
              </w:rPr>
            </w:pPr>
          </w:p>
        </w:tc>
        <w:tc>
          <w:tcPr>
            <w:tcW w:w="1486" w:type="dxa"/>
            <w:tcBorders>
              <w:top w:val="nil"/>
              <w:left w:val="nil"/>
              <w:bottom w:val="single" w:sz="8" w:space="0" w:color="auto"/>
              <w:right w:val="nil"/>
            </w:tcBorders>
            <w:shd w:val="clear" w:color="auto" w:fill="006A71"/>
            <w:noWrap/>
            <w:vAlign w:val="bottom"/>
            <w:hideMark/>
          </w:tcPr>
          <w:p w:rsidR="0018407B" w:rsidRPr="00F2637D" w:rsidRDefault="0018407B" w:rsidP="00C843E2">
            <w:pPr>
              <w:spacing w:after="0" w:line="240" w:lineRule="auto"/>
              <w:jc w:val="center"/>
              <w:rPr>
                <w:rFonts w:ascii="Calibri" w:eastAsia="Times New Roman" w:hAnsi="Calibri" w:cs="Calibri"/>
                <w:b/>
                <w:bCs/>
                <w:color w:val="FFFFFF" w:themeColor="background1"/>
                <w:sz w:val="20"/>
                <w:szCs w:val="20"/>
                <w:lang w:eastAsia="pt-BR"/>
              </w:rPr>
            </w:pPr>
            <w:r w:rsidRPr="00F2637D">
              <w:rPr>
                <w:rFonts w:ascii="Calibri" w:eastAsia="Times New Roman" w:hAnsi="Calibri" w:cs="Calibri"/>
                <w:b/>
                <w:bCs/>
                <w:color w:val="FFFFFF" w:themeColor="background1"/>
                <w:sz w:val="20"/>
                <w:szCs w:val="20"/>
                <w:lang w:eastAsia="pt-BR"/>
              </w:rPr>
              <w:t>Acumulada</w:t>
            </w:r>
          </w:p>
        </w:tc>
        <w:tc>
          <w:tcPr>
            <w:tcW w:w="1491" w:type="dxa"/>
            <w:tcBorders>
              <w:top w:val="nil"/>
              <w:left w:val="nil"/>
              <w:bottom w:val="nil"/>
              <w:right w:val="nil"/>
            </w:tcBorders>
            <w:shd w:val="clear" w:color="auto" w:fill="006A71"/>
            <w:noWrap/>
            <w:vAlign w:val="bottom"/>
            <w:hideMark/>
          </w:tcPr>
          <w:p w:rsidR="0018407B" w:rsidRPr="00F2637D" w:rsidRDefault="0018407B" w:rsidP="00C843E2">
            <w:pPr>
              <w:spacing w:after="0" w:line="240" w:lineRule="auto"/>
              <w:jc w:val="center"/>
              <w:rPr>
                <w:rFonts w:ascii="Calibri" w:eastAsia="Times New Roman" w:hAnsi="Calibri" w:cs="Calibri"/>
                <w:b/>
                <w:bCs/>
                <w:color w:val="FFFFFF" w:themeColor="background1"/>
                <w:sz w:val="20"/>
                <w:szCs w:val="20"/>
                <w:lang w:eastAsia="pt-BR"/>
              </w:rPr>
            </w:pPr>
            <w:r w:rsidRPr="00F2637D">
              <w:rPr>
                <w:rFonts w:ascii="Calibri" w:eastAsia="Times New Roman" w:hAnsi="Calibri" w:cs="Calibri"/>
                <w:b/>
                <w:bCs/>
                <w:color w:val="FFFFFF" w:themeColor="background1"/>
                <w:sz w:val="20"/>
                <w:szCs w:val="20"/>
                <w:lang w:eastAsia="pt-BR"/>
              </w:rPr>
              <w:t>Saldo Líquido</w:t>
            </w:r>
          </w:p>
        </w:tc>
      </w:tr>
      <w:tr w:rsidR="0018407B" w:rsidRPr="00C25014" w:rsidTr="00C843E2">
        <w:trPr>
          <w:trHeight w:val="315"/>
        </w:trPr>
        <w:tc>
          <w:tcPr>
            <w:tcW w:w="1851" w:type="dxa"/>
            <w:tcBorders>
              <w:top w:val="nil"/>
              <w:left w:val="nil"/>
              <w:bottom w:val="single" w:sz="8" w:space="0" w:color="auto"/>
              <w:right w:val="nil"/>
            </w:tcBorders>
            <w:shd w:val="clear" w:color="auto" w:fill="006A71"/>
            <w:noWrap/>
            <w:vAlign w:val="bottom"/>
            <w:hideMark/>
          </w:tcPr>
          <w:p w:rsidR="0018407B" w:rsidRPr="00F2637D" w:rsidRDefault="0018407B" w:rsidP="00C843E2">
            <w:pPr>
              <w:spacing w:after="0" w:line="240" w:lineRule="auto"/>
              <w:jc w:val="center"/>
              <w:rPr>
                <w:rFonts w:ascii="Calibri" w:eastAsia="Times New Roman" w:hAnsi="Calibri" w:cs="Calibri"/>
                <w:b/>
                <w:color w:val="FFFFFF" w:themeColor="background1"/>
                <w:sz w:val="20"/>
                <w:szCs w:val="20"/>
                <w:lang w:eastAsia="pt-BR"/>
              </w:rPr>
            </w:pPr>
            <w:r w:rsidRPr="00F2637D">
              <w:rPr>
                <w:rFonts w:ascii="Calibri" w:eastAsia="Times New Roman" w:hAnsi="Calibri" w:cs="Calibri"/>
                <w:b/>
                <w:color w:val="FFFFFF" w:themeColor="background1"/>
                <w:sz w:val="20"/>
                <w:szCs w:val="20"/>
                <w:lang w:eastAsia="pt-BR"/>
              </w:rPr>
              <w:t>Bem</w:t>
            </w:r>
          </w:p>
        </w:tc>
        <w:tc>
          <w:tcPr>
            <w:tcW w:w="1348" w:type="dxa"/>
            <w:tcBorders>
              <w:top w:val="nil"/>
              <w:left w:val="nil"/>
              <w:bottom w:val="single" w:sz="8" w:space="0" w:color="auto"/>
              <w:right w:val="nil"/>
            </w:tcBorders>
            <w:shd w:val="clear" w:color="auto" w:fill="006A71"/>
            <w:noWrap/>
            <w:vAlign w:val="bottom"/>
            <w:hideMark/>
          </w:tcPr>
          <w:p w:rsidR="0018407B" w:rsidRPr="00F2637D" w:rsidRDefault="0018407B" w:rsidP="00C843E2">
            <w:pPr>
              <w:spacing w:after="0" w:line="240" w:lineRule="auto"/>
              <w:jc w:val="center"/>
              <w:rPr>
                <w:rFonts w:ascii="Calibri" w:eastAsia="Times New Roman" w:hAnsi="Calibri" w:cs="Calibri"/>
                <w:b/>
                <w:bCs/>
                <w:color w:val="FFFFFF" w:themeColor="background1"/>
                <w:sz w:val="20"/>
                <w:szCs w:val="20"/>
                <w:lang w:eastAsia="pt-BR"/>
              </w:rPr>
            </w:pPr>
            <w:r w:rsidRPr="00F2637D">
              <w:rPr>
                <w:rFonts w:ascii="Calibri" w:eastAsia="Times New Roman" w:hAnsi="Calibri" w:cs="Calibri"/>
                <w:b/>
                <w:bCs/>
                <w:color w:val="FFFFFF" w:themeColor="background1"/>
                <w:sz w:val="20"/>
                <w:szCs w:val="20"/>
                <w:lang w:eastAsia="pt-BR"/>
              </w:rPr>
              <w:t>31.12.20</w:t>
            </w:r>
            <w:r w:rsidR="0011382A">
              <w:rPr>
                <w:rFonts w:ascii="Calibri" w:eastAsia="Times New Roman" w:hAnsi="Calibri" w:cs="Calibri"/>
                <w:b/>
                <w:bCs/>
                <w:color w:val="FFFFFF" w:themeColor="background1"/>
                <w:sz w:val="20"/>
                <w:szCs w:val="20"/>
                <w:lang w:eastAsia="pt-BR"/>
              </w:rPr>
              <w:t>21</w:t>
            </w:r>
          </w:p>
        </w:tc>
        <w:tc>
          <w:tcPr>
            <w:tcW w:w="1347" w:type="dxa"/>
            <w:tcBorders>
              <w:top w:val="nil"/>
              <w:left w:val="nil"/>
              <w:bottom w:val="single" w:sz="8" w:space="0" w:color="auto"/>
              <w:right w:val="nil"/>
            </w:tcBorders>
            <w:shd w:val="clear" w:color="auto" w:fill="006A71"/>
            <w:noWrap/>
            <w:vAlign w:val="bottom"/>
            <w:hideMark/>
          </w:tcPr>
          <w:p w:rsidR="0018407B" w:rsidRPr="00F2637D" w:rsidRDefault="0018407B" w:rsidP="00C843E2">
            <w:pPr>
              <w:spacing w:after="0" w:line="240" w:lineRule="auto"/>
              <w:jc w:val="center"/>
              <w:rPr>
                <w:rFonts w:ascii="Calibri" w:eastAsia="Times New Roman" w:hAnsi="Calibri" w:cs="Calibri"/>
                <w:b/>
                <w:bCs/>
                <w:color w:val="FFFFFF" w:themeColor="background1"/>
                <w:sz w:val="20"/>
                <w:szCs w:val="20"/>
                <w:lang w:eastAsia="pt-BR"/>
              </w:rPr>
            </w:pPr>
            <w:r w:rsidRPr="00F2637D">
              <w:rPr>
                <w:rFonts w:ascii="Calibri" w:eastAsia="Times New Roman" w:hAnsi="Calibri" w:cs="Calibri"/>
                <w:b/>
                <w:bCs/>
                <w:color w:val="FFFFFF" w:themeColor="background1"/>
                <w:sz w:val="20"/>
                <w:szCs w:val="20"/>
                <w:lang w:eastAsia="pt-BR"/>
              </w:rPr>
              <w:t>Aquisições</w:t>
            </w:r>
          </w:p>
        </w:tc>
        <w:tc>
          <w:tcPr>
            <w:tcW w:w="1068" w:type="dxa"/>
            <w:tcBorders>
              <w:top w:val="nil"/>
              <w:left w:val="nil"/>
              <w:bottom w:val="single" w:sz="8" w:space="0" w:color="auto"/>
              <w:right w:val="nil"/>
            </w:tcBorders>
            <w:shd w:val="clear" w:color="auto" w:fill="006A71"/>
            <w:noWrap/>
            <w:vAlign w:val="bottom"/>
            <w:hideMark/>
          </w:tcPr>
          <w:p w:rsidR="0018407B" w:rsidRPr="00F2637D" w:rsidRDefault="0018407B" w:rsidP="00C843E2">
            <w:pPr>
              <w:spacing w:after="0" w:line="240" w:lineRule="auto"/>
              <w:jc w:val="center"/>
              <w:rPr>
                <w:rFonts w:ascii="Calibri" w:eastAsia="Times New Roman" w:hAnsi="Calibri" w:cs="Calibri"/>
                <w:b/>
                <w:bCs/>
                <w:color w:val="FFFFFF" w:themeColor="background1"/>
                <w:sz w:val="20"/>
                <w:szCs w:val="20"/>
                <w:lang w:eastAsia="pt-BR"/>
              </w:rPr>
            </w:pPr>
            <w:r w:rsidRPr="00F2637D">
              <w:rPr>
                <w:rFonts w:ascii="Calibri" w:eastAsia="Times New Roman" w:hAnsi="Calibri" w:cs="Calibri"/>
                <w:b/>
                <w:bCs/>
                <w:color w:val="FFFFFF" w:themeColor="background1"/>
                <w:sz w:val="20"/>
                <w:szCs w:val="20"/>
                <w:lang w:eastAsia="pt-BR"/>
              </w:rPr>
              <w:t>Baixas</w:t>
            </w:r>
          </w:p>
        </w:tc>
        <w:tc>
          <w:tcPr>
            <w:tcW w:w="1347" w:type="dxa"/>
            <w:tcBorders>
              <w:top w:val="nil"/>
              <w:left w:val="nil"/>
              <w:bottom w:val="single" w:sz="8" w:space="0" w:color="auto"/>
              <w:right w:val="nil"/>
            </w:tcBorders>
            <w:shd w:val="clear" w:color="auto" w:fill="006A71"/>
            <w:noWrap/>
            <w:vAlign w:val="bottom"/>
            <w:hideMark/>
          </w:tcPr>
          <w:p w:rsidR="0018407B" w:rsidRPr="00F2637D" w:rsidRDefault="0018407B" w:rsidP="00A10B10">
            <w:pPr>
              <w:spacing w:after="0" w:line="240" w:lineRule="auto"/>
              <w:jc w:val="center"/>
              <w:rPr>
                <w:rFonts w:ascii="Calibri" w:eastAsia="Times New Roman" w:hAnsi="Calibri" w:cs="Calibri"/>
                <w:b/>
                <w:bCs/>
                <w:color w:val="FFFFFF" w:themeColor="background1"/>
                <w:sz w:val="20"/>
                <w:szCs w:val="20"/>
                <w:lang w:eastAsia="pt-BR"/>
              </w:rPr>
            </w:pPr>
            <w:r w:rsidRPr="00F2637D">
              <w:rPr>
                <w:rFonts w:ascii="Calibri" w:eastAsia="Times New Roman" w:hAnsi="Calibri" w:cs="Calibri"/>
                <w:b/>
                <w:bCs/>
                <w:color w:val="FFFFFF" w:themeColor="background1"/>
                <w:sz w:val="20"/>
                <w:szCs w:val="20"/>
                <w:lang w:eastAsia="pt-BR"/>
              </w:rPr>
              <w:t>31.12.</w:t>
            </w:r>
            <w:r>
              <w:rPr>
                <w:rFonts w:ascii="Calibri" w:eastAsia="Times New Roman" w:hAnsi="Calibri" w:cs="Calibri"/>
                <w:b/>
                <w:bCs/>
                <w:color w:val="FFFFFF" w:themeColor="background1"/>
                <w:sz w:val="20"/>
                <w:szCs w:val="20"/>
                <w:lang w:eastAsia="pt-BR"/>
              </w:rPr>
              <w:t>202</w:t>
            </w:r>
            <w:r w:rsidR="00A10B10">
              <w:rPr>
                <w:rFonts w:ascii="Calibri" w:eastAsia="Times New Roman" w:hAnsi="Calibri" w:cs="Calibri"/>
                <w:b/>
                <w:bCs/>
                <w:color w:val="FFFFFF" w:themeColor="background1"/>
                <w:sz w:val="20"/>
                <w:szCs w:val="20"/>
                <w:lang w:eastAsia="pt-BR"/>
              </w:rPr>
              <w:t>2</w:t>
            </w:r>
          </w:p>
        </w:tc>
        <w:tc>
          <w:tcPr>
            <w:tcW w:w="1486" w:type="dxa"/>
            <w:tcBorders>
              <w:top w:val="nil"/>
              <w:left w:val="nil"/>
              <w:bottom w:val="single" w:sz="8" w:space="0" w:color="auto"/>
              <w:right w:val="nil"/>
            </w:tcBorders>
            <w:shd w:val="clear" w:color="auto" w:fill="006A71"/>
            <w:noWrap/>
            <w:vAlign w:val="bottom"/>
            <w:hideMark/>
          </w:tcPr>
          <w:p w:rsidR="0018407B" w:rsidRPr="00F2637D" w:rsidRDefault="0018407B" w:rsidP="00C843E2">
            <w:pPr>
              <w:spacing w:after="0" w:line="240" w:lineRule="auto"/>
              <w:jc w:val="center"/>
              <w:rPr>
                <w:rFonts w:ascii="Calibri" w:eastAsia="Times New Roman" w:hAnsi="Calibri" w:cs="Calibri"/>
                <w:b/>
                <w:bCs/>
                <w:color w:val="FFFFFF" w:themeColor="background1"/>
                <w:sz w:val="20"/>
                <w:szCs w:val="20"/>
                <w:lang w:eastAsia="pt-BR"/>
              </w:rPr>
            </w:pPr>
            <w:r w:rsidRPr="00F2637D">
              <w:rPr>
                <w:rFonts w:ascii="Calibri" w:eastAsia="Times New Roman" w:hAnsi="Calibri" w:cs="Calibri"/>
                <w:b/>
                <w:bCs/>
                <w:color w:val="FFFFFF" w:themeColor="background1"/>
                <w:sz w:val="20"/>
                <w:szCs w:val="20"/>
                <w:lang w:eastAsia="pt-BR"/>
              </w:rPr>
              <w:t>(Softwares)</w:t>
            </w:r>
          </w:p>
        </w:tc>
        <w:tc>
          <w:tcPr>
            <w:tcW w:w="1491" w:type="dxa"/>
            <w:tcBorders>
              <w:top w:val="nil"/>
              <w:left w:val="nil"/>
              <w:bottom w:val="single" w:sz="8" w:space="0" w:color="auto"/>
              <w:right w:val="nil"/>
            </w:tcBorders>
            <w:shd w:val="clear" w:color="auto" w:fill="006A71"/>
            <w:noWrap/>
            <w:vAlign w:val="bottom"/>
            <w:hideMark/>
          </w:tcPr>
          <w:p w:rsidR="0018407B" w:rsidRPr="00F2637D" w:rsidRDefault="0018407B" w:rsidP="00C843E2">
            <w:pPr>
              <w:spacing w:after="0" w:line="240" w:lineRule="auto"/>
              <w:jc w:val="center"/>
              <w:rPr>
                <w:rFonts w:ascii="Calibri" w:eastAsia="Times New Roman" w:hAnsi="Calibri" w:cs="Calibri"/>
                <w:b/>
                <w:bCs/>
                <w:color w:val="FFFFFF" w:themeColor="background1"/>
                <w:sz w:val="20"/>
                <w:szCs w:val="20"/>
                <w:lang w:eastAsia="pt-BR"/>
              </w:rPr>
            </w:pPr>
            <w:r w:rsidRPr="00F2637D">
              <w:rPr>
                <w:rFonts w:ascii="Calibri" w:eastAsia="Times New Roman" w:hAnsi="Calibri" w:cs="Calibri"/>
                <w:b/>
                <w:bCs/>
                <w:color w:val="FFFFFF" w:themeColor="background1"/>
                <w:sz w:val="20"/>
                <w:szCs w:val="20"/>
                <w:lang w:eastAsia="pt-BR"/>
              </w:rPr>
              <w:t>Intangível</w:t>
            </w:r>
          </w:p>
        </w:tc>
      </w:tr>
      <w:tr w:rsidR="0018407B" w:rsidRPr="00C25014" w:rsidTr="00C843E2">
        <w:trPr>
          <w:trHeight w:val="300"/>
        </w:trPr>
        <w:tc>
          <w:tcPr>
            <w:tcW w:w="1851" w:type="dxa"/>
            <w:tcBorders>
              <w:top w:val="single" w:sz="8" w:space="0" w:color="auto"/>
              <w:left w:val="nil"/>
              <w:bottom w:val="nil"/>
              <w:right w:val="nil"/>
            </w:tcBorders>
            <w:shd w:val="clear" w:color="auto" w:fill="auto"/>
            <w:noWrap/>
            <w:vAlign w:val="bottom"/>
            <w:hideMark/>
          </w:tcPr>
          <w:p w:rsidR="0018407B" w:rsidRPr="00C25014" w:rsidRDefault="0018407B" w:rsidP="00C843E2">
            <w:pPr>
              <w:spacing w:after="0" w:line="240" w:lineRule="auto"/>
              <w:rPr>
                <w:rFonts w:ascii="Calibri" w:eastAsia="Times New Roman" w:hAnsi="Calibri" w:cs="Calibri"/>
                <w:color w:val="000000"/>
                <w:sz w:val="20"/>
                <w:szCs w:val="20"/>
                <w:lang w:eastAsia="pt-BR"/>
              </w:rPr>
            </w:pPr>
            <w:r w:rsidRPr="00C25014">
              <w:rPr>
                <w:rFonts w:ascii="Calibri" w:eastAsia="Times New Roman" w:hAnsi="Calibri" w:cs="Calibri"/>
                <w:color w:val="000000"/>
                <w:sz w:val="20"/>
                <w:szCs w:val="20"/>
                <w:lang w:eastAsia="pt-BR"/>
              </w:rPr>
              <w:t>Sistema de Proc.</w:t>
            </w:r>
          </w:p>
        </w:tc>
        <w:tc>
          <w:tcPr>
            <w:tcW w:w="1348" w:type="dxa"/>
            <w:tcBorders>
              <w:top w:val="single" w:sz="8" w:space="0" w:color="auto"/>
              <w:left w:val="nil"/>
              <w:bottom w:val="nil"/>
              <w:right w:val="nil"/>
            </w:tcBorders>
            <w:shd w:val="clear" w:color="auto" w:fill="auto"/>
            <w:noWrap/>
            <w:vAlign w:val="bottom"/>
            <w:hideMark/>
          </w:tcPr>
          <w:p w:rsidR="0018407B" w:rsidRPr="00C25014" w:rsidRDefault="0018407B" w:rsidP="00C843E2">
            <w:pPr>
              <w:spacing w:after="0" w:line="240" w:lineRule="auto"/>
              <w:rPr>
                <w:rFonts w:ascii="Calibri" w:eastAsia="Times New Roman" w:hAnsi="Calibri" w:cs="Calibri"/>
                <w:color w:val="000000"/>
                <w:sz w:val="20"/>
                <w:szCs w:val="20"/>
                <w:lang w:eastAsia="pt-BR"/>
              </w:rPr>
            </w:pPr>
          </w:p>
        </w:tc>
        <w:tc>
          <w:tcPr>
            <w:tcW w:w="1347" w:type="dxa"/>
            <w:tcBorders>
              <w:top w:val="single" w:sz="8" w:space="0" w:color="auto"/>
              <w:left w:val="nil"/>
              <w:bottom w:val="nil"/>
              <w:right w:val="nil"/>
            </w:tcBorders>
            <w:shd w:val="clear" w:color="auto" w:fill="auto"/>
            <w:noWrap/>
            <w:vAlign w:val="bottom"/>
            <w:hideMark/>
          </w:tcPr>
          <w:p w:rsidR="0018407B" w:rsidRPr="00C25014" w:rsidRDefault="0018407B" w:rsidP="00C843E2">
            <w:pPr>
              <w:spacing w:after="0" w:line="240" w:lineRule="auto"/>
              <w:jc w:val="center"/>
              <w:rPr>
                <w:rFonts w:ascii="Calibri" w:eastAsia="Times New Roman" w:hAnsi="Calibri" w:cs="Calibri"/>
                <w:color w:val="000000"/>
                <w:sz w:val="20"/>
                <w:szCs w:val="20"/>
                <w:lang w:eastAsia="pt-BR"/>
              </w:rPr>
            </w:pPr>
          </w:p>
        </w:tc>
        <w:tc>
          <w:tcPr>
            <w:tcW w:w="1068" w:type="dxa"/>
            <w:tcBorders>
              <w:top w:val="single" w:sz="8" w:space="0" w:color="auto"/>
              <w:left w:val="nil"/>
              <w:bottom w:val="nil"/>
              <w:right w:val="nil"/>
            </w:tcBorders>
            <w:shd w:val="clear" w:color="auto" w:fill="auto"/>
            <w:noWrap/>
            <w:vAlign w:val="bottom"/>
            <w:hideMark/>
          </w:tcPr>
          <w:p w:rsidR="0018407B" w:rsidRPr="00C25014" w:rsidRDefault="0018407B" w:rsidP="00C843E2">
            <w:pPr>
              <w:spacing w:after="0" w:line="240" w:lineRule="auto"/>
              <w:rPr>
                <w:rFonts w:ascii="Calibri" w:eastAsia="Times New Roman" w:hAnsi="Calibri" w:cs="Calibri"/>
                <w:color w:val="000000"/>
                <w:sz w:val="20"/>
                <w:szCs w:val="20"/>
                <w:lang w:eastAsia="pt-BR"/>
              </w:rPr>
            </w:pPr>
          </w:p>
        </w:tc>
        <w:tc>
          <w:tcPr>
            <w:tcW w:w="1347" w:type="dxa"/>
            <w:tcBorders>
              <w:top w:val="single" w:sz="8" w:space="0" w:color="auto"/>
              <w:left w:val="nil"/>
              <w:bottom w:val="nil"/>
              <w:right w:val="nil"/>
            </w:tcBorders>
            <w:shd w:val="clear" w:color="auto" w:fill="auto"/>
            <w:noWrap/>
            <w:vAlign w:val="bottom"/>
            <w:hideMark/>
          </w:tcPr>
          <w:p w:rsidR="0018407B" w:rsidRPr="00C25014" w:rsidRDefault="0018407B" w:rsidP="00C843E2">
            <w:pPr>
              <w:spacing w:after="0" w:line="240" w:lineRule="auto"/>
              <w:rPr>
                <w:rFonts w:ascii="Calibri" w:eastAsia="Times New Roman" w:hAnsi="Calibri" w:cs="Calibri"/>
                <w:color w:val="000000"/>
                <w:sz w:val="20"/>
                <w:szCs w:val="20"/>
                <w:lang w:eastAsia="pt-BR"/>
              </w:rPr>
            </w:pPr>
          </w:p>
        </w:tc>
        <w:tc>
          <w:tcPr>
            <w:tcW w:w="1486" w:type="dxa"/>
            <w:vMerge w:val="restart"/>
            <w:tcBorders>
              <w:top w:val="single" w:sz="8" w:space="0" w:color="auto"/>
              <w:left w:val="nil"/>
              <w:right w:val="nil"/>
            </w:tcBorders>
            <w:shd w:val="clear" w:color="auto" w:fill="auto"/>
            <w:noWrap/>
            <w:vAlign w:val="bottom"/>
            <w:hideMark/>
          </w:tcPr>
          <w:p w:rsidR="0018407B" w:rsidRPr="00C25014" w:rsidRDefault="0018407B" w:rsidP="00C843E2">
            <w:pPr>
              <w:spacing w:after="0" w:line="48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w:t>
            </w:r>
            <w:r w:rsidR="0011382A">
              <w:rPr>
                <w:rFonts w:ascii="Calibri" w:eastAsia="Times New Roman" w:hAnsi="Calibri" w:cs="Calibri"/>
                <w:color w:val="000000"/>
                <w:sz w:val="20"/>
                <w:szCs w:val="20"/>
                <w:lang w:eastAsia="pt-BR"/>
              </w:rPr>
              <w:t>6</w:t>
            </w:r>
            <w:r>
              <w:rPr>
                <w:rFonts w:ascii="Calibri" w:eastAsia="Times New Roman" w:hAnsi="Calibri" w:cs="Calibri"/>
                <w:color w:val="000000"/>
                <w:sz w:val="20"/>
                <w:szCs w:val="20"/>
                <w:lang w:eastAsia="pt-BR"/>
              </w:rPr>
              <w:t>.</w:t>
            </w:r>
            <w:r w:rsidR="0011382A">
              <w:rPr>
                <w:rFonts w:ascii="Calibri" w:eastAsia="Times New Roman" w:hAnsi="Calibri" w:cs="Calibri"/>
                <w:color w:val="000000"/>
                <w:sz w:val="20"/>
                <w:szCs w:val="20"/>
                <w:lang w:eastAsia="pt-BR"/>
              </w:rPr>
              <w:t>732</w:t>
            </w:r>
            <w:r>
              <w:rPr>
                <w:rFonts w:ascii="Calibri" w:eastAsia="Times New Roman" w:hAnsi="Calibri" w:cs="Calibri"/>
                <w:color w:val="000000"/>
                <w:sz w:val="20"/>
                <w:szCs w:val="20"/>
                <w:lang w:eastAsia="pt-BR"/>
              </w:rPr>
              <w:t>.</w:t>
            </w:r>
            <w:r w:rsidR="0011382A">
              <w:rPr>
                <w:rFonts w:ascii="Calibri" w:eastAsia="Times New Roman" w:hAnsi="Calibri" w:cs="Calibri"/>
                <w:color w:val="000000"/>
                <w:sz w:val="20"/>
                <w:szCs w:val="20"/>
                <w:lang w:eastAsia="pt-BR"/>
              </w:rPr>
              <w:t>440</w:t>
            </w:r>
            <w:r>
              <w:rPr>
                <w:rFonts w:ascii="Calibri" w:eastAsia="Times New Roman" w:hAnsi="Calibri" w:cs="Calibri"/>
                <w:color w:val="000000"/>
                <w:sz w:val="20"/>
                <w:szCs w:val="20"/>
                <w:lang w:eastAsia="pt-BR"/>
              </w:rPr>
              <w:t>)</w:t>
            </w:r>
          </w:p>
          <w:p w:rsidR="0018407B" w:rsidRPr="00C25014" w:rsidRDefault="0018407B" w:rsidP="00C843E2">
            <w:pPr>
              <w:spacing w:after="0" w:line="240" w:lineRule="auto"/>
              <w:jc w:val="center"/>
              <w:rPr>
                <w:rFonts w:ascii="Calibri" w:eastAsia="Times New Roman" w:hAnsi="Calibri" w:cs="Calibri"/>
                <w:color w:val="000000"/>
                <w:sz w:val="20"/>
                <w:szCs w:val="20"/>
                <w:lang w:eastAsia="pt-BR"/>
              </w:rPr>
            </w:pPr>
          </w:p>
        </w:tc>
        <w:tc>
          <w:tcPr>
            <w:tcW w:w="1491" w:type="dxa"/>
            <w:vMerge w:val="restart"/>
            <w:tcBorders>
              <w:top w:val="single" w:sz="8" w:space="0" w:color="auto"/>
              <w:left w:val="nil"/>
              <w:right w:val="nil"/>
            </w:tcBorders>
            <w:shd w:val="clear" w:color="auto" w:fill="auto"/>
            <w:noWrap/>
            <w:vAlign w:val="bottom"/>
            <w:hideMark/>
          </w:tcPr>
          <w:p w:rsidR="0018407B" w:rsidRPr="00C25014" w:rsidRDefault="0018407B" w:rsidP="00C843E2">
            <w:pPr>
              <w:spacing w:after="0" w:line="240" w:lineRule="auto"/>
              <w:jc w:val="center"/>
              <w:rPr>
                <w:rFonts w:ascii="Calibri" w:eastAsia="Times New Roman" w:hAnsi="Calibri" w:cs="Calibri"/>
                <w:color w:val="000000"/>
                <w:sz w:val="20"/>
                <w:szCs w:val="20"/>
                <w:lang w:eastAsia="pt-BR"/>
              </w:rPr>
            </w:pPr>
          </w:p>
        </w:tc>
      </w:tr>
      <w:tr w:rsidR="0018407B" w:rsidRPr="00C25014" w:rsidTr="00C843E2">
        <w:trPr>
          <w:trHeight w:val="113"/>
        </w:trPr>
        <w:tc>
          <w:tcPr>
            <w:tcW w:w="1851" w:type="dxa"/>
            <w:tcBorders>
              <w:top w:val="nil"/>
              <w:left w:val="nil"/>
              <w:bottom w:val="single" w:sz="4" w:space="0" w:color="auto"/>
              <w:right w:val="nil"/>
            </w:tcBorders>
            <w:shd w:val="clear" w:color="auto" w:fill="auto"/>
            <w:noWrap/>
            <w:vAlign w:val="bottom"/>
            <w:hideMark/>
          </w:tcPr>
          <w:p w:rsidR="0018407B" w:rsidRPr="00C25014" w:rsidRDefault="0018407B" w:rsidP="00C843E2">
            <w:pPr>
              <w:spacing w:after="0" w:line="240" w:lineRule="auto"/>
              <w:rPr>
                <w:rFonts w:ascii="Calibri" w:eastAsia="Times New Roman" w:hAnsi="Calibri" w:cs="Calibri"/>
                <w:color w:val="000000"/>
                <w:sz w:val="20"/>
                <w:szCs w:val="20"/>
                <w:lang w:eastAsia="pt-BR"/>
              </w:rPr>
            </w:pPr>
            <w:r w:rsidRPr="00C25014">
              <w:rPr>
                <w:rFonts w:ascii="Calibri" w:eastAsia="Times New Roman" w:hAnsi="Calibri" w:cs="Calibri"/>
                <w:color w:val="000000"/>
                <w:sz w:val="20"/>
                <w:szCs w:val="20"/>
                <w:lang w:eastAsia="pt-BR"/>
              </w:rPr>
              <w:t>de Dados</w:t>
            </w:r>
          </w:p>
        </w:tc>
        <w:tc>
          <w:tcPr>
            <w:tcW w:w="1348" w:type="dxa"/>
            <w:tcBorders>
              <w:top w:val="nil"/>
              <w:left w:val="nil"/>
              <w:bottom w:val="single" w:sz="4" w:space="0" w:color="auto"/>
              <w:right w:val="nil"/>
            </w:tcBorders>
            <w:shd w:val="clear" w:color="auto" w:fill="auto"/>
            <w:noWrap/>
            <w:vAlign w:val="bottom"/>
            <w:hideMark/>
          </w:tcPr>
          <w:p w:rsidR="0018407B" w:rsidRPr="00C25014" w:rsidRDefault="0018407B" w:rsidP="00C843E2">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4.328.819</w:t>
            </w:r>
          </w:p>
        </w:tc>
        <w:tc>
          <w:tcPr>
            <w:tcW w:w="1347" w:type="dxa"/>
            <w:tcBorders>
              <w:top w:val="nil"/>
              <w:left w:val="nil"/>
              <w:bottom w:val="single" w:sz="4" w:space="0" w:color="auto"/>
              <w:right w:val="nil"/>
            </w:tcBorders>
            <w:shd w:val="clear" w:color="auto" w:fill="auto"/>
            <w:noWrap/>
            <w:vAlign w:val="bottom"/>
            <w:hideMark/>
          </w:tcPr>
          <w:p w:rsidR="0018407B" w:rsidRPr="00C25014" w:rsidRDefault="0018407B" w:rsidP="00C843E2">
            <w:pPr>
              <w:spacing w:after="0" w:line="240" w:lineRule="auto"/>
              <w:jc w:val="right"/>
              <w:rPr>
                <w:rFonts w:ascii="Calibri" w:eastAsia="Times New Roman" w:hAnsi="Calibri" w:cs="Calibri"/>
                <w:color w:val="000000"/>
                <w:sz w:val="20"/>
                <w:szCs w:val="20"/>
                <w:lang w:eastAsia="pt-BR"/>
              </w:rPr>
            </w:pPr>
          </w:p>
        </w:tc>
        <w:tc>
          <w:tcPr>
            <w:tcW w:w="1068" w:type="dxa"/>
            <w:tcBorders>
              <w:top w:val="nil"/>
              <w:left w:val="nil"/>
              <w:bottom w:val="single" w:sz="4" w:space="0" w:color="auto"/>
              <w:right w:val="nil"/>
            </w:tcBorders>
            <w:shd w:val="clear" w:color="auto" w:fill="auto"/>
            <w:noWrap/>
            <w:vAlign w:val="bottom"/>
            <w:hideMark/>
          </w:tcPr>
          <w:p w:rsidR="0018407B" w:rsidRPr="00C25014" w:rsidRDefault="0018407B" w:rsidP="00C843E2">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w:t>
            </w:r>
          </w:p>
        </w:tc>
        <w:tc>
          <w:tcPr>
            <w:tcW w:w="1347" w:type="dxa"/>
            <w:tcBorders>
              <w:top w:val="nil"/>
              <w:left w:val="nil"/>
              <w:bottom w:val="single" w:sz="4" w:space="0" w:color="auto"/>
              <w:right w:val="nil"/>
            </w:tcBorders>
            <w:shd w:val="clear" w:color="auto" w:fill="auto"/>
            <w:noWrap/>
            <w:vAlign w:val="bottom"/>
            <w:hideMark/>
          </w:tcPr>
          <w:p w:rsidR="0018407B" w:rsidRPr="00C25014" w:rsidRDefault="0018407B" w:rsidP="00C843E2">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4.328.819</w:t>
            </w:r>
          </w:p>
        </w:tc>
        <w:tc>
          <w:tcPr>
            <w:tcW w:w="1486" w:type="dxa"/>
            <w:vMerge/>
            <w:tcBorders>
              <w:left w:val="nil"/>
              <w:right w:val="nil"/>
            </w:tcBorders>
            <w:shd w:val="clear" w:color="auto" w:fill="auto"/>
            <w:noWrap/>
            <w:vAlign w:val="bottom"/>
            <w:hideMark/>
          </w:tcPr>
          <w:p w:rsidR="0018407B" w:rsidRPr="00C25014" w:rsidRDefault="0018407B" w:rsidP="00C843E2">
            <w:pPr>
              <w:spacing w:after="0" w:line="240" w:lineRule="auto"/>
              <w:jc w:val="center"/>
              <w:rPr>
                <w:rFonts w:ascii="Calibri" w:eastAsia="Times New Roman" w:hAnsi="Calibri" w:cs="Calibri"/>
                <w:color w:val="000000"/>
                <w:sz w:val="20"/>
                <w:szCs w:val="20"/>
                <w:lang w:eastAsia="pt-BR"/>
              </w:rPr>
            </w:pPr>
          </w:p>
        </w:tc>
        <w:tc>
          <w:tcPr>
            <w:tcW w:w="1491" w:type="dxa"/>
            <w:vMerge/>
            <w:tcBorders>
              <w:left w:val="nil"/>
              <w:right w:val="nil"/>
            </w:tcBorders>
            <w:shd w:val="clear" w:color="auto" w:fill="auto"/>
            <w:noWrap/>
            <w:vAlign w:val="bottom"/>
            <w:hideMark/>
          </w:tcPr>
          <w:p w:rsidR="0018407B" w:rsidRPr="00C25014" w:rsidRDefault="0018407B" w:rsidP="00C843E2">
            <w:pPr>
              <w:spacing w:after="0" w:line="240" w:lineRule="auto"/>
              <w:jc w:val="center"/>
              <w:rPr>
                <w:rFonts w:ascii="Calibri" w:eastAsia="Times New Roman" w:hAnsi="Calibri" w:cs="Calibri"/>
                <w:color w:val="000000"/>
                <w:sz w:val="20"/>
                <w:szCs w:val="20"/>
                <w:lang w:eastAsia="pt-BR"/>
              </w:rPr>
            </w:pPr>
          </w:p>
        </w:tc>
      </w:tr>
      <w:tr w:rsidR="0018407B" w:rsidRPr="00C25014" w:rsidTr="00C843E2">
        <w:trPr>
          <w:trHeight w:val="300"/>
        </w:trPr>
        <w:tc>
          <w:tcPr>
            <w:tcW w:w="1851" w:type="dxa"/>
            <w:tcBorders>
              <w:top w:val="single" w:sz="4" w:space="0" w:color="auto"/>
              <w:left w:val="nil"/>
              <w:bottom w:val="nil"/>
              <w:right w:val="nil"/>
            </w:tcBorders>
            <w:shd w:val="clear" w:color="auto" w:fill="auto"/>
            <w:noWrap/>
            <w:vAlign w:val="bottom"/>
            <w:hideMark/>
          </w:tcPr>
          <w:p w:rsidR="0018407B" w:rsidRPr="00C25014" w:rsidRDefault="0018407B" w:rsidP="00C843E2">
            <w:pPr>
              <w:spacing w:after="0" w:line="240" w:lineRule="auto"/>
              <w:rPr>
                <w:rFonts w:ascii="Calibri" w:eastAsia="Times New Roman" w:hAnsi="Calibri" w:cs="Calibri"/>
                <w:color w:val="000000"/>
                <w:sz w:val="20"/>
                <w:szCs w:val="20"/>
                <w:lang w:eastAsia="pt-BR"/>
              </w:rPr>
            </w:pPr>
            <w:r w:rsidRPr="00C25014">
              <w:rPr>
                <w:rFonts w:ascii="Calibri" w:eastAsia="Times New Roman" w:hAnsi="Calibri" w:cs="Calibri"/>
                <w:color w:val="000000"/>
                <w:sz w:val="20"/>
                <w:szCs w:val="20"/>
                <w:lang w:eastAsia="pt-BR"/>
              </w:rPr>
              <w:t xml:space="preserve">Serviço de </w:t>
            </w:r>
            <w:proofErr w:type="spellStart"/>
            <w:r w:rsidRPr="00C25014">
              <w:rPr>
                <w:rFonts w:ascii="Calibri" w:eastAsia="Times New Roman" w:hAnsi="Calibri" w:cs="Calibri"/>
                <w:color w:val="000000"/>
                <w:sz w:val="20"/>
                <w:szCs w:val="20"/>
                <w:lang w:eastAsia="pt-BR"/>
              </w:rPr>
              <w:t>Desenv</w:t>
            </w:r>
            <w:proofErr w:type="spellEnd"/>
            <w:r w:rsidRPr="00C25014">
              <w:rPr>
                <w:rFonts w:ascii="Calibri" w:eastAsia="Times New Roman" w:hAnsi="Calibri" w:cs="Calibri"/>
                <w:color w:val="000000"/>
                <w:sz w:val="20"/>
                <w:szCs w:val="20"/>
                <w:lang w:eastAsia="pt-BR"/>
              </w:rPr>
              <w:t>.</w:t>
            </w:r>
          </w:p>
        </w:tc>
        <w:tc>
          <w:tcPr>
            <w:tcW w:w="1348" w:type="dxa"/>
            <w:tcBorders>
              <w:top w:val="single" w:sz="4" w:space="0" w:color="auto"/>
              <w:left w:val="nil"/>
              <w:bottom w:val="nil"/>
              <w:right w:val="nil"/>
            </w:tcBorders>
            <w:shd w:val="clear" w:color="auto" w:fill="auto"/>
            <w:noWrap/>
            <w:vAlign w:val="bottom"/>
            <w:hideMark/>
          </w:tcPr>
          <w:p w:rsidR="0018407B" w:rsidRPr="00C25014" w:rsidRDefault="0018407B" w:rsidP="00C843E2">
            <w:pPr>
              <w:spacing w:after="0" w:line="240" w:lineRule="auto"/>
              <w:rPr>
                <w:rFonts w:ascii="Calibri" w:eastAsia="Times New Roman" w:hAnsi="Calibri" w:cs="Calibri"/>
                <w:color w:val="000000"/>
                <w:sz w:val="20"/>
                <w:szCs w:val="20"/>
                <w:lang w:eastAsia="pt-BR"/>
              </w:rPr>
            </w:pPr>
          </w:p>
        </w:tc>
        <w:tc>
          <w:tcPr>
            <w:tcW w:w="1347" w:type="dxa"/>
            <w:tcBorders>
              <w:top w:val="single" w:sz="4" w:space="0" w:color="auto"/>
              <w:left w:val="nil"/>
              <w:bottom w:val="nil"/>
              <w:right w:val="nil"/>
            </w:tcBorders>
            <w:shd w:val="clear" w:color="auto" w:fill="auto"/>
            <w:noWrap/>
            <w:vAlign w:val="bottom"/>
            <w:hideMark/>
          </w:tcPr>
          <w:p w:rsidR="0018407B" w:rsidRPr="00C25014" w:rsidRDefault="0018407B" w:rsidP="00C843E2">
            <w:pPr>
              <w:spacing w:after="0" w:line="240" w:lineRule="auto"/>
              <w:rPr>
                <w:rFonts w:ascii="Calibri" w:eastAsia="Times New Roman" w:hAnsi="Calibri" w:cs="Calibri"/>
                <w:color w:val="000000"/>
                <w:sz w:val="20"/>
                <w:szCs w:val="20"/>
                <w:lang w:eastAsia="pt-BR"/>
              </w:rPr>
            </w:pPr>
          </w:p>
        </w:tc>
        <w:tc>
          <w:tcPr>
            <w:tcW w:w="1068" w:type="dxa"/>
            <w:tcBorders>
              <w:top w:val="single" w:sz="4" w:space="0" w:color="auto"/>
              <w:left w:val="nil"/>
              <w:bottom w:val="nil"/>
              <w:right w:val="nil"/>
            </w:tcBorders>
            <w:shd w:val="clear" w:color="auto" w:fill="auto"/>
            <w:noWrap/>
            <w:vAlign w:val="bottom"/>
            <w:hideMark/>
          </w:tcPr>
          <w:p w:rsidR="0018407B" w:rsidRPr="00C25014" w:rsidRDefault="0018407B" w:rsidP="00C843E2">
            <w:pPr>
              <w:spacing w:after="0" w:line="240" w:lineRule="auto"/>
              <w:jc w:val="center"/>
              <w:rPr>
                <w:rFonts w:ascii="Calibri" w:eastAsia="Times New Roman" w:hAnsi="Calibri" w:cs="Calibri"/>
                <w:color w:val="000000"/>
                <w:sz w:val="20"/>
                <w:szCs w:val="20"/>
                <w:lang w:eastAsia="pt-BR"/>
              </w:rPr>
            </w:pPr>
          </w:p>
        </w:tc>
        <w:tc>
          <w:tcPr>
            <w:tcW w:w="1347" w:type="dxa"/>
            <w:tcBorders>
              <w:top w:val="single" w:sz="4" w:space="0" w:color="auto"/>
              <w:left w:val="nil"/>
              <w:bottom w:val="nil"/>
              <w:right w:val="nil"/>
            </w:tcBorders>
            <w:shd w:val="clear" w:color="auto" w:fill="auto"/>
            <w:noWrap/>
            <w:vAlign w:val="bottom"/>
            <w:hideMark/>
          </w:tcPr>
          <w:p w:rsidR="0018407B" w:rsidRPr="00C25014" w:rsidRDefault="0018407B" w:rsidP="00C843E2">
            <w:pPr>
              <w:spacing w:after="0" w:line="240" w:lineRule="auto"/>
              <w:rPr>
                <w:rFonts w:ascii="Calibri" w:eastAsia="Times New Roman" w:hAnsi="Calibri" w:cs="Calibri"/>
                <w:color w:val="000000"/>
                <w:sz w:val="20"/>
                <w:szCs w:val="20"/>
                <w:lang w:eastAsia="pt-BR"/>
              </w:rPr>
            </w:pPr>
          </w:p>
        </w:tc>
        <w:tc>
          <w:tcPr>
            <w:tcW w:w="1486" w:type="dxa"/>
            <w:vMerge/>
            <w:tcBorders>
              <w:left w:val="nil"/>
              <w:right w:val="nil"/>
            </w:tcBorders>
            <w:shd w:val="clear" w:color="auto" w:fill="auto"/>
            <w:noWrap/>
            <w:vAlign w:val="bottom"/>
            <w:hideMark/>
          </w:tcPr>
          <w:p w:rsidR="0018407B" w:rsidRPr="00C25014" w:rsidRDefault="0018407B" w:rsidP="00C843E2">
            <w:pPr>
              <w:spacing w:after="0" w:line="240" w:lineRule="auto"/>
              <w:jc w:val="center"/>
              <w:rPr>
                <w:rFonts w:ascii="Calibri" w:eastAsia="Times New Roman" w:hAnsi="Calibri" w:cs="Calibri"/>
                <w:color w:val="000000"/>
                <w:sz w:val="20"/>
                <w:szCs w:val="20"/>
                <w:lang w:eastAsia="pt-BR"/>
              </w:rPr>
            </w:pPr>
          </w:p>
        </w:tc>
        <w:tc>
          <w:tcPr>
            <w:tcW w:w="1491" w:type="dxa"/>
            <w:vMerge/>
            <w:tcBorders>
              <w:left w:val="nil"/>
              <w:right w:val="nil"/>
            </w:tcBorders>
            <w:shd w:val="clear" w:color="auto" w:fill="auto"/>
            <w:noWrap/>
            <w:vAlign w:val="bottom"/>
            <w:hideMark/>
          </w:tcPr>
          <w:p w:rsidR="0018407B" w:rsidRPr="00C25014" w:rsidRDefault="0018407B" w:rsidP="00C843E2">
            <w:pPr>
              <w:spacing w:after="0" w:line="240" w:lineRule="auto"/>
              <w:jc w:val="center"/>
              <w:rPr>
                <w:rFonts w:ascii="Calibri" w:eastAsia="Times New Roman" w:hAnsi="Calibri" w:cs="Calibri"/>
                <w:color w:val="000000"/>
                <w:sz w:val="20"/>
                <w:szCs w:val="20"/>
                <w:lang w:eastAsia="pt-BR"/>
              </w:rPr>
            </w:pPr>
          </w:p>
        </w:tc>
      </w:tr>
      <w:tr w:rsidR="0018407B" w:rsidRPr="00C25014" w:rsidTr="00C843E2">
        <w:trPr>
          <w:trHeight w:val="300"/>
        </w:trPr>
        <w:tc>
          <w:tcPr>
            <w:tcW w:w="1851" w:type="dxa"/>
            <w:tcBorders>
              <w:top w:val="nil"/>
              <w:left w:val="nil"/>
              <w:bottom w:val="nil"/>
              <w:right w:val="nil"/>
            </w:tcBorders>
            <w:shd w:val="clear" w:color="auto" w:fill="auto"/>
            <w:noWrap/>
            <w:vAlign w:val="bottom"/>
            <w:hideMark/>
          </w:tcPr>
          <w:p w:rsidR="0018407B" w:rsidRPr="00C25014" w:rsidRDefault="0018407B" w:rsidP="00C843E2">
            <w:pPr>
              <w:spacing w:after="0" w:line="240" w:lineRule="auto"/>
              <w:rPr>
                <w:rFonts w:ascii="Calibri" w:eastAsia="Times New Roman" w:hAnsi="Calibri" w:cs="Calibri"/>
                <w:color w:val="000000"/>
                <w:sz w:val="20"/>
                <w:szCs w:val="20"/>
                <w:lang w:eastAsia="pt-BR"/>
              </w:rPr>
            </w:pPr>
            <w:r w:rsidRPr="00C25014">
              <w:rPr>
                <w:rFonts w:ascii="Calibri" w:eastAsia="Times New Roman" w:hAnsi="Calibri" w:cs="Calibri"/>
                <w:color w:val="000000"/>
                <w:sz w:val="20"/>
                <w:szCs w:val="20"/>
                <w:lang w:eastAsia="pt-BR"/>
              </w:rPr>
              <w:t>de Sistema</w:t>
            </w:r>
          </w:p>
        </w:tc>
        <w:tc>
          <w:tcPr>
            <w:tcW w:w="1348" w:type="dxa"/>
            <w:tcBorders>
              <w:top w:val="nil"/>
              <w:left w:val="nil"/>
              <w:bottom w:val="nil"/>
              <w:right w:val="nil"/>
            </w:tcBorders>
            <w:shd w:val="clear" w:color="auto" w:fill="auto"/>
            <w:noWrap/>
            <w:vAlign w:val="bottom"/>
            <w:hideMark/>
          </w:tcPr>
          <w:p w:rsidR="0018407B" w:rsidRPr="00C25014" w:rsidRDefault="0011382A" w:rsidP="0011382A">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11</w:t>
            </w:r>
            <w:r w:rsidR="0018407B">
              <w:rPr>
                <w:rFonts w:ascii="Calibri" w:eastAsia="Times New Roman" w:hAnsi="Calibri" w:cs="Calibri"/>
                <w:color w:val="000000"/>
                <w:sz w:val="20"/>
                <w:szCs w:val="20"/>
                <w:lang w:eastAsia="pt-BR"/>
              </w:rPr>
              <w:t>.</w:t>
            </w:r>
            <w:r>
              <w:rPr>
                <w:rFonts w:ascii="Calibri" w:eastAsia="Times New Roman" w:hAnsi="Calibri" w:cs="Calibri"/>
                <w:color w:val="000000"/>
                <w:sz w:val="20"/>
                <w:szCs w:val="20"/>
                <w:lang w:eastAsia="pt-BR"/>
              </w:rPr>
              <w:t>385</w:t>
            </w:r>
            <w:r w:rsidR="0018407B">
              <w:rPr>
                <w:rFonts w:ascii="Calibri" w:eastAsia="Times New Roman" w:hAnsi="Calibri" w:cs="Calibri"/>
                <w:color w:val="000000"/>
                <w:sz w:val="20"/>
                <w:szCs w:val="20"/>
                <w:lang w:eastAsia="pt-BR"/>
              </w:rPr>
              <w:t>.</w:t>
            </w:r>
            <w:r>
              <w:rPr>
                <w:rFonts w:ascii="Calibri" w:eastAsia="Times New Roman" w:hAnsi="Calibri" w:cs="Calibri"/>
                <w:color w:val="000000"/>
                <w:sz w:val="20"/>
                <w:szCs w:val="20"/>
                <w:lang w:eastAsia="pt-BR"/>
              </w:rPr>
              <w:t>186</w:t>
            </w:r>
          </w:p>
        </w:tc>
        <w:tc>
          <w:tcPr>
            <w:tcW w:w="1347" w:type="dxa"/>
            <w:tcBorders>
              <w:top w:val="nil"/>
              <w:left w:val="nil"/>
              <w:bottom w:val="nil"/>
              <w:right w:val="nil"/>
            </w:tcBorders>
            <w:shd w:val="clear" w:color="auto" w:fill="auto"/>
            <w:noWrap/>
            <w:vAlign w:val="bottom"/>
            <w:hideMark/>
          </w:tcPr>
          <w:p w:rsidR="0018407B" w:rsidRPr="00C25014" w:rsidRDefault="0011382A" w:rsidP="0011382A">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2</w:t>
            </w:r>
            <w:r w:rsidR="0018407B">
              <w:rPr>
                <w:rFonts w:ascii="Calibri" w:eastAsia="Times New Roman" w:hAnsi="Calibri" w:cs="Calibri"/>
                <w:color w:val="000000"/>
                <w:sz w:val="20"/>
                <w:szCs w:val="20"/>
                <w:lang w:eastAsia="pt-BR"/>
              </w:rPr>
              <w:t>.</w:t>
            </w:r>
            <w:r>
              <w:rPr>
                <w:rFonts w:ascii="Calibri" w:eastAsia="Times New Roman" w:hAnsi="Calibri" w:cs="Calibri"/>
                <w:color w:val="000000"/>
                <w:sz w:val="20"/>
                <w:szCs w:val="20"/>
                <w:lang w:eastAsia="pt-BR"/>
              </w:rPr>
              <w:t>744</w:t>
            </w:r>
            <w:r w:rsidR="0018407B">
              <w:rPr>
                <w:rFonts w:ascii="Calibri" w:eastAsia="Times New Roman" w:hAnsi="Calibri" w:cs="Calibri"/>
                <w:color w:val="000000"/>
                <w:sz w:val="20"/>
                <w:szCs w:val="20"/>
                <w:lang w:eastAsia="pt-BR"/>
              </w:rPr>
              <w:t>.</w:t>
            </w:r>
            <w:r>
              <w:rPr>
                <w:rFonts w:ascii="Calibri" w:eastAsia="Times New Roman" w:hAnsi="Calibri" w:cs="Calibri"/>
                <w:color w:val="000000"/>
                <w:sz w:val="20"/>
                <w:szCs w:val="20"/>
                <w:lang w:eastAsia="pt-BR"/>
              </w:rPr>
              <w:t>524</w:t>
            </w:r>
          </w:p>
        </w:tc>
        <w:tc>
          <w:tcPr>
            <w:tcW w:w="1068" w:type="dxa"/>
            <w:tcBorders>
              <w:top w:val="nil"/>
              <w:left w:val="nil"/>
              <w:bottom w:val="nil"/>
              <w:right w:val="nil"/>
            </w:tcBorders>
            <w:shd w:val="clear" w:color="auto" w:fill="auto"/>
            <w:noWrap/>
            <w:vAlign w:val="bottom"/>
            <w:hideMark/>
          </w:tcPr>
          <w:p w:rsidR="0018407B" w:rsidRPr="00C25014" w:rsidRDefault="0018407B" w:rsidP="00C843E2">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w:t>
            </w:r>
          </w:p>
        </w:tc>
        <w:tc>
          <w:tcPr>
            <w:tcW w:w="1347" w:type="dxa"/>
            <w:tcBorders>
              <w:top w:val="nil"/>
              <w:left w:val="nil"/>
              <w:bottom w:val="nil"/>
              <w:right w:val="nil"/>
            </w:tcBorders>
            <w:shd w:val="clear" w:color="auto" w:fill="auto"/>
            <w:noWrap/>
            <w:vAlign w:val="bottom"/>
            <w:hideMark/>
          </w:tcPr>
          <w:p w:rsidR="0018407B" w:rsidRPr="00C25014" w:rsidRDefault="0018407B" w:rsidP="0011382A">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1</w:t>
            </w:r>
            <w:r w:rsidR="0011382A">
              <w:rPr>
                <w:rFonts w:ascii="Calibri" w:eastAsia="Times New Roman" w:hAnsi="Calibri" w:cs="Calibri"/>
                <w:color w:val="000000"/>
                <w:sz w:val="20"/>
                <w:szCs w:val="20"/>
                <w:lang w:eastAsia="pt-BR"/>
              </w:rPr>
              <w:t>4</w:t>
            </w:r>
            <w:r>
              <w:rPr>
                <w:rFonts w:ascii="Calibri" w:eastAsia="Times New Roman" w:hAnsi="Calibri" w:cs="Calibri"/>
                <w:color w:val="000000"/>
                <w:sz w:val="20"/>
                <w:szCs w:val="20"/>
                <w:lang w:eastAsia="pt-BR"/>
              </w:rPr>
              <w:t>.</w:t>
            </w:r>
            <w:r w:rsidR="0011382A">
              <w:rPr>
                <w:rFonts w:ascii="Calibri" w:eastAsia="Times New Roman" w:hAnsi="Calibri" w:cs="Calibri"/>
                <w:color w:val="000000"/>
                <w:sz w:val="20"/>
                <w:szCs w:val="20"/>
                <w:lang w:eastAsia="pt-BR"/>
              </w:rPr>
              <w:t>129</w:t>
            </w:r>
            <w:r>
              <w:rPr>
                <w:rFonts w:ascii="Calibri" w:eastAsia="Times New Roman" w:hAnsi="Calibri" w:cs="Calibri"/>
                <w:color w:val="000000"/>
                <w:sz w:val="20"/>
                <w:szCs w:val="20"/>
                <w:lang w:eastAsia="pt-BR"/>
              </w:rPr>
              <w:t>.</w:t>
            </w:r>
            <w:r w:rsidR="0011382A">
              <w:rPr>
                <w:rFonts w:ascii="Calibri" w:eastAsia="Times New Roman" w:hAnsi="Calibri" w:cs="Calibri"/>
                <w:color w:val="000000"/>
                <w:sz w:val="20"/>
                <w:szCs w:val="20"/>
                <w:lang w:eastAsia="pt-BR"/>
              </w:rPr>
              <w:t>720</w:t>
            </w:r>
          </w:p>
        </w:tc>
        <w:tc>
          <w:tcPr>
            <w:tcW w:w="1486" w:type="dxa"/>
            <w:vMerge/>
            <w:tcBorders>
              <w:left w:val="nil"/>
              <w:bottom w:val="nil"/>
              <w:right w:val="nil"/>
            </w:tcBorders>
            <w:shd w:val="clear" w:color="auto" w:fill="auto"/>
            <w:noWrap/>
            <w:vAlign w:val="bottom"/>
            <w:hideMark/>
          </w:tcPr>
          <w:p w:rsidR="0018407B" w:rsidRPr="00C25014" w:rsidRDefault="0018407B" w:rsidP="00C843E2">
            <w:pPr>
              <w:spacing w:after="0" w:line="240" w:lineRule="auto"/>
              <w:jc w:val="center"/>
              <w:rPr>
                <w:rFonts w:ascii="Calibri" w:eastAsia="Times New Roman" w:hAnsi="Calibri" w:cs="Calibri"/>
                <w:color w:val="000000"/>
                <w:sz w:val="20"/>
                <w:szCs w:val="20"/>
                <w:lang w:eastAsia="pt-BR"/>
              </w:rPr>
            </w:pPr>
          </w:p>
        </w:tc>
        <w:tc>
          <w:tcPr>
            <w:tcW w:w="1491" w:type="dxa"/>
            <w:vMerge/>
            <w:tcBorders>
              <w:left w:val="nil"/>
              <w:bottom w:val="nil"/>
              <w:right w:val="nil"/>
            </w:tcBorders>
            <w:shd w:val="clear" w:color="auto" w:fill="auto"/>
            <w:noWrap/>
            <w:vAlign w:val="bottom"/>
            <w:hideMark/>
          </w:tcPr>
          <w:p w:rsidR="0018407B" w:rsidRPr="00C25014" w:rsidRDefault="0018407B" w:rsidP="00C843E2">
            <w:pPr>
              <w:spacing w:after="0" w:line="240" w:lineRule="auto"/>
              <w:jc w:val="center"/>
              <w:rPr>
                <w:rFonts w:ascii="Calibri" w:eastAsia="Times New Roman" w:hAnsi="Calibri" w:cs="Calibri"/>
                <w:color w:val="000000"/>
                <w:sz w:val="20"/>
                <w:szCs w:val="20"/>
                <w:lang w:eastAsia="pt-BR"/>
              </w:rPr>
            </w:pPr>
          </w:p>
        </w:tc>
      </w:tr>
      <w:tr w:rsidR="0018407B" w:rsidRPr="00C25014" w:rsidTr="00C843E2">
        <w:trPr>
          <w:trHeight w:val="315"/>
        </w:trPr>
        <w:tc>
          <w:tcPr>
            <w:tcW w:w="1851" w:type="dxa"/>
            <w:tcBorders>
              <w:top w:val="single" w:sz="4" w:space="0" w:color="auto"/>
              <w:left w:val="nil"/>
              <w:bottom w:val="double" w:sz="6" w:space="0" w:color="auto"/>
              <w:right w:val="nil"/>
            </w:tcBorders>
            <w:shd w:val="clear" w:color="auto" w:fill="auto"/>
            <w:noWrap/>
            <w:vAlign w:val="bottom"/>
            <w:hideMark/>
          </w:tcPr>
          <w:p w:rsidR="0018407B" w:rsidRPr="00C25014" w:rsidRDefault="0018407B" w:rsidP="00C843E2">
            <w:pPr>
              <w:spacing w:after="0" w:line="240" w:lineRule="auto"/>
              <w:rPr>
                <w:rFonts w:ascii="Calibri" w:eastAsia="Times New Roman" w:hAnsi="Calibri" w:cs="Calibri"/>
                <w:b/>
                <w:bCs/>
                <w:color w:val="000000"/>
                <w:sz w:val="20"/>
                <w:szCs w:val="20"/>
                <w:lang w:eastAsia="pt-BR"/>
              </w:rPr>
            </w:pPr>
            <w:r w:rsidRPr="00C25014">
              <w:rPr>
                <w:rFonts w:ascii="Calibri" w:eastAsia="Times New Roman" w:hAnsi="Calibri" w:cs="Calibri"/>
                <w:b/>
                <w:bCs/>
                <w:color w:val="000000"/>
                <w:sz w:val="20"/>
                <w:szCs w:val="20"/>
                <w:lang w:eastAsia="pt-BR"/>
              </w:rPr>
              <w:t>Total</w:t>
            </w:r>
          </w:p>
        </w:tc>
        <w:tc>
          <w:tcPr>
            <w:tcW w:w="1348" w:type="dxa"/>
            <w:tcBorders>
              <w:top w:val="single" w:sz="4" w:space="0" w:color="auto"/>
              <w:left w:val="nil"/>
              <w:bottom w:val="double" w:sz="6" w:space="0" w:color="auto"/>
              <w:right w:val="nil"/>
            </w:tcBorders>
            <w:shd w:val="clear" w:color="auto" w:fill="auto"/>
            <w:noWrap/>
            <w:vAlign w:val="bottom"/>
            <w:hideMark/>
          </w:tcPr>
          <w:p w:rsidR="0018407B" w:rsidRPr="00C25014" w:rsidRDefault="0018407B" w:rsidP="0011382A">
            <w:pPr>
              <w:spacing w:after="0" w:line="240" w:lineRule="auto"/>
              <w:jc w:val="right"/>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1</w:t>
            </w:r>
            <w:r w:rsidR="0011382A">
              <w:rPr>
                <w:rFonts w:ascii="Calibri" w:eastAsia="Times New Roman" w:hAnsi="Calibri" w:cs="Calibri"/>
                <w:b/>
                <w:bCs/>
                <w:color w:val="000000"/>
                <w:sz w:val="20"/>
                <w:szCs w:val="20"/>
                <w:lang w:eastAsia="pt-BR"/>
              </w:rPr>
              <w:t>5</w:t>
            </w:r>
            <w:r>
              <w:rPr>
                <w:rFonts w:ascii="Calibri" w:eastAsia="Times New Roman" w:hAnsi="Calibri" w:cs="Calibri"/>
                <w:b/>
                <w:bCs/>
                <w:color w:val="000000"/>
                <w:sz w:val="20"/>
                <w:szCs w:val="20"/>
                <w:lang w:eastAsia="pt-BR"/>
              </w:rPr>
              <w:t>.</w:t>
            </w:r>
            <w:r w:rsidR="0011382A">
              <w:rPr>
                <w:rFonts w:ascii="Calibri" w:eastAsia="Times New Roman" w:hAnsi="Calibri" w:cs="Calibri"/>
                <w:b/>
                <w:bCs/>
                <w:color w:val="000000"/>
                <w:sz w:val="20"/>
                <w:szCs w:val="20"/>
                <w:lang w:eastAsia="pt-BR"/>
              </w:rPr>
              <w:t>714</w:t>
            </w:r>
            <w:r>
              <w:rPr>
                <w:rFonts w:ascii="Calibri" w:eastAsia="Times New Roman" w:hAnsi="Calibri" w:cs="Calibri"/>
                <w:b/>
                <w:bCs/>
                <w:color w:val="000000"/>
                <w:sz w:val="20"/>
                <w:szCs w:val="20"/>
                <w:lang w:eastAsia="pt-BR"/>
              </w:rPr>
              <w:t>.</w:t>
            </w:r>
            <w:r w:rsidR="0011382A">
              <w:rPr>
                <w:rFonts w:ascii="Calibri" w:eastAsia="Times New Roman" w:hAnsi="Calibri" w:cs="Calibri"/>
                <w:b/>
                <w:bCs/>
                <w:color w:val="000000"/>
                <w:sz w:val="20"/>
                <w:szCs w:val="20"/>
                <w:lang w:eastAsia="pt-BR"/>
              </w:rPr>
              <w:t>005</w:t>
            </w:r>
          </w:p>
        </w:tc>
        <w:tc>
          <w:tcPr>
            <w:tcW w:w="1347" w:type="dxa"/>
            <w:tcBorders>
              <w:top w:val="single" w:sz="4" w:space="0" w:color="auto"/>
              <w:left w:val="nil"/>
              <w:bottom w:val="double" w:sz="6" w:space="0" w:color="auto"/>
              <w:right w:val="nil"/>
            </w:tcBorders>
            <w:shd w:val="clear" w:color="auto" w:fill="auto"/>
            <w:noWrap/>
            <w:vAlign w:val="bottom"/>
            <w:hideMark/>
          </w:tcPr>
          <w:p w:rsidR="0018407B" w:rsidRPr="00C25014" w:rsidRDefault="0011382A" w:rsidP="0011382A">
            <w:pPr>
              <w:spacing w:after="0" w:line="240" w:lineRule="auto"/>
              <w:jc w:val="right"/>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2</w:t>
            </w:r>
            <w:r w:rsidR="0018407B">
              <w:rPr>
                <w:rFonts w:ascii="Calibri" w:eastAsia="Times New Roman" w:hAnsi="Calibri" w:cs="Calibri"/>
                <w:b/>
                <w:bCs/>
                <w:color w:val="000000"/>
                <w:sz w:val="20"/>
                <w:szCs w:val="20"/>
                <w:lang w:eastAsia="pt-BR"/>
              </w:rPr>
              <w:t>.</w:t>
            </w:r>
            <w:r>
              <w:rPr>
                <w:rFonts w:ascii="Calibri" w:eastAsia="Times New Roman" w:hAnsi="Calibri" w:cs="Calibri"/>
                <w:b/>
                <w:bCs/>
                <w:color w:val="000000"/>
                <w:sz w:val="20"/>
                <w:szCs w:val="20"/>
                <w:lang w:eastAsia="pt-BR"/>
              </w:rPr>
              <w:t>744</w:t>
            </w:r>
            <w:r w:rsidR="0018407B">
              <w:rPr>
                <w:rFonts w:ascii="Calibri" w:eastAsia="Times New Roman" w:hAnsi="Calibri" w:cs="Calibri"/>
                <w:b/>
                <w:bCs/>
                <w:color w:val="000000"/>
                <w:sz w:val="20"/>
                <w:szCs w:val="20"/>
                <w:lang w:eastAsia="pt-BR"/>
              </w:rPr>
              <w:t>.</w:t>
            </w:r>
            <w:r>
              <w:rPr>
                <w:rFonts w:ascii="Calibri" w:eastAsia="Times New Roman" w:hAnsi="Calibri" w:cs="Calibri"/>
                <w:b/>
                <w:bCs/>
                <w:color w:val="000000"/>
                <w:sz w:val="20"/>
                <w:szCs w:val="20"/>
                <w:lang w:eastAsia="pt-BR"/>
              </w:rPr>
              <w:t>524</w:t>
            </w:r>
          </w:p>
        </w:tc>
        <w:tc>
          <w:tcPr>
            <w:tcW w:w="1068" w:type="dxa"/>
            <w:tcBorders>
              <w:top w:val="single" w:sz="4" w:space="0" w:color="auto"/>
              <w:left w:val="nil"/>
              <w:bottom w:val="double" w:sz="6" w:space="0" w:color="auto"/>
              <w:right w:val="nil"/>
            </w:tcBorders>
            <w:shd w:val="clear" w:color="auto" w:fill="auto"/>
            <w:noWrap/>
            <w:vAlign w:val="bottom"/>
            <w:hideMark/>
          </w:tcPr>
          <w:p w:rsidR="0018407B" w:rsidRPr="00C25014" w:rsidRDefault="0018407B" w:rsidP="00C843E2">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w:t>
            </w:r>
          </w:p>
        </w:tc>
        <w:tc>
          <w:tcPr>
            <w:tcW w:w="1347" w:type="dxa"/>
            <w:tcBorders>
              <w:top w:val="single" w:sz="4" w:space="0" w:color="auto"/>
              <w:left w:val="nil"/>
              <w:bottom w:val="double" w:sz="6" w:space="0" w:color="auto"/>
              <w:right w:val="nil"/>
            </w:tcBorders>
            <w:shd w:val="clear" w:color="auto" w:fill="auto"/>
            <w:noWrap/>
            <w:vAlign w:val="bottom"/>
            <w:hideMark/>
          </w:tcPr>
          <w:p w:rsidR="0018407B" w:rsidRPr="00C25014" w:rsidRDefault="0018407B" w:rsidP="0011382A">
            <w:pPr>
              <w:spacing w:after="0" w:line="240" w:lineRule="auto"/>
              <w:jc w:val="right"/>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1</w:t>
            </w:r>
            <w:r w:rsidR="0011382A">
              <w:rPr>
                <w:rFonts w:ascii="Calibri" w:eastAsia="Times New Roman" w:hAnsi="Calibri" w:cs="Calibri"/>
                <w:b/>
                <w:bCs/>
                <w:color w:val="000000"/>
                <w:sz w:val="20"/>
                <w:szCs w:val="20"/>
                <w:lang w:eastAsia="pt-BR"/>
              </w:rPr>
              <w:t>8</w:t>
            </w:r>
            <w:r>
              <w:rPr>
                <w:rFonts w:ascii="Calibri" w:eastAsia="Times New Roman" w:hAnsi="Calibri" w:cs="Calibri"/>
                <w:b/>
                <w:bCs/>
                <w:color w:val="000000"/>
                <w:sz w:val="20"/>
                <w:szCs w:val="20"/>
                <w:lang w:eastAsia="pt-BR"/>
              </w:rPr>
              <w:t>.</w:t>
            </w:r>
            <w:r w:rsidR="0011382A">
              <w:rPr>
                <w:rFonts w:ascii="Calibri" w:eastAsia="Times New Roman" w:hAnsi="Calibri" w:cs="Calibri"/>
                <w:b/>
                <w:bCs/>
                <w:color w:val="000000"/>
                <w:sz w:val="20"/>
                <w:szCs w:val="20"/>
                <w:lang w:eastAsia="pt-BR"/>
              </w:rPr>
              <w:t>458</w:t>
            </w:r>
            <w:r>
              <w:rPr>
                <w:rFonts w:ascii="Calibri" w:eastAsia="Times New Roman" w:hAnsi="Calibri" w:cs="Calibri"/>
                <w:b/>
                <w:bCs/>
                <w:color w:val="000000"/>
                <w:sz w:val="20"/>
                <w:szCs w:val="20"/>
                <w:lang w:eastAsia="pt-BR"/>
              </w:rPr>
              <w:t>.</w:t>
            </w:r>
            <w:r w:rsidR="0011382A">
              <w:rPr>
                <w:rFonts w:ascii="Calibri" w:eastAsia="Times New Roman" w:hAnsi="Calibri" w:cs="Calibri"/>
                <w:b/>
                <w:bCs/>
                <w:color w:val="000000"/>
                <w:sz w:val="20"/>
                <w:szCs w:val="20"/>
                <w:lang w:eastAsia="pt-BR"/>
              </w:rPr>
              <w:t>529</w:t>
            </w:r>
          </w:p>
        </w:tc>
        <w:tc>
          <w:tcPr>
            <w:tcW w:w="1486" w:type="dxa"/>
            <w:tcBorders>
              <w:top w:val="single" w:sz="4" w:space="0" w:color="auto"/>
              <w:left w:val="nil"/>
              <w:bottom w:val="double" w:sz="6" w:space="0" w:color="auto"/>
              <w:right w:val="nil"/>
            </w:tcBorders>
            <w:shd w:val="clear" w:color="auto" w:fill="auto"/>
            <w:noWrap/>
            <w:vAlign w:val="bottom"/>
            <w:hideMark/>
          </w:tcPr>
          <w:p w:rsidR="0018407B" w:rsidRPr="00C25014" w:rsidRDefault="0018407B" w:rsidP="0011382A">
            <w:pPr>
              <w:spacing w:after="0" w:line="240" w:lineRule="auto"/>
              <w:jc w:val="right"/>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w:t>
            </w:r>
            <w:r w:rsidR="0011382A">
              <w:rPr>
                <w:rFonts w:ascii="Calibri" w:eastAsia="Times New Roman" w:hAnsi="Calibri" w:cs="Calibri"/>
                <w:b/>
                <w:bCs/>
                <w:color w:val="000000"/>
                <w:sz w:val="20"/>
                <w:szCs w:val="20"/>
                <w:lang w:eastAsia="pt-BR"/>
              </w:rPr>
              <w:t>6</w:t>
            </w:r>
            <w:r>
              <w:rPr>
                <w:rFonts w:ascii="Calibri" w:eastAsia="Times New Roman" w:hAnsi="Calibri" w:cs="Calibri"/>
                <w:b/>
                <w:bCs/>
                <w:color w:val="000000"/>
                <w:sz w:val="20"/>
                <w:szCs w:val="20"/>
                <w:lang w:eastAsia="pt-BR"/>
              </w:rPr>
              <w:t>.</w:t>
            </w:r>
            <w:r w:rsidR="0011382A">
              <w:rPr>
                <w:rFonts w:ascii="Calibri" w:eastAsia="Times New Roman" w:hAnsi="Calibri" w:cs="Calibri"/>
                <w:b/>
                <w:bCs/>
                <w:color w:val="000000"/>
                <w:sz w:val="20"/>
                <w:szCs w:val="20"/>
                <w:lang w:eastAsia="pt-BR"/>
              </w:rPr>
              <w:t>732</w:t>
            </w:r>
            <w:r>
              <w:rPr>
                <w:rFonts w:ascii="Calibri" w:eastAsia="Times New Roman" w:hAnsi="Calibri" w:cs="Calibri"/>
                <w:b/>
                <w:bCs/>
                <w:color w:val="000000"/>
                <w:sz w:val="20"/>
                <w:szCs w:val="20"/>
                <w:lang w:eastAsia="pt-BR"/>
              </w:rPr>
              <w:t>.</w:t>
            </w:r>
            <w:r w:rsidR="0011382A">
              <w:rPr>
                <w:rFonts w:ascii="Calibri" w:eastAsia="Times New Roman" w:hAnsi="Calibri" w:cs="Calibri"/>
                <w:b/>
                <w:bCs/>
                <w:color w:val="000000"/>
                <w:sz w:val="20"/>
                <w:szCs w:val="20"/>
                <w:lang w:eastAsia="pt-BR"/>
              </w:rPr>
              <w:t>440</w:t>
            </w:r>
            <w:r>
              <w:rPr>
                <w:rFonts w:ascii="Calibri" w:eastAsia="Times New Roman" w:hAnsi="Calibri" w:cs="Calibri"/>
                <w:b/>
                <w:bCs/>
                <w:color w:val="000000"/>
                <w:sz w:val="20"/>
                <w:szCs w:val="20"/>
                <w:lang w:eastAsia="pt-BR"/>
              </w:rPr>
              <w:t>)</w:t>
            </w:r>
          </w:p>
        </w:tc>
        <w:tc>
          <w:tcPr>
            <w:tcW w:w="1491" w:type="dxa"/>
            <w:tcBorders>
              <w:top w:val="single" w:sz="4" w:space="0" w:color="auto"/>
              <w:left w:val="nil"/>
              <w:bottom w:val="double" w:sz="6" w:space="0" w:color="auto"/>
              <w:right w:val="nil"/>
            </w:tcBorders>
            <w:shd w:val="clear" w:color="auto" w:fill="auto"/>
            <w:noWrap/>
            <w:vAlign w:val="bottom"/>
            <w:hideMark/>
          </w:tcPr>
          <w:p w:rsidR="0018407B" w:rsidRPr="00C25014" w:rsidRDefault="0018407B" w:rsidP="0011382A">
            <w:pPr>
              <w:spacing w:after="0" w:line="240" w:lineRule="auto"/>
              <w:jc w:val="right"/>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1</w:t>
            </w:r>
            <w:r w:rsidR="0011382A">
              <w:rPr>
                <w:rFonts w:ascii="Calibri" w:eastAsia="Times New Roman" w:hAnsi="Calibri" w:cs="Calibri"/>
                <w:b/>
                <w:bCs/>
                <w:color w:val="000000"/>
                <w:sz w:val="20"/>
                <w:szCs w:val="20"/>
                <w:lang w:eastAsia="pt-BR"/>
              </w:rPr>
              <w:t>1</w:t>
            </w:r>
            <w:r>
              <w:rPr>
                <w:rFonts w:ascii="Calibri" w:eastAsia="Times New Roman" w:hAnsi="Calibri" w:cs="Calibri"/>
                <w:b/>
                <w:bCs/>
                <w:color w:val="000000"/>
                <w:sz w:val="20"/>
                <w:szCs w:val="20"/>
                <w:lang w:eastAsia="pt-BR"/>
              </w:rPr>
              <w:t>.</w:t>
            </w:r>
            <w:r w:rsidR="0011382A">
              <w:rPr>
                <w:rFonts w:ascii="Calibri" w:eastAsia="Times New Roman" w:hAnsi="Calibri" w:cs="Calibri"/>
                <w:b/>
                <w:bCs/>
                <w:color w:val="000000"/>
                <w:sz w:val="20"/>
                <w:szCs w:val="20"/>
                <w:lang w:eastAsia="pt-BR"/>
              </w:rPr>
              <w:t>726</w:t>
            </w:r>
            <w:r>
              <w:rPr>
                <w:rFonts w:ascii="Calibri" w:eastAsia="Times New Roman" w:hAnsi="Calibri" w:cs="Calibri"/>
                <w:b/>
                <w:bCs/>
                <w:color w:val="000000"/>
                <w:sz w:val="20"/>
                <w:szCs w:val="20"/>
                <w:lang w:eastAsia="pt-BR"/>
              </w:rPr>
              <w:t>.</w:t>
            </w:r>
            <w:r w:rsidR="0011382A">
              <w:rPr>
                <w:rFonts w:ascii="Calibri" w:eastAsia="Times New Roman" w:hAnsi="Calibri" w:cs="Calibri"/>
                <w:b/>
                <w:bCs/>
                <w:color w:val="000000"/>
                <w:sz w:val="20"/>
                <w:szCs w:val="20"/>
                <w:lang w:eastAsia="pt-BR"/>
              </w:rPr>
              <w:t>089</w:t>
            </w:r>
          </w:p>
        </w:tc>
      </w:tr>
    </w:tbl>
    <w:p w:rsidR="0018407B" w:rsidRDefault="0018407B" w:rsidP="0018407B">
      <w:pPr>
        <w:spacing w:after="0" w:line="240" w:lineRule="auto"/>
        <w:jc w:val="both"/>
        <w:rPr>
          <w:rFonts w:ascii="Times New Roman" w:eastAsia="Times New Roman" w:hAnsi="Times New Roman" w:cs="Times New Roman"/>
          <w:sz w:val="24"/>
          <w:szCs w:val="24"/>
          <w:lang w:eastAsia="pt-BR"/>
        </w:rPr>
      </w:pPr>
    </w:p>
    <w:p w:rsidR="0018407B" w:rsidRDefault="0018407B" w:rsidP="0018407B">
      <w:pPr>
        <w:spacing w:after="0" w:line="240" w:lineRule="auto"/>
        <w:jc w:val="both"/>
        <w:rPr>
          <w:rFonts w:ascii="Times New Roman" w:eastAsia="Times New Roman" w:hAnsi="Times New Roman" w:cs="Times New Roman"/>
          <w:sz w:val="24"/>
          <w:szCs w:val="24"/>
          <w:lang w:eastAsia="pt-BR"/>
        </w:rPr>
      </w:pPr>
      <w:r w:rsidRPr="00D322B2">
        <w:rPr>
          <w:rFonts w:ascii="Times New Roman" w:eastAsia="Times New Roman" w:hAnsi="Times New Roman" w:cs="Times New Roman"/>
          <w:b/>
          <w:sz w:val="24"/>
          <w:szCs w:val="24"/>
          <w:lang w:eastAsia="pt-BR"/>
        </w:rPr>
        <w:t>10.</w:t>
      </w:r>
      <w:r>
        <w:rPr>
          <w:rFonts w:ascii="Times New Roman" w:eastAsia="Times New Roman" w:hAnsi="Times New Roman" w:cs="Times New Roman"/>
          <w:b/>
          <w:sz w:val="24"/>
          <w:szCs w:val="24"/>
          <w:lang w:eastAsia="pt-BR"/>
        </w:rPr>
        <w:t>1</w:t>
      </w:r>
      <w:r w:rsidRPr="00D322B2">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w:t>
      </w:r>
      <w:r>
        <w:rPr>
          <w:rFonts w:ascii="Times New Roman" w:eastAsia="Times New Roman" w:hAnsi="Times New Roman" w:cs="Times New Roman"/>
          <w:sz w:val="24"/>
          <w:szCs w:val="24"/>
          <w:lang w:eastAsia="pt-BR"/>
        </w:rPr>
        <w:t xml:space="preserve"> </w:t>
      </w:r>
      <w:r w:rsidRPr="00D322B2">
        <w:rPr>
          <w:rFonts w:ascii="Times New Roman" w:eastAsia="Times New Roman" w:hAnsi="Times New Roman" w:cs="Times New Roman"/>
          <w:sz w:val="24"/>
          <w:szCs w:val="24"/>
          <w:lang w:eastAsia="pt-BR"/>
        </w:rPr>
        <w:t xml:space="preserve">O sistema informatizado que gere todo o cadastro e acompanhamento dos arquitetos e empresas de arquitetura vinculados ao CAU/BR (SICCAU) é de propriedade do </w:t>
      </w:r>
      <w:r>
        <w:rPr>
          <w:rFonts w:ascii="Times New Roman" w:eastAsia="Times New Roman" w:hAnsi="Times New Roman" w:cs="Times New Roman"/>
          <w:sz w:val="24"/>
          <w:szCs w:val="24"/>
          <w:lang w:eastAsia="pt-BR"/>
        </w:rPr>
        <w:t>C</w:t>
      </w:r>
      <w:r w:rsidRPr="00D322B2">
        <w:rPr>
          <w:rFonts w:ascii="Times New Roman" w:eastAsia="Times New Roman" w:hAnsi="Times New Roman" w:cs="Times New Roman"/>
          <w:sz w:val="24"/>
          <w:szCs w:val="24"/>
          <w:lang w:eastAsia="pt-BR"/>
        </w:rPr>
        <w:t xml:space="preserve">onselho como </w:t>
      </w:r>
      <w:r>
        <w:rPr>
          <w:rFonts w:ascii="Times New Roman" w:eastAsia="Times New Roman" w:hAnsi="Times New Roman" w:cs="Times New Roman"/>
          <w:sz w:val="24"/>
          <w:szCs w:val="24"/>
          <w:lang w:eastAsia="pt-BR"/>
        </w:rPr>
        <w:t>A</w:t>
      </w:r>
      <w:r w:rsidRPr="00D322B2">
        <w:rPr>
          <w:rFonts w:ascii="Times New Roman" w:eastAsia="Times New Roman" w:hAnsi="Times New Roman" w:cs="Times New Roman"/>
          <w:sz w:val="24"/>
          <w:szCs w:val="24"/>
          <w:lang w:eastAsia="pt-BR"/>
        </w:rPr>
        <w:t xml:space="preserve">tivo </w:t>
      </w:r>
      <w:r>
        <w:rPr>
          <w:rFonts w:ascii="Times New Roman" w:eastAsia="Times New Roman" w:hAnsi="Times New Roman" w:cs="Times New Roman"/>
          <w:sz w:val="24"/>
          <w:szCs w:val="24"/>
          <w:lang w:eastAsia="pt-BR"/>
        </w:rPr>
        <w:t>Intangível. T</w:t>
      </w:r>
      <w:r w:rsidRPr="00D322B2">
        <w:rPr>
          <w:rFonts w:ascii="Times New Roman" w:eastAsia="Times New Roman" w:hAnsi="Times New Roman" w:cs="Times New Roman"/>
          <w:sz w:val="24"/>
          <w:szCs w:val="24"/>
          <w:lang w:eastAsia="pt-BR"/>
        </w:rPr>
        <w:t xml:space="preserve">odas as demandas evolutivas do sistema operadas pela contratada </w:t>
      </w:r>
      <w:proofErr w:type="spellStart"/>
      <w:r>
        <w:rPr>
          <w:rFonts w:ascii="Times New Roman" w:eastAsia="Times New Roman" w:hAnsi="Times New Roman" w:cs="Times New Roman"/>
          <w:sz w:val="24"/>
          <w:szCs w:val="24"/>
          <w:lang w:eastAsia="pt-BR"/>
        </w:rPr>
        <w:t>Squadra</w:t>
      </w:r>
      <w:proofErr w:type="spellEnd"/>
      <w:r>
        <w:rPr>
          <w:rFonts w:ascii="Times New Roman" w:eastAsia="Times New Roman" w:hAnsi="Times New Roman" w:cs="Times New Roman"/>
          <w:sz w:val="24"/>
          <w:szCs w:val="24"/>
          <w:lang w:eastAsia="pt-BR"/>
        </w:rPr>
        <w:t xml:space="preserve"> Tecnologia S/A</w:t>
      </w:r>
      <w:r w:rsidRPr="00D322B2">
        <w:rPr>
          <w:rFonts w:ascii="Times New Roman" w:eastAsia="Times New Roman" w:hAnsi="Times New Roman" w:cs="Times New Roman"/>
          <w:sz w:val="24"/>
          <w:szCs w:val="24"/>
          <w:lang w:eastAsia="pt-BR"/>
        </w:rPr>
        <w:t xml:space="preserve"> são tratadas como despesas de capital, integrando o saldo de Serviços de Desenvolvimento de Sistemas.</w:t>
      </w:r>
    </w:p>
    <w:p w:rsidR="0018407B" w:rsidRPr="006032B1" w:rsidRDefault="0018407B" w:rsidP="0018407B">
      <w:pPr>
        <w:spacing w:after="0" w:line="240" w:lineRule="auto"/>
        <w:jc w:val="both"/>
        <w:rPr>
          <w:rFonts w:ascii="Times New Roman" w:eastAsia="Times New Roman" w:hAnsi="Times New Roman" w:cs="Times New Roman"/>
          <w:sz w:val="24"/>
          <w:szCs w:val="24"/>
          <w:lang w:eastAsia="pt-BR"/>
        </w:rPr>
      </w:pPr>
    </w:p>
    <w:p w:rsidR="0018407B" w:rsidRPr="006032B1" w:rsidRDefault="0018407B" w:rsidP="0018407B">
      <w:pPr>
        <w:spacing w:after="0" w:line="240" w:lineRule="auto"/>
        <w:jc w:val="both"/>
        <w:rPr>
          <w:rFonts w:ascii="Times New Roman" w:eastAsia="Times New Roman" w:hAnsi="Times New Roman" w:cs="Times New Roman"/>
          <w:b/>
          <w:sz w:val="24"/>
          <w:szCs w:val="24"/>
          <w:lang w:eastAsia="pt-BR"/>
        </w:rPr>
      </w:pPr>
      <w:r w:rsidRPr="006032B1">
        <w:rPr>
          <w:rFonts w:ascii="Times New Roman" w:eastAsia="Times New Roman" w:hAnsi="Times New Roman" w:cs="Times New Roman"/>
          <w:b/>
          <w:sz w:val="24"/>
          <w:szCs w:val="24"/>
          <w:lang w:eastAsia="pt-BR"/>
        </w:rPr>
        <w:t>11.    Depreciação e Amortização</w:t>
      </w:r>
    </w:p>
    <w:tbl>
      <w:tblPr>
        <w:tblW w:w="0" w:type="auto"/>
        <w:tblCellMar>
          <w:left w:w="0" w:type="dxa"/>
          <w:right w:w="0" w:type="dxa"/>
        </w:tblCellMar>
        <w:tblLook w:val="04A0" w:firstRow="1" w:lastRow="0" w:firstColumn="1" w:lastColumn="0" w:noHBand="0" w:noVBand="1"/>
      </w:tblPr>
      <w:tblGrid>
        <w:gridCol w:w="4965"/>
        <w:gridCol w:w="1710"/>
        <w:gridCol w:w="1560"/>
      </w:tblGrid>
      <w:tr w:rsidR="0018407B" w:rsidRPr="006032B1" w:rsidTr="00C843E2">
        <w:tc>
          <w:tcPr>
            <w:tcW w:w="4965" w:type="dxa"/>
          </w:tcPr>
          <w:p w:rsidR="0018407B" w:rsidRPr="006032B1" w:rsidRDefault="0018407B" w:rsidP="00C843E2">
            <w:pPr>
              <w:spacing w:after="0" w:line="240" w:lineRule="auto"/>
              <w:jc w:val="both"/>
              <w:rPr>
                <w:rFonts w:ascii="Times New Roman" w:eastAsia="Times New Roman" w:hAnsi="Times New Roman" w:cs="Times New Roman"/>
                <w:sz w:val="24"/>
                <w:szCs w:val="24"/>
                <w:lang w:eastAsia="pt-BR"/>
              </w:rPr>
            </w:pPr>
          </w:p>
        </w:tc>
        <w:tc>
          <w:tcPr>
            <w:tcW w:w="1710" w:type="dxa"/>
          </w:tcPr>
          <w:p w:rsidR="0018407B" w:rsidRPr="006032B1" w:rsidRDefault="0018407B" w:rsidP="00C843E2">
            <w:pPr>
              <w:spacing w:after="0" w:line="240" w:lineRule="auto"/>
              <w:jc w:val="both"/>
              <w:rPr>
                <w:rFonts w:ascii="Times New Roman" w:eastAsia="Times New Roman" w:hAnsi="Times New Roman" w:cs="Times New Roman"/>
                <w:sz w:val="24"/>
                <w:szCs w:val="24"/>
                <w:lang w:eastAsia="pt-BR"/>
              </w:rPr>
            </w:pPr>
          </w:p>
        </w:tc>
        <w:tc>
          <w:tcPr>
            <w:tcW w:w="1560" w:type="dxa"/>
          </w:tcPr>
          <w:p w:rsidR="0018407B" w:rsidRPr="006032B1" w:rsidRDefault="0018407B" w:rsidP="00C843E2">
            <w:pPr>
              <w:spacing w:after="0" w:line="240" w:lineRule="auto"/>
              <w:jc w:val="both"/>
              <w:rPr>
                <w:rFonts w:ascii="Times New Roman" w:eastAsia="Times New Roman" w:hAnsi="Times New Roman" w:cs="Times New Roman"/>
                <w:sz w:val="24"/>
                <w:szCs w:val="24"/>
                <w:lang w:eastAsia="pt-BR"/>
              </w:rPr>
            </w:pPr>
          </w:p>
        </w:tc>
      </w:tr>
    </w:tbl>
    <w:p w:rsidR="0018407B"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Os valores de depreciação e Amortiz</w:t>
      </w:r>
      <w:r>
        <w:rPr>
          <w:rFonts w:ascii="Times New Roman" w:eastAsia="Times New Roman" w:hAnsi="Times New Roman" w:cs="Times New Roman"/>
          <w:sz w:val="24"/>
          <w:szCs w:val="24"/>
          <w:lang w:eastAsia="pt-BR"/>
        </w:rPr>
        <w:t>ação registrados, em 31/12/202</w:t>
      </w:r>
      <w:r w:rsidR="000B5B9F">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 xml:space="preserve">, </w:t>
      </w:r>
      <w:r w:rsidRPr="00CE2B53">
        <w:rPr>
          <w:rFonts w:ascii="Times New Roman" w:eastAsia="Times New Roman" w:hAnsi="Times New Roman" w:cs="Times New Roman"/>
          <w:sz w:val="24"/>
          <w:szCs w:val="24"/>
          <w:lang w:eastAsia="pt-BR"/>
        </w:rPr>
        <w:t>estão assim discriminados:</w:t>
      </w:r>
    </w:p>
    <w:p w:rsidR="0018407B" w:rsidRPr="00CE2B53" w:rsidRDefault="0018407B" w:rsidP="0018407B">
      <w:pPr>
        <w:spacing w:after="0" w:line="240" w:lineRule="auto"/>
        <w:jc w:val="both"/>
        <w:rPr>
          <w:rFonts w:ascii="Times New Roman" w:eastAsia="Times New Roman" w:hAnsi="Times New Roman" w:cs="Times New Roman"/>
          <w:sz w:val="24"/>
          <w:szCs w:val="24"/>
          <w:lang w:eastAsia="pt-BR"/>
        </w:rPr>
      </w:pPr>
    </w:p>
    <w:p w:rsidR="0018407B" w:rsidRPr="00CE2B53"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a)    Saldo da Depreciação do Imobilizado até 31/12/</w:t>
      </w:r>
      <w:r>
        <w:rPr>
          <w:rFonts w:ascii="Times New Roman" w:eastAsia="Times New Roman" w:hAnsi="Times New Roman" w:cs="Times New Roman"/>
          <w:sz w:val="24"/>
          <w:szCs w:val="24"/>
          <w:lang w:eastAsia="pt-BR"/>
        </w:rPr>
        <w:t>202</w:t>
      </w:r>
      <w:r w:rsidR="000B5B9F">
        <w:rPr>
          <w:rFonts w:ascii="Times New Roman" w:eastAsia="Times New Roman" w:hAnsi="Times New Roman" w:cs="Times New Roman"/>
          <w:sz w:val="24"/>
          <w:szCs w:val="24"/>
          <w:lang w:eastAsia="pt-BR"/>
        </w:rPr>
        <w:t>2</w:t>
      </w:r>
      <w:proofErr w:type="gramStart"/>
      <w:r>
        <w:rPr>
          <w:rFonts w:ascii="Times New Roman" w:eastAsia="Times New Roman" w:hAnsi="Times New Roman" w:cs="Times New Roman"/>
          <w:sz w:val="24"/>
          <w:szCs w:val="24"/>
          <w:lang w:eastAsia="pt-BR"/>
        </w:rPr>
        <w:tab/>
        <w:t xml:space="preserve">  </w:t>
      </w:r>
      <w:r>
        <w:rPr>
          <w:rFonts w:ascii="Times New Roman" w:eastAsia="Times New Roman" w:hAnsi="Times New Roman" w:cs="Times New Roman"/>
          <w:sz w:val="24"/>
          <w:szCs w:val="24"/>
          <w:lang w:eastAsia="pt-BR"/>
        </w:rPr>
        <w:tab/>
      </w:r>
      <w:proofErr w:type="gramEnd"/>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t>R$ 1.</w:t>
      </w:r>
      <w:r w:rsidR="000B5B9F">
        <w:rPr>
          <w:rFonts w:ascii="Times New Roman" w:eastAsia="Times New Roman" w:hAnsi="Times New Roman" w:cs="Times New Roman"/>
          <w:sz w:val="24"/>
          <w:szCs w:val="24"/>
          <w:lang w:eastAsia="pt-BR"/>
        </w:rPr>
        <w:t>824</w:t>
      </w:r>
      <w:r>
        <w:rPr>
          <w:rFonts w:ascii="Times New Roman" w:eastAsia="Times New Roman" w:hAnsi="Times New Roman" w:cs="Times New Roman"/>
          <w:sz w:val="24"/>
          <w:szCs w:val="24"/>
          <w:lang w:eastAsia="pt-BR"/>
        </w:rPr>
        <w:t>.</w:t>
      </w:r>
      <w:r w:rsidR="000B5B9F">
        <w:rPr>
          <w:rFonts w:ascii="Times New Roman" w:eastAsia="Times New Roman" w:hAnsi="Times New Roman" w:cs="Times New Roman"/>
          <w:sz w:val="24"/>
          <w:szCs w:val="24"/>
          <w:lang w:eastAsia="pt-BR"/>
        </w:rPr>
        <w:t>171</w:t>
      </w:r>
    </w:p>
    <w:p w:rsidR="0018407B" w:rsidRPr="00CE2B53"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b)    Saldo da Amortização de Intangíveis até 31/12/</w:t>
      </w:r>
      <w:r>
        <w:rPr>
          <w:rFonts w:ascii="Times New Roman" w:eastAsia="Times New Roman" w:hAnsi="Times New Roman" w:cs="Times New Roman"/>
          <w:sz w:val="24"/>
          <w:szCs w:val="24"/>
          <w:lang w:eastAsia="pt-BR"/>
        </w:rPr>
        <w:t>202</w:t>
      </w:r>
      <w:r w:rsidR="000B5B9F">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t xml:space="preserve">R$ </w:t>
      </w:r>
      <w:r w:rsidR="000B5B9F">
        <w:rPr>
          <w:rFonts w:ascii="Times New Roman" w:eastAsia="Times New Roman" w:hAnsi="Times New Roman" w:cs="Times New Roman"/>
          <w:sz w:val="24"/>
          <w:szCs w:val="24"/>
          <w:lang w:eastAsia="pt-BR"/>
        </w:rPr>
        <w:t>6</w:t>
      </w:r>
      <w:r>
        <w:rPr>
          <w:rFonts w:ascii="Times New Roman" w:eastAsia="Times New Roman" w:hAnsi="Times New Roman" w:cs="Times New Roman"/>
          <w:sz w:val="24"/>
          <w:szCs w:val="24"/>
          <w:lang w:eastAsia="pt-BR"/>
        </w:rPr>
        <w:t>.</w:t>
      </w:r>
      <w:r w:rsidR="000B5B9F">
        <w:rPr>
          <w:rFonts w:ascii="Times New Roman" w:eastAsia="Times New Roman" w:hAnsi="Times New Roman" w:cs="Times New Roman"/>
          <w:sz w:val="24"/>
          <w:szCs w:val="24"/>
          <w:lang w:eastAsia="pt-BR"/>
        </w:rPr>
        <w:t>732</w:t>
      </w:r>
      <w:r>
        <w:rPr>
          <w:rFonts w:ascii="Times New Roman" w:eastAsia="Times New Roman" w:hAnsi="Times New Roman" w:cs="Times New Roman"/>
          <w:sz w:val="24"/>
          <w:szCs w:val="24"/>
          <w:lang w:eastAsia="pt-BR"/>
        </w:rPr>
        <w:t>.</w:t>
      </w:r>
      <w:r w:rsidR="000B5B9F">
        <w:rPr>
          <w:rFonts w:ascii="Times New Roman" w:eastAsia="Times New Roman" w:hAnsi="Times New Roman" w:cs="Times New Roman"/>
          <w:sz w:val="24"/>
          <w:szCs w:val="24"/>
          <w:lang w:eastAsia="pt-BR"/>
        </w:rPr>
        <w:t>440</w:t>
      </w:r>
    </w:p>
    <w:p w:rsidR="0018407B" w:rsidRPr="00762DC8"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xml:space="preserve">c)    </w:t>
      </w:r>
      <w:r w:rsidRPr="009C328A">
        <w:rPr>
          <w:rFonts w:ascii="Times New Roman" w:eastAsia="Times New Roman" w:hAnsi="Times New Roman" w:cs="Times New Roman"/>
          <w:b/>
          <w:sz w:val="24"/>
          <w:szCs w:val="24"/>
          <w:lang w:eastAsia="pt-BR"/>
        </w:rPr>
        <w:t>Total depreciado e amortizado até 31/12/</w:t>
      </w:r>
      <w:r>
        <w:rPr>
          <w:rFonts w:ascii="Times New Roman" w:eastAsia="Times New Roman" w:hAnsi="Times New Roman" w:cs="Times New Roman"/>
          <w:b/>
          <w:sz w:val="24"/>
          <w:szCs w:val="24"/>
          <w:lang w:eastAsia="pt-BR"/>
        </w:rPr>
        <w:t>202</w:t>
      </w:r>
      <w:r w:rsidR="000B5B9F">
        <w:rPr>
          <w:rFonts w:ascii="Times New Roman" w:eastAsia="Times New Roman" w:hAnsi="Times New Roman" w:cs="Times New Roman"/>
          <w:b/>
          <w:sz w:val="24"/>
          <w:szCs w:val="24"/>
          <w:lang w:eastAsia="pt-BR"/>
        </w:rPr>
        <w:t>2</w:t>
      </w:r>
      <w:r w:rsidRPr="009C328A">
        <w:rPr>
          <w:rFonts w:ascii="Times New Roman" w:eastAsia="Times New Roman" w:hAnsi="Times New Roman" w:cs="Times New Roman"/>
          <w:b/>
          <w:sz w:val="24"/>
          <w:szCs w:val="24"/>
          <w:lang w:eastAsia="pt-BR"/>
        </w:rPr>
        <w:t xml:space="preserve"> </w:t>
      </w:r>
      <w:r w:rsidRPr="009C328A">
        <w:rPr>
          <w:rFonts w:ascii="Times New Roman" w:eastAsia="Times New Roman" w:hAnsi="Times New Roman" w:cs="Times New Roman"/>
          <w:b/>
          <w:sz w:val="24"/>
          <w:szCs w:val="24"/>
          <w:lang w:eastAsia="pt-BR"/>
        </w:rPr>
        <w:tab/>
      </w:r>
      <w:r w:rsidRPr="009C328A">
        <w:rPr>
          <w:rFonts w:ascii="Times New Roman" w:eastAsia="Times New Roman" w:hAnsi="Times New Roman" w:cs="Times New Roman"/>
          <w:b/>
          <w:sz w:val="24"/>
          <w:szCs w:val="24"/>
          <w:lang w:eastAsia="pt-BR"/>
        </w:rPr>
        <w:tab/>
      </w:r>
      <w:r w:rsidRPr="009C328A">
        <w:rPr>
          <w:rFonts w:ascii="Times New Roman" w:eastAsia="Times New Roman" w:hAnsi="Times New Roman" w:cs="Times New Roman"/>
          <w:b/>
          <w:sz w:val="24"/>
          <w:szCs w:val="24"/>
          <w:lang w:eastAsia="pt-BR"/>
        </w:rPr>
        <w:tab/>
      </w:r>
      <w:r w:rsidRPr="009C328A">
        <w:rPr>
          <w:rFonts w:ascii="Times New Roman" w:eastAsia="Times New Roman" w:hAnsi="Times New Roman" w:cs="Times New Roman"/>
          <w:b/>
          <w:sz w:val="24"/>
          <w:szCs w:val="24"/>
          <w:lang w:eastAsia="pt-BR"/>
        </w:rPr>
        <w:tab/>
      </w:r>
      <w:r>
        <w:rPr>
          <w:rFonts w:ascii="Times New Roman" w:eastAsia="Times New Roman" w:hAnsi="Times New Roman" w:cs="Times New Roman"/>
          <w:b/>
          <w:sz w:val="24"/>
          <w:szCs w:val="24"/>
          <w:lang w:eastAsia="pt-BR"/>
        </w:rPr>
        <w:t xml:space="preserve">R$ </w:t>
      </w:r>
      <w:r w:rsidR="000B5B9F">
        <w:rPr>
          <w:rFonts w:ascii="Times New Roman" w:eastAsia="Times New Roman" w:hAnsi="Times New Roman" w:cs="Times New Roman"/>
          <w:b/>
          <w:sz w:val="24"/>
          <w:szCs w:val="24"/>
          <w:lang w:eastAsia="pt-BR"/>
        </w:rPr>
        <w:t>8</w:t>
      </w:r>
      <w:r>
        <w:rPr>
          <w:rFonts w:ascii="Times New Roman" w:eastAsia="Times New Roman" w:hAnsi="Times New Roman" w:cs="Times New Roman"/>
          <w:b/>
          <w:sz w:val="24"/>
          <w:szCs w:val="24"/>
          <w:lang w:eastAsia="pt-BR"/>
        </w:rPr>
        <w:t>.</w:t>
      </w:r>
      <w:r w:rsidR="000B5B9F">
        <w:rPr>
          <w:rFonts w:ascii="Times New Roman" w:eastAsia="Times New Roman" w:hAnsi="Times New Roman" w:cs="Times New Roman"/>
          <w:b/>
          <w:sz w:val="24"/>
          <w:szCs w:val="24"/>
          <w:lang w:eastAsia="pt-BR"/>
        </w:rPr>
        <w:t>556</w:t>
      </w:r>
      <w:r>
        <w:rPr>
          <w:rFonts w:ascii="Times New Roman" w:eastAsia="Times New Roman" w:hAnsi="Times New Roman" w:cs="Times New Roman"/>
          <w:b/>
          <w:sz w:val="24"/>
          <w:szCs w:val="24"/>
          <w:lang w:eastAsia="pt-BR"/>
        </w:rPr>
        <w:t>.</w:t>
      </w:r>
      <w:r w:rsidR="000B5B9F">
        <w:rPr>
          <w:rFonts w:ascii="Times New Roman" w:eastAsia="Times New Roman" w:hAnsi="Times New Roman" w:cs="Times New Roman"/>
          <w:b/>
          <w:sz w:val="24"/>
          <w:szCs w:val="24"/>
          <w:lang w:eastAsia="pt-BR"/>
        </w:rPr>
        <w:t>611</w:t>
      </w:r>
    </w:p>
    <w:p w:rsidR="0018407B" w:rsidRDefault="0018407B" w:rsidP="0018407B">
      <w:pPr>
        <w:spacing w:after="0" w:line="240" w:lineRule="auto"/>
        <w:jc w:val="both"/>
        <w:rPr>
          <w:rFonts w:ascii="Times New Roman" w:eastAsia="Times New Roman" w:hAnsi="Times New Roman" w:cs="Times New Roman"/>
          <w:b/>
          <w:sz w:val="24"/>
          <w:szCs w:val="24"/>
          <w:lang w:eastAsia="pt-BR"/>
        </w:rPr>
      </w:pPr>
    </w:p>
    <w:p w:rsidR="0018407B" w:rsidRDefault="0018407B" w:rsidP="0018407B">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12. Fornecedores e Contas a Pagar a</w:t>
      </w:r>
      <w:r w:rsidRPr="00B17B53">
        <w:rPr>
          <w:rFonts w:ascii="Times New Roman" w:eastAsia="Times New Roman" w:hAnsi="Times New Roman" w:cs="Times New Roman"/>
          <w:b/>
          <w:sz w:val="24"/>
          <w:szCs w:val="24"/>
          <w:lang w:eastAsia="pt-BR"/>
        </w:rPr>
        <w:t xml:space="preserve"> Curto</w:t>
      </w:r>
      <w:r>
        <w:rPr>
          <w:rFonts w:ascii="Times New Roman" w:eastAsia="Times New Roman" w:hAnsi="Times New Roman" w:cs="Times New Roman"/>
          <w:b/>
          <w:sz w:val="24"/>
          <w:szCs w:val="24"/>
          <w:lang w:eastAsia="pt-BR"/>
        </w:rPr>
        <w:t xml:space="preserve"> Prazo</w:t>
      </w:r>
    </w:p>
    <w:p w:rsidR="0018407B" w:rsidRDefault="0018407B" w:rsidP="0018407B">
      <w:pPr>
        <w:spacing w:after="0" w:line="240" w:lineRule="auto"/>
        <w:jc w:val="both"/>
        <w:rPr>
          <w:rFonts w:ascii="Times New Roman" w:eastAsia="Times New Roman" w:hAnsi="Times New Roman" w:cs="Times New Roman"/>
          <w:b/>
          <w:sz w:val="24"/>
          <w:szCs w:val="24"/>
          <w:lang w:eastAsia="pt-BR"/>
        </w:rPr>
      </w:pPr>
    </w:p>
    <w:p w:rsidR="0018407B" w:rsidRDefault="0018407B" w:rsidP="0018407B">
      <w:pPr>
        <w:pStyle w:val="Style"/>
        <w:autoSpaceDE/>
        <w:adjustRightInd/>
        <w:spacing w:before="2" w:line="216" w:lineRule="auto"/>
        <w:rPr>
          <w:color w:val="000000"/>
          <w:u w:val="single"/>
          <w:lang w:val="pt-BR"/>
        </w:rPr>
      </w:pPr>
      <w:r w:rsidRPr="00F46F73">
        <w:rPr>
          <w:color w:val="000000"/>
          <w:lang w:val="pt-BR"/>
        </w:rPr>
        <w:tab/>
      </w:r>
      <w:r w:rsidRPr="00F46F73">
        <w:rPr>
          <w:color w:val="000000"/>
          <w:lang w:val="pt-BR"/>
        </w:rPr>
        <w:tab/>
      </w:r>
      <w:r w:rsidRPr="00F46F73">
        <w:rPr>
          <w:color w:val="000000"/>
          <w:lang w:val="pt-BR"/>
        </w:rPr>
        <w:tab/>
      </w:r>
      <w:r w:rsidRPr="00F46F73">
        <w:rPr>
          <w:color w:val="000000"/>
          <w:lang w:val="pt-BR"/>
        </w:rPr>
        <w:tab/>
      </w:r>
      <w:r w:rsidRPr="00F46F73">
        <w:rPr>
          <w:color w:val="000000"/>
          <w:lang w:val="pt-BR"/>
        </w:rPr>
        <w:tab/>
      </w:r>
      <w:r w:rsidRPr="00F46F73">
        <w:rPr>
          <w:color w:val="000000"/>
          <w:lang w:val="pt-BR"/>
        </w:rPr>
        <w:tab/>
      </w:r>
      <w:r w:rsidRPr="00F46F73">
        <w:rPr>
          <w:color w:val="000000"/>
          <w:u w:val="single"/>
          <w:lang w:val="pt-BR"/>
        </w:rPr>
        <w:tab/>
      </w:r>
      <w:r>
        <w:rPr>
          <w:color w:val="000000"/>
          <w:u w:val="single"/>
          <w:lang w:val="pt-BR"/>
        </w:rPr>
        <w:t>202</w:t>
      </w:r>
      <w:r w:rsidR="00E42A27">
        <w:rPr>
          <w:color w:val="000000"/>
          <w:u w:val="single"/>
          <w:lang w:val="pt-BR"/>
        </w:rPr>
        <w:t>2</w:t>
      </w:r>
      <w:r w:rsidRPr="00F46F73">
        <w:rPr>
          <w:color w:val="000000"/>
          <w:u w:val="single"/>
          <w:lang w:val="pt-BR"/>
        </w:rPr>
        <w:tab/>
      </w:r>
      <w:r w:rsidRPr="00F46F73">
        <w:rPr>
          <w:color w:val="000000"/>
          <w:lang w:val="pt-BR"/>
        </w:rPr>
        <w:tab/>
      </w:r>
      <w:r w:rsidRPr="00F46F73">
        <w:rPr>
          <w:color w:val="000000"/>
          <w:u w:val="single"/>
          <w:lang w:val="pt-BR"/>
        </w:rPr>
        <w:t xml:space="preserve">    </w:t>
      </w:r>
      <w:r>
        <w:rPr>
          <w:color w:val="000000"/>
          <w:u w:val="single"/>
          <w:lang w:val="pt-BR"/>
        </w:rPr>
        <w:t xml:space="preserve"> </w:t>
      </w:r>
      <w:r w:rsidRPr="00F46F73">
        <w:rPr>
          <w:color w:val="000000"/>
          <w:u w:val="single"/>
          <w:lang w:val="pt-BR"/>
        </w:rPr>
        <w:t xml:space="preserve">   </w:t>
      </w:r>
      <w:r>
        <w:rPr>
          <w:color w:val="000000"/>
          <w:u w:val="single"/>
          <w:lang w:val="pt-BR"/>
        </w:rPr>
        <w:t>202</w:t>
      </w:r>
      <w:r w:rsidR="00E42A27">
        <w:rPr>
          <w:color w:val="000000"/>
          <w:u w:val="single"/>
          <w:lang w:val="pt-BR"/>
        </w:rPr>
        <w:t>1</w:t>
      </w:r>
    </w:p>
    <w:p w:rsidR="0018407B" w:rsidRPr="001D2071" w:rsidRDefault="0018407B" w:rsidP="0018407B">
      <w:pPr>
        <w:pStyle w:val="Style"/>
        <w:autoSpaceDE/>
        <w:adjustRightInd/>
        <w:spacing w:before="2" w:line="216" w:lineRule="auto"/>
        <w:rPr>
          <w:color w:val="000000"/>
          <w:u w:val="single"/>
          <w:lang w:val="pt-BR"/>
        </w:rPr>
      </w:pPr>
    </w:p>
    <w:p w:rsidR="006A750A" w:rsidRDefault="006A750A" w:rsidP="0018407B">
      <w:pPr>
        <w:pStyle w:val="Style"/>
        <w:autoSpaceDE/>
        <w:adjustRightInd/>
        <w:spacing w:before="2" w:line="216" w:lineRule="auto"/>
        <w:ind w:left="426"/>
        <w:rPr>
          <w:color w:val="000000" w:themeColor="text1"/>
          <w:lang w:val="pt-BR"/>
        </w:rPr>
      </w:pPr>
      <w:proofErr w:type="gramStart"/>
      <w:r w:rsidRPr="006A750A">
        <w:rPr>
          <w:color w:val="000000" w:themeColor="text1"/>
          <w:lang w:val="pt-BR"/>
        </w:rPr>
        <w:t>Fornecedores Diversos</w:t>
      </w:r>
      <w:proofErr w:type="gramEnd"/>
      <w:r w:rsidRPr="006A750A">
        <w:rPr>
          <w:color w:val="000000" w:themeColor="text1"/>
          <w:lang w:val="pt-BR"/>
        </w:rPr>
        <w:t xml:space="preserve"> </w:t>
      </w:r>
      <w:r>
        <w:rPr>
          <w:color w:val="000000" w:themeColor="text1"/>
          <w:lang w:val="pt-BR"/>
        </w:rPr>
        <w:t>–</w:t>
      </w:r>
      <w:r w:rsidRPr="006A750A">
        <w:rPr>
          <w:color w:val="000000" w:themeColor="text1"/>
          <w:lang w:val="pt-BR"/>
        </w:rPr>
        <w:t xml:space="preserve"> </w:t>
      </w:r>
      <w:proofErr w:type="spellStart"/>
      <w:r w:rsidRPr="006A750A">
        <w:rPr>
          <w:color w:val="000000" w:themeColor="text1"/>
          <w:lang w:val="pt-BR"/>
        </w:rPr>
        <w:t>V</w:t>
      </w:r>
      <w:r>
        <w:rPr>
          <w:color w:val="000000" w:themeColor="text1"/>
          <w:lang w:val="pt-BR"/>
        </w:rPr>
        <w:t>alid</w:t>
      </w:r>
      <w:proofErr w:type="spellEnd"/>
      <w:r>
        <w:rPr>
          <w:color w:val="000000" w:themeColor="text1"/>
          <w:lang w:val="pt-BR"/>
        </w:rPr>
        <w:t xml:space="preserve"> </w:t>
      </w:r>
      <w:r w:rsidRPr="006A750A">
        <w:rPr>
          <w:color w:val="000000" w:themeColor="text1"/>
          <w:lang w:val="pt-BR"/>
        </w:rPr>
        <w:t>S</w:t>
      </w:r>
      <w:r>
        <w:rPr>
          <w:color w:val="000000" w:themeColor="text1"/>
          <w:lang w:val="pt-BR"/>
        </w:rPr>
        <w:t xml:space="preserve">oluções        315.745 </w:t>
      </w:r>
    </w:p>
    <w:p w:rsidR="0018407B" w:rsidRDefault="0018407B" w:rsidP="0018407B">
      <w:pPr>
        <w:pStyle w:val="Style"/>
        <w:autoSpaceDE/>
        <w:adjustRightInd/>
        <w:spacing w:before="2" w:line="216" w:lineRule="auto"/>
        <w:ind w:left="426"/>
        <w:rPr>
          <w:color w:val="000000" w:themeColor="text1"/>
          <w:lang w:val="pt-BR"/>
        </w:rPr>
      </w:pPr>
      <w:r>
        <w:rPr>
          <w:color w:val="000000" w:themeColor="text1"/>
          <w:lang w:val="pt-BR"/>
        </w:rPr>
        <w:t xml:space="preserve">Restos a Pagar Processado </w:t>
      </w:r>
      <w:r>
        <w:rPr>
          <w:color w:val="000000" w:themeColor="text1"/>
          <w:lang w:val="pt-BR"/>
        </w:rPr>
        <w:tab/>
      </w:r>
      <w:r>
        <w:rPr>
          <w:color w:val="000000" w:themeColor="text1"/>
          <w:lang w:val="pt-BR"/>
        </w:rPr>
        <w:tab/>
        <w:t xml:space="preserve">      3.</w:t>
      </w:r>
      <w:r w:rsidR="00E42A27">
        <w:rPr>
          <w:color w:val="000000" w:themeColor="text1"/>
          <w:lang w:val="pt-BR"/>
        </w:rPr>
        <w:t>921</w:t>
      </w:r>
      <w:r>
        <w:rPr>
          <w:color w:val="000000" w:themeColor="text1"/>
          <w:lang w:val="pt-BR"/>
        </w:rPr>
        <w:t>.</w:t>
      </w:r>
      <w:r w:rsidR="00E42A27">
        <w:rPr>
          <w:color w:val="000000" w:themeColor="text1"/>
          <w:lang w:val="pt-BR"/>
        </w:rPr>
        <w:t>740</w:t>
      </w:r>
      <w:r w:rsidRPr="00F46F73">
        <w:rPr>
          <w:color w:val="000000" w:themeColor="text1"/>
          <w:lang w:val="pt-BR"/>
        </w:rPr>
        <w:tab/>
      </w:r>
      <w:r>
        <w:rPr>
          <w:color w:val="000000" w:themeColor="text1"/>
          <w:lang w:val="pt-BR"/>
        </w:rPr>
        <w:t xml:space="preserve">            </w:t>
      </w:r>
      <w:r w:rsidR="00E42A27">
        <w:rPr>
          <w:color w:val="000000" w:themeColor="text1"/>
          <w:lang w:val="pt-BR"/>
        </w:rPr>
        <w:t xml:space="preserve"> 3.434.754</w:t>
      </w:r>
    </w:p>
    <w:p w:rsidR="0018407B" w:rsidRPr="000B15B9" w:rsidRDefault="0018407B" w:rsidP="0018407B">
      <w:pPr>
        <w:pStyle w:val="Style"/>
        <w:autoSpaceDE/>
        <w:adjustRightInd/>
        <w:spacing w:before="2" w:line="216" w:lineRule="auto"/>
        <w:ind w:left="426"/>
        <w:rPr>
          <w:color w:val="000000" w:themeColor="text1"/>
          <w:sz w:val="10"/>
          <w:szCs w:val="10"/>
          <w:lang w:val="pt-BR"/>
        </w:rPr>
      </w:pPr>
    </w:p>
    <w:p w:rsidR="0018407B" w:rsidRDefault="0018407B" w:rsidP="0018407B">
      <w:pPr>
        <w:spacing w:after="0" w:line="240" w:lineRule="auto"/>
        <w:ind w:firstLine="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Total</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w:t>
      </w:r>
      <w:r w:rsidR="00F77DBC">
        <w:rPr>
          <w:rFonts w:ascii="Times New Roman" w:hAnsi="Times New Roman" w:cs="Times New Roman"/>
          <w:b/>
          <w:color w:val="000000" w:themeColor="text1"/>
          <w:sz w:val="24"/>
          <w:szCs w:val="24"/>
          <w:u w:val="single"/>
        </w:rPr>
        <w:t>4</w:t>
      </w:r>
      <w:r>
        <w:rPr>
          <w:rFonts w:ascii="Times New Roman" w:hAnsi="Times New Roman" w:cs="Times New Roman"/>
          <w:b/>
          <w:color w:val="000000" w:themeColor="text1"/>
          <w:sz w:val="24"/>
          <w:szCs w:val="24"/>
          <w:u w:val="single"/>
        </w:rPr>
        <w:t>.</w:t>
      </w:r>
      <w:r w:rsidR="00F77DBC">
        <w:rPr>
          <w:rFonts w:ascii="Times New Roman" w:hAnsi="Times New Roman" w:cs="Times New Roman"/>
          <w:b/>
          <w:color w:val="000000" w:themeColor="text1"/>
          <w:sz w:val="24"/>
          <w:szCs w:val="24"/>
          <w:u w:val="single"/>
        </w:rPr>
        <w:t>237</w:t>
      </w:r>
      <w:r>
        <w:rPr>
          <w:rFonts w:ascii="Times New Roman" w:hAnsi="Times New Roman" w:cs="Times New Roman"/>
          <w:b/>
          <w:color w:val="000000" w:themeColor="text1"/>
          <w:sz w:val="24"/>
          <w:szCs w:val="24"/>
          <w:u w:val="single"/>
        </w:rPr>
        <w:t>.</w:t>
      </w:r>
      <w:r w:rsidR="006A750A">
        <w:rPr>
          <w:rFonts w:ascii="Times New Roman" w:hAnsi="Times New Roman" w:cs="Times New Roman"/>
          <w:b/>
          <w:color w:val="000000" w:themeColor="text1"/>
          <w:sz w:val="24"/>
          <w:szCs w:val="24"/>
          <w:u w:val="single"/>
        </w:rPr>
        <w:t>485</w:t>
      </w:r>
      <w:r w:rsidRPr="00F46F73">
        <w:rPr>
          <w:rFonts w:ascii="Times New Roman" w:hAnsi="Times New Roman" w:cs="Times New Roman"/>
          <w:b/>
          <w:color w:val="000000" w:themeColor="text1"/>
          <w:sz w:val="24"/>
          <w:szCs w:val="24"/>
        </w:rPr>
        <w:t xml:space="preserve">       </w:t>
      </w:r>
      <w:r w:rsidR="006A750A">
        <w:rPr>
          <w:rFonts w:ascii="Times New Roman" w:hAnsi="Times New Roman" w:cs="Times New Roman"/>
          <w:b/>
          <w:color w:val="000000" w:themeColor="text1"/>
          <w:sz w:val="24"/>
          <w:szCs w:val="24"/>
        </w:rPr>
        <w:t xml:space="preserve"> </w:t>
      </w:r>
      <w:r w:rsidRPr="00F46F73">
        <w:rPr>
          <w:rFonts w:ascii="Times New Roman" w:hAnsi="Times New Roman" w:cs="Times New Roman"/>
          <w:b/>
          <w:color w:val="000000" w:themeColor="text1"/>
          <w:sz w:val="24"/>
          <w:szCs w:val="24"/>
        </w:rPr>
        <w:t xml:space="preserve">      </w:t>
      </w:r>
      <w:r w:rsidR="00E42A27">
        <w:rPr>
          <w:rFonts w:ascii="Times New Roman" w:hAnsi="Times New Roman" w:cs="Times New Roman"/>
          <w:b/>
          <w:color w:val="000000" w:themeColor="text1"/>
          <w:sz w:val="24"/>
          <w:szCs w:val="24"/>
        </w:rPr>
        <w:t xml:space="preserve"> </w:t>
      </w:r>
      <w:r w:rsidR="00E42A27">
        <w:rPr>
          <w:rFonts w:ascii="Times New Roman" w:hAnsi="Times New Roman" w:cs="Times New Roman"/>
          <w:b/>
          <w:color w:val="000000" w:themeColor="text1"/>
          <w:sz w:val="24"/>
          <w:szCs w:val="24"/>
          <w:u w:val="single"/>
        </w:rPr>
        <w:t>3.434.754</w:t>
      </w:r>
    </w:p>
    <w:p w:rsidR="0018407B" w:rsidRDefault="0018407B" w:rsidP="0018407B">
      <w:pPr>
        <w:spacing w:after="0" w:line="240" w:lineRule="auto"/>
        <w:ind w:firstLine="426"/>
        <w:jc w:val="both"/>
        <w:rPr>
          <w:rFonts w:ascii="Times New Roman" w:eastAsia="Times New Roman" w:hAnsi="Times New Roman" w:cs="Times New Roman"/>
          <w:sz w:val="24"/>
          <w:szCs w:val="24"/>
          <w:lang w:eastAsia="pt-BR"/>
        </w:rPr>
      </w:pPr>
    </w:p>
    <w:p w:rsidR="003D5406" w:rsidRDefault="003D5406" w:rsidP="0018407B">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 xml:space="preserve">O </w:t>
      </w:r>
      <w:r w:rsidR="00F77DBC">
        <w:rPr>
          <w:rFonts w:ascii="Times New Roman" w:eastAsia="Times New Roman" w:hAnsi="Times New Roman" w:cs="Times New Roman"/>
          <w:sz w:val="24"/>
          <w:szCs w:val="24"/>
          <w:lang w:eastAsia="pt-BR"/>
        </w:rPr>
        <w:t>v</w:t>
      </w:r>
      <w:r w:rsidRPr="003D5406">
        <w:rPr>
          <w:rFonts w:ascii="Times New Roman" w:eastAsia="Times New Roman" w:hAnsi="Times New Roman" w:cs="Times New Roman"/>
          <w:sz w:val="24"/>
          <w:szCs w:val="24"/>
          <w:lang w:eastAsia="pt-BR"/>
        </w:rPr>
        <w:t xml:space="preserve">alor </w:t>
      </w:r>
      <w:r w:rsidR="00F77DBC">
        <w:rPr>
          <w:rFonts w:ascii="Times New Roman" w:eastAsia="Times New Roman" w:hAnsi="Times New Roman" w:cs="Times New Roman"/>
          <w:sz w:val="24"/>
          <w:szCs w:val="24"/>
          <w:lang w:eastAsia="pt-BR"/>
        </w:rPr>
        <w:t xml:space="preserve">de </w:t>
      </w:r>
      <w:r>
        <w:rPr>
          <w:rFonts w:ascii="Times New Roman" w:eastAsia="Times New Roman" w:hAnsi="Times New Roman" w:cs="Times New Roman"/>
          <w:sz w:val="24"/>
          <w:szCs w:val="24"/>
          <w:lang w:eastAsia="pt-BR"/>
        </w:rPr>
        <w:t xml:space="preserve">Fornecedores Diversos – </w:t>
      </w:r>
      <w:proofErr w:type="spellStart"/>
      <w:r>
        <w:rPr>
          <w:rFonts w:ascii="Times New Roman" w:eastAsia="Times New Roman" w:hAnsi="Times New Roman" w:cs="Times New Roman"/>
          <w:sz w:val="24"/>
          <w:szCs w:val="24"/>
          <w:lang w:eastAsia="pt-BR"/>
        </w:rPr>
        <w:t>Valid</w:t>
      </w:r>
      <w:proofErr w:type="spellEnd"/>
      <w:r>
        <w:rPr>
          <w:rFonts w:ascii="Times New Roman" w:eastAsia="Times New Roman" w:hAnsi="Times New Roman" w:cs="Times New Roman"/>
          <w:sz w:val="24"/>
          <w:szCs w:val="24"/>
          <w:lang w:eastAsia="pt-BR"/>
        </w:rPr>
        <w:t xml:space="preserve"> Soluções, foi </w:t>
      </w:r>
      <w:r w:rsidRPr="003D5406">
        <w:rPr>
          <w:rFonts w:ascii="Times New Roman" w:eastAsia="Times New Roman" w:hAnsi="Times New Roman" w:cs="Times New Roman"/>
          <w:sz w:val="24"/>
          <w:szCs w:val="24"/>
          <w:lang w:eastAsia="pt-BR"/>
        </w:rPr>
        <w:t>glosado</w:t>
      </w:r>
      <w:r>
        <w:rPr>
          <w:rFonts w:ascii="Times New Roman" w:eastAsia="Times New Roman" w:hAnsi="Times New Roman" w:cs="Times New Roman"/>
          <w:sz w:val="24"/>
          <w:szCs w:val="24"/>
          <w:lang w:eastAsia="pt-BR"/>
        </w:rPr>
        <w:t>, c</w:t>
      </w:r>
      <w:r w:rsidRPr="003D5406">
        <w:rPr>
          <w:rFonts w:ascii="Times New Roman" w:eastAsia="Times New Roman" w:hAnsi="Times New Roman" w:cs="Times New Roman"/>
          <w:sz w:val="24"/>
          <w:szCs w:val="24"/>
          <w:lang w:eastAsia="pt-BR"/>
        </w:rPr>
        <w:t>onforme mencionado n</w:t>
      </w:r>
      <w:r>
        <w:rPr>
          <w:rFonts w:ascii="Times New Roman" w:eastAsia="Times New Roman" w:hAnsi="Times New Roman" w:cs="Times New Roman"/>
          <w:sz w:val="24"/>
          <w:szCs w:val="24"/>
          <w:lang w:eastAsia="pt-BR"/>
        </w:rPr>
        <w:t>os itens e subitens do Acórdão nº</w:t>
      </w:r>
      <w:r w:rsidRPr="003D5406">
        <w:rPr>
          <w:rFonts w:ascii="Times New Roman" w:eastAsia="Times New Roman" w:hAnsi="Times New Roman" w:cs="Times New Roman"/>
          <w:sz w:val="24"/>
          <w:szCs w:val="24"/>
          <w:lang w:eastAsia="pt-BR"/>
        </w:rPr>
        <w:t xml:space="preserve"> 1</w:t>
      </w:r>
      <w:r>
        <w:rPr>
          <w:rFonts w:ascii="Times New Roman" w:eastAsia="Times New Roman" w:hAnsi="Times New Roman" w:cs="Times New Roman"/>
          <w:sz w:val="24"/>
          <w:szCs w:val="24"/>
          <w:lang w:eastAsia="pt-BR"/>
        </w:rPr>
        <w:t>.</w:t>
      </w:r>
      <w:r w:rsidRPr="003D5406">
        <w:rPr>
          <w:rFonts w:ascii="Times New Roman" w:eastAsia="Times New Roman" w:hAnsi="Times New Roman" w:cs="Times New Roman"/>
          <w:sz w:val="24"/>
          <w:szCs w:val="24"/>
          <w:lang w:eastAsia="pt-BR"/>
        </w:rPr>
        <w:t xml:space="preserve">460/2022 do TCU, </w:t>
      </w:r>
      <w:r>
        <w:rPr>
          <w:rFonts w:ascii="Times New Roman" w:eastAsia="Times New Roman" w:hAnsi="Times New Roman" w:cs="Times New Roman"/>
          <w:sz w:val="24"/>
          <w:szCs w:val="24"/>
          <w:lang w:eastAsia="pt-BR"/>
        </w:rPr>
        <w:t xml:space="preserve">onde </w:t>
      </w:r>
      <w:r w:rsidRPr="003D5406">
        <w:rPr>
          <w:rFonts w:ascii="Times New Roman" w:eastAsia="Times New Roman" w:hAnsi="Times New Roman" w:cs="Times New Roman"/>
          <w:sz w:val="24"/>
          <w:szCs w:val="24"/>
          <w:lang w:eastAsia="pt-BR"/>
        </w:rPr>
        <w:t>fica estabelecida a aplicação de GLOSA, conforme previsão do artigo 79, inciso I, cumulado com o artigo 80, inciso IV, da Lei n° 8.666/93 e legislação correlata</w:t>
      </w:r>
      <w:r>
        <w:rPr>
          <w:rFonts w:ascii="Times New Roman" w:eastAsia="Times New Roman" w:hAnsi="Times New Roman" w:cs="Times New Roman"/>
          <w:sz w:val="24"/>
          <w:szCs w:val="24"/>
          <w:lang w:eastAsia="pt-BR"/>
        </w:rPr>
        <w:t>.</w:t>
      </w:r>
    </w:p>
    <w:p w:rsidR="003D5406" w:rsidRDefault="003D5406" w:rsidP="0018407B">
      <w:pPr>
        <w:spacing w:after="0" w:line="240" w:lineRule="auto"/>
        <w:jc w:val="both"/>
        <w:rPr>
          <w:rFonts w:ascii="Times New Roman" w:eastAsia="Times New Roman" w:hAnsi="Times New Roman" w:cs="Times New Roman"/>
          <w:sz w:val="24"/>
          <w:szCs w:val="24"/>
          <w:lang w:eastAsia="pt-BR"/>
        </w:rPr>
      </w:pPr>
    </w:p>
    <w:p w:rsidR="0018407B"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xml:space="preserve">O valor </w:t>
      </w:r>
      <w:r w:rsidR="00F77DBC">
        <w:rPr>
          <w:rFonts w:ascii="Times New Roman" w:eastAsia="Times New Roman" w:hAnsi="Times New Roman" w:cs="Times New Roman"/>
          <w:sz w:val="24"/>
          <w:szCs w:val="24"/>
          <w:lang w:eastAsia="pt-BR"/>
        </w:rPr>
        <w:t>d</w:t>
      </w:r>
      <w:r>
        <w:rPr>
          <w:rFonts w:ascii="Times New Roman" w:eastAsia="Times New Roman" w:hAnsi="Times New Roman" w:cs="Times New Roman"/>
          <w:sz w:val="24"/>
          <w:szCs w:val="24"/>
          <w:lang w:eastAsia="pt-BR"/>
        </w:rPr>
        <w:t>o saldo representa o total escriturado</w:t>
      </w:r>
      <w:r w:rsidR="00F77DBC">
        <w:rPr>
          <w:rFonts w:ascii="Times New Roman" w:eastAsia="Times New Roman" w:hAnsi="Times New Roman" w:cs="Times New Roman"/>
          <w:sz w:val="24"/>
          <w:szCs w:val="24"/>
          <w:lang w:eastAsia="pt-BR"/>
        </w:rPr>
        <w:t xml:space="preserve"> em Forneceres Diversos – </w:t>
      </w:r>
      <w:proofErr w:type="spellStart"/>
      <w:r w:rsidR="00F77DBC">
        <w:rPr>
          <w:rFonts w:ascii="Times New Roman" w:eastAsia="Times New Roman" w:hAnsi="Times New Roman" w:cs="Times New Roman"/>
          <w:sz w:val="24"/>
          <w:szCs w:val="24"/>
          <w:lang w:eastAsia="pt-BR"/>
        </w:rPr>
        <w:t>Valid</w:t>
      </w:r>
      <w:proofErr w:type="spellEnd"/>
      <w:r w:rsidR="00F77DBC">
        <w:rPr>
          <w:rFonts w:ascii="Times New Roman" w:eastAsia="Times New Roman" w:hAnsi="Times New Roman" w:cs="Times New Roman"/>
          <w:sz w:val="24"/>
          <w:szCs w:val="24"/>
          <w:lang w:eastAsia="pt-BR"/>
        </w:rPr>
        <w:t xml:space="preserve"> Soluções e </w:t>
      </w:r>
      <w:r w:rsidR="003456A3">
        <w:rPr>
          <w:rFonts w:ascii="Times New Roman" w:eastAsia="Times New Roman" w:hAnsi="Times New Roman" w:cs="Times New Roman"/>
          <w:sz w:val="24"/>
          <w:szCs w:val="24"/>
          <w:lang w:eastAsia="pt-BR"/>
        </w:rPr>
        <w:t xml:space="preserve">em </w:t>
      </w:r>
      <w:r>
        <w:rPr>
          <w:rFonts w:ascii="Times New Roman" w:eastAsia="Times New Roman" w:hAnsi="Times New Roman" w:cs="Times New Roman"/>
          <w:sz w:val="24"/>
          <w:szCs w:val="24"/>
          <w:lang w:eastAsia="pt-BR"/>
        </w:rPr>
        <w:t>Restos a Pagar Processado do e</w:t>
      </w:r>
      <w:r w:rsidRPr="00CE2B53">
        <w:rPr>
          <w:rFonts w:ascii="Times New Roman" w:eastAsia="Times New Roman" w:hAnsi="Times New Roman" w:cs="Times New Roman"/>
          <w:sz w:val="24"/>
          <w:szCs w:val="24"/>
          <w:lang w:eastAsia="pt-BR"/>
        </w:rPr>
        <w:t xml:space="preserve">xercício de </w:t>
      </w:r>
      <w:r>
        <w:rPr>
          <w:rFonts w:ascii="Times New Roman" w:eastAsia="Times New Roman" w:hAnsi="Times New Roman" w:cs="Times New Roman"/>
          <w:sz w:val="24"/>
          <w:szCs w:val="24"/>
          <w:lang w:eastAsia="pt-BR"/>
        </w:rPr>
        <w:t>202</w:t>
      </w:r>
      <w:r w:rsidR="00E42A27">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 xml:space="preserve"> em 31/12/202</w:t>
      </w:r>
      <w:r w:rsidR="00E42A27">
        <w:rPr>
          <w:rFonts w:ascii="Times New Roman" w:eastAsia="Times New Roman" w:hAnsi="Times New Roman" w:cs="Times New Roman"/>
          <w:sz w:val="24"/>
          <w:szCs w:val="24"/>
          <w:lang w:eastAsia="pt-BR"/>
        </w:rPr>
        <w:t xml:space="preserve">2 no montante de R$ </w:t>
      </w:r>
      <w:r w:rsidR="00F77DBC">
        <w:rPr>
          <w:rFonts w:ascii="Times New Roman" w:eastAsia="Times New Roman" w:hAnsi="Times New Roman" w:cs="Times New Roman"/>
          <w:sz w:val="24"/>
          <w:szCs w:val="24"/>
          <w:lang w:eastAsia="pt-BR"/>
        </w:rPr>
        <w:t>4.237</w:t>
      </w:r>
      <w:r>
        <w:rPr>
          <w:rFonts w:ascii="Times New Roman" w:eastAsia="Times New Roman" w:hAnsi="Times New Roman" w:cs="Times New Roman"/>
          <w:sz w:val="24"/>
          <w:szCs w:val="24"/>
          <w:lang w:eastAsia="pt-BR"/>
        </w:rPr>
        <w:t>.</w:t>
      </w:r>
      <w:r w:rsidR="00F77DBC">
        <w:rPr>
          <w:rFonts w:ascii="Times New Roman" w:eastAsia="Times New Roman" w:hAnsi="Times New Roman" w:cs="Times New Roman"/>
          <w:sz w:val="24"/>
          <w:szCs w:val="24"/>
          <w:lang w:eastAsia="pt-BR"/>
        </w:rPr>
        <w:t>485</w:t>
      </w:r>
      <w:r>
        <w:rPr>
          <w:rFonts w:ascii="Times New Roman" w:eastAsia="Times New Roman" w:hAnsi="Times New Roman" w:cs="Times New Roman"/>
          <w:sz w:val="24"/>
          <w:szCs w:val="24"/>
          <w:lang w:eastAsia="pt-BR"/>
        </w:rPr>
        <w:t xml:space="preserve"> </w:t>
      </w:r>
      <w:r w:rsidRPr="00CE2B53">
        <w:rPr>
          <w:rFonts w:ascii="Times New Roman" w:eastAsia="Times New Roman" w:hAnsi="Times New Roman" w:cs="Times New Roman"/>
          <w:sz w:val="24"/>
          <w:szCs w:val="24"/>
          <w:lang w:eastAsia="pt-BR"/>
        </w:rPr>
        <w:t>(</w:t>
      </w:r>
      <w:r w:rsidR="00F77DBC">
        <w:rPr>
          <w:rFonts w:ascii="Times New Roman" w:eastAsia="Times New Roman" w:hAnsi="Times New Roman" w:cs="Times New Roman"/>
          <w:sz w:val="24"/>
          <w:szCs w:val="24"/>
          <w:lang w:eastAsia="pt-BR"/>
        </w:rPr>
        <w:t xml:space="preserve">quatro </w:t>
      </w:r>
      <w:r>
        <w:rPr>
          <w:rFonts w:ascii="Times New Roman" w:eastAsia="Times New Roman" w:hAnsi="Times New Roman" w:cs="Times New Roman"/>
          <w:sz w:val="24"/>
          <w:szCs w:val="24"/>
          <w:lang w:eastAsia="pt-BR"/>
        </w:rPr>
        <w:t xml:space="preserve">milhões, </w:t>
      </w:r>
      <w:r w:rsidR="00F77DBC">
        <w:rPr>
          <w:rFonts w:ascii="Times New Roman" w:eastAsia="Times New Roman" w:hAnsi="Times New Roman" w:cs="Times New Roman"/>
          <w:sz w:val="24"/>
          <w:szCs w:val="24"/>
          <w:lang w:eastAsia="pt-BR"/>
        </w:rPr>
        <w:t xml:space="preserve">duzentos e trinta e sete </w:t>
      </w:r>
      <w:r>
        <w:rPr>
          <w:rFonts w:ascii="Times New Roman" w:eastAsia="Times New Roman" w:hAnsi="Times New Roman" w:cs="Times New Roman"/>
          <w:sz w:val="24"/>
          <w:szCs w:val="24"/>
          <w:lang w:eastAsia="pt-BR"/>
        </w:rPr>
        <w:t xml:space="preserve">mil, </w:t>
      </w:r>
      <w:r w:rsidR="00F77DBC">
        <w:rPr>
          <w:rFonts w:ascii="Times New Roman" w:eastAsia="Times New Roman" w:hAnsi="Times New Roman" w:cs="Times New Roman"/>
          <w:sz w:val="24"/>
          <w:szCs w:val="24"/>
          <w:lang w:eastAsia="pt-BR"/>
        </w:rPr>
        <w:t xml:space="preserve">quatrocentos e oitenta </w:t>
      </w:r>
      <w:r>
        <w:rPr>
          <w:rFonts w:ascii="Times New Roman" w:eastAsia="Times New Roman" w:hAnsi="Times New Roman" w:cs="Times New Roman"/>
          <w:sz w:val="24"/>
          <w:szCs w:val="24"/>
          <w:lang w:eastAsia="pt-BR"/>
        </w:rPr>
        <w:t xml:space="preserve">e </w:t>
      </w:r>
      <w:r w:rsidR="00F77DBC">
        <w:rPr>
          <w:rFonts w:ascii="Times New Roman" w:eastAsia="Times New Roman" w:hAnsi="Times New Roman" w:cs="Times New Roman"/>
          <w:sz w:val="24"/>
          <w:szCs w:val="24"/>
          <w:lang w:eastAsia="pt-BR"/>
        </w:rPr>
        <w:t>cinco r</w:t>
      </w:r>
      <w:r>
        <w:rPr>
          <w:rFonts w:ascii="Times New Roman" w:eastAsia="Times New Roman" w:hAnsi="Times New Roman" w:cs="Times New Roman"/>
          <w:sz w:val="24"/>
          <w:szCs w:val="24"/>
          <w:lang w:eastAsia="pt-BR"/>
        </w:rPr>
        <w:t>eais</w:t>
      </w:r>
      <w:r w:rsidRPr="00CE2B53">
        <w:rPr>
          <w:rFonts w:ascii="Times New Roman" w:eastAsia="Times New Roman" w:hAnsi="Times New Roman" w:cs="Times New Roman"/>
          <w:sz w:val="24"/>
          <w:szCs w:val="24"/>
          <w:lang w:eastAsia="pt-BR"/>
        </w:rPr>
        <w:t xml:space="preserve">). </w:t>
      </w:r>
    </w:p>
    <w:p w:rsidR="0018407B" w:rsidRDefault="0018407B" w:rsidP="0018407B">
      <w:pPr>
        <w:spacing w:after="0" w:line="240" w:lineRule="auto"/>
        <w:jc w:val="both"/>
        <w:rPr>
          <w:rFonts w:ascii="Times New Roman" w:eastAsia="Times New Roman" w:hAnsi="Times New Roman" w:cs="Times New Roman"/>
          <w:sz w:val="24"/>
          <w:szCs w:val="24"/>
          <w:lang w:eastAsia="pt-BR"/>
        </w:rPr>
      </w:pPr>
    </w:p>
    <w:p w:rsidR="0018407B" w:rsidRDefault="0018407B" w:rsidP="0018407B">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13. </w:t>
      </w:r>
      <w:r w:rsidRPr="00B17B53">
        <w:rPr>
          <w:rFonts w:ascii="Times New Roman" w:eastAsia="Times New Roman" w:hAnsi="Times New Roman" w:cs="Times New Roman"/>
          <w:b/>
          <w:sz w:val="24"/>
          <w:szCs w:val="24"/>
          <w:lang w:eastAsia="pt-BR"/>
        </w:rPr>
        <w:t>Obrigaçõe</w:t>
      </w:r>
      <w:r>
        <w:rPr>
          <w:rFonts w:ascii="Times New Roman" w:eastAsia="Times New Roman" w:hAnsi="Times New Roman" w:cs="Times New Roman"/>
          <w:b/>
          <w:sz w:val="24"/>
          <w:szCs w:val="24"/>
          <w:lang w:eastAsia="pt-BR"/>
        </w:rPr>
        <w:t>s de Repartições a Outros Entes</w:t>
      </w:r>
    </w:p>
    <w:p w:rsidR="0018407B" w:rsidRPr="00642DBC" w:rsidRDefault="0018407B" w:rsidP="0018407B">
      <w:pPr>
        <w:spacing w:after="0" w:line="240" w:lineRule="auto"/>
        <w:jc w:val="both"/>
        <w:rPr>
          <w:rFonts w:ascii="Times New Roman" w:eastAsia="Times New Roman" w:hAnsi="Times New Roman" w:cs="Times New Roman"/>
          <w:b/>
          <w:sz w:val="24"/>
          <w:szCs w:val="24"/>
          <w:u w:val="single"/>
          <w:lang w:eastAsia="pt-BR"/>
        </w:rPr>
      </w:pP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b/>
          <w:sz w:val="24"/>
          <w:szCs w:val="24"/>
          <w:u w:val="single"/>
          <w:lang w:eastAsia="pt-BR"/>
        </w:rPr>
        <w:t>202</w:t>
      </w:r>
      <w:r w:rsidR="00516C33">
        <w:rPr>
          <w:rFonts w:ascii="Times New Roman" w:eastAsia="Times New Roman" w:hAnsi="Times New Roman" w:cs="Times New Roman"/>
          <w:b/>
          <w:sz w:val="24"/>
          <w:szCs w:val="24"/>
          <w:u w:val="single"/>
          <w:lang w:eastAsia="pt-BR"/>
        </w:rPr>
        <w:t>2</w:t>
      </w:r>
      <w:r w:rsidRPr="00642DBC">
        <w:rPr>
          <w:rFonts w:ascii="Times New Roman" w:eastAsia="Times New Roman" w:hAnsi="Times New Roman" w:cs="Times New Roman"/>
          <w:b/>
          <w:sz w:val="24"/>
          <w:szCs w:val="24"/>
          <w:u w:val="single"/>
          <w:lang w:eastAsia="pt-BR"/>
        </w:rPr>
        <w:tab/>
      </w:r>
      <w:r w:rsidRPr="00642DBC">
        <w:rPr>
          <w:rFonts w:ascii="Times New Roman" w:eastAsia="Times New Roman" w:hAnsi="Times New Roman" w:cs="Times New Roman"/>
          <w:b/>
          <w:sz w:val="24"/>
          <w:szCs w:val="24"/>
          <w:lang w:eastAsia="pt-BR"/>
        </w:rPr>
        <w:tab/>
      </w:r>
      <w:r w:rsidRPr="00642DBC">
        <w:rPr>
          <w:rFonts w:ascii="Times New Roman" w:eastAsia="Times New Roman" w:hAnsi="Times New Roman" w:cs="Times New Roman"/>
          <w:b/>
          <w:sz w:val="24"/>
          <w:szCs w:val="24"/>
          <w:lang w:eastAsia="pt-BR"/>
        </w:rPr>
        <w:tab/>
      </w:r>
      <w:r w:rsidRPr="00642DBC">
        <w:rPr>
          <w:rFonts w:ascii="Times New Roman" w:eastAsia="Times New Roman" w:hAnsi="Times New Roman" w:cs="Times New Roman"/>
          <w:b/>
          <w:sz w:val="24"/>
          <w:szCs w:val="24"/>
          <w:u w:val="single"/>
          <w:lang w:eastAsia="pt-BR"/>
        </w:rPr>
        <w:t>20</w:t>
      </w:r>
      <w:r>
        <w:rPr>
          <w:rFonts w:ascii="Times New Roman" w:eastAsia="Times New Roman" w:hAnsi="Times New Roman" w:cs="Times New Roman"/>
          <w:b/>
          <w:sz w:val="24"/>
          <w:szCs w:val="24"/>
          <w:u w:val="single"/>
          <w:lang w:eastAsia="pt-BR"/>
        </w:rPr>
        <w:t>2</w:t>
      </w:r>
      <w:r w:rsidR="00516C33">
        <w:rPr>
          <w:rFonts w:ascii="Times New Roman" w:eastAsia="Times New Roman" w:hAnsi="Times New Roman" w:cs="Times New Roman"/>
          <w:b/>
          <w:sz w:val="24"/>
          <w:szCs w:val="24"/>
          <w:u w:val="single"/>
          <w:lang w:eastAsia="pt-BR"/>
        </w:rPr>
        <w:t>1</w:t>
      </w:r>
    </w:p>
    <w:p w:rsidR="0018407B" w:rsidRPr="00642DBC" w:rsidRDefault="0018407B" w:rsidP="0018407B">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Fundo de Apoio aos CAU/UF                              1.</w:t>
      </w:r>
      <w:r w:rsidR="00516C33">
        <w:rPr>
          <w:rFonts w:ascii="Times New Roman" w:eastAsia="Times New Roman" w:hAnsi="Times New Roman" w:cs="Times New Roman"/>
          <w:sz w:val="24"/>
          <w:szCs w:val="24"/>
          <w:lang w:eastAsia="pt-BR"/>
        </w:rPr>
        <w:t>499</w:t>
      </w:r>
      <w:r>
        <w:rPr>
          <w:rFonts w:ascii="Times New Roman" w:eastAsia="Times New Roman" w:hAnsi="Times New Roman" w:cs="Times New Roman"/>
          <w:sz w:val="24"/>
          <w:szCs w:val="24"/>
          <w:lang w:eastAsia="pt-BR"/>
        </w:rPr>
        <w:t>.</w:t>
      </w:r>
      <w:r w:rsidR="00516C33">
        <w:rPr>
          <w:rFonts w:ascii="Times New Roman" w:eastAsia="Times New Roman" w:hAnsi="Times New Roman" w:cs="Times New Roman"/>
          <w:sz w:val="24"/>
          <w:szCs w:val="24"/>
          <w:lang w:eastAsia="pt-BR"/>
        </w:rPr>
        <w:t>092</w:t>
      </w:r>
      <w:r>
        <w:rPr>
          <w:rFonts w:ascii="Times New Roman" w:eastAsia="Times New Roman" w:hAnsi="Times New Roman" w:cs="Times New Roman"/>
          <w:sz w:val="24"/>
          <w:szCs w:val="24"/>
          <w:lang w:eastAsia="pt-BR"/>
        </w:rPr>
        <w:t xml:space="preserve">                   1.8</w:t>
      </w:r>
      <w:r w:rsidR="00516C33">
        <w:rPr>
          <w:rFonts w:ascii="Times New Roman" w:eastAsia="Times New Roman" w:hAnsi="Times New Roman" w:cs="Times New Roman"/>
          <w:sz w:val="24"/>
          <w:szCs w:val="24"/>
          <w:lang w:eastAsia="pt-BR"/>
        </w:rPr>
        <w:t>09</w:t>
      </w:r>
      <w:r>
        <w:rPr>
          <w:rFonts w:ascii="Times New Roman" w:eastAsia="Times New Roman" w:hAnsi="Times New Roman" w:cs="Times New Roman"/>
          <w:sz w:val="24"/>
          <w:szCs w:val="24"/>
          <w:lang w:eastAsia="pt-BR"/>
        </w:rPr>
        <w:t>.</w:t>
      </w:r>
      <w:r w:rsidR="00516C33">
        <w:rPr>
          <w:rFonts w:ascii="Times New Roman" w:eastAsia="Times New Roman" w:hAnsi="Times New Roman" w:cs="Times New Roman"/>
          <w:sz w:val="24"/>
          <w:szCs w:val="24"/>
          <w:lang w:eastAsia="pt-BR"/>
        </w:rPr>
        <w:t>132</w:t>
      </w:r>
    </w:p>
    <w:p w:rsidR="0018407B" w:rsidRPr="00930408" w:rsidRDefault="0018407B" w:rsidP="0018407B">
      <w:pPr>
        <w:spacing w:after="0" w:line="240" w:lineRule="auto"/>
        <w:jc w:val="both"/>
        <w:rPr>
          <w:rFonts w:eastAsia="Times New Roman" w:cstheme="minorHAnsi"/>
          <w:b/>
          <w:sz w:val="24"/>
          <w:szCs w:val="24"/>
          <w:lang w:eastAsia="pt-BR"/>
        </w:rPr>
      </w:pPr>
      <w:r w:rsidRPr="00930408">
        <w:rPr>
          <w:rFonts w:eastAsia="Times New Roman" w:cstheme="minorHAnsi"/>
          <w:b/>
          <w:sz w:val="24"/>
          <w:szCs w:val="24"/>
          <w:lang w:eastAsia="pt-BR"/>
        </w:rPr>
        <w:t xml:space="preserve">Total                                                        </w:t>
      </w:r>
      <w:r>
        <w:rPr>
          <w:rFonts w:eastAsia="Times New Roman" w:cstheme="minorHAnsi"/>
          <w:b/>
          <w:sz w:val="24"/>
          <w:szCs w:val="24"/>
          <w:lang w:eastAsia="pt-BR"/>
        </w:rPr>
        <w:tab/>
        <w:t xml:space="preserve">     </w:t>
      </w:r>
      <w:r w:rsidRPr="00930408">
        <w:rPr>
          <w:rFonts w:eastAsia="Times New Roman" w:cstheme="minorHAnsi"/>
          <w:b/>
          <w:sz w:val="24"/>
          <w:szCs w:val="24"/>
          <w:lang w:eastAsia="pt-BR"/>
        </w:rPr>
        <w:t xml:space="preserve"> </w:t>
      </w:r>
      <w:r w:rsidRPr="00642DBC">
        <w:rPr>
          <w:rFonts w:eastAsia="Times New Roman" w:cstheme="minorHAnsi"/>
          <w:b/>
          <w:sz w:val="24"/>
          <w:szCs w:val="24"/>
          <w:u w:val="single"/>
          <w:lang w:eastAsia="pt-BR"/>
        </w:rPr>
        <w:t xml:space="preserve"> </w:t>
      </w:r>
      <w:r>
        <w:rPr>
          <w:rFonts w:eastAsia="Times New Roman" w:cstheme="minorHAnsi"/>
          <w:b/>
          <w:sz w:val="24"/>
          <w:szCs w:val="24"/>
          <w:u w:val="single"/>
          <w:lang w:eastAsia="pt-BR"/>
        </w:rPr>
        <w:t xml:space="preserve"> 1.</w:t>
      </w:r>
      <w:r w:rsidR="00516C33">
        <w:rPr>
          <w:rFonts w:eastAsia="Times New Roman" w:cstheme="minorHAnsi"/>
          <w:b/>
          <w:sz w:val="24"/>
          <w:szCs w:val="24"/>
          <w:u w:val="single"/>
          <w:lang w:eastAsia="pt-BR"/>
        </w:rPr>
        <w:t>499</w:t>
      </w:r>
      <w:r>
        <w:rPr>
          <w:rFonts w:eastAsia="Times New Roman" w:cstheme="minorHAnsi"/>
          <w:b/>
          <w:sz w:val="24"/>
          <w:szCs w:val="24"/>
          <w:u w:val="single"/>
          <w:lang w:eastAsia="pt-BR"/>
        </w:rPr>
        <w:t>.</w:t>
      </w:r>
      <w:r w:rsidR="00516C33">
        <w:rPr>
          <w:rFonts w:eastAsia="Times New Roman" w:cstheme="minorHAnsi"/>
          <w:b/>
          <w:sz w:val="24"/>
          <w:szCs w:val="24"/>
          <w:u w:val="single"/>
          <w:lang w:eastAsia="pt-BR"/>
        </w:rPr>
        <w:t>092</w:t>
      </w:r>
      <w:r w:rsidRPr="00930408">
        <w:rPr>
          <w:rFonts w:eastAsia="Times New Roman" w:cstheme="minorHAnsi"/>
          <w:b/>
          <w:sz w:val="24"/>
          <w:szCs w:val="24"/>
          <w:lang w:eastAsia="pt-BR"/>
        </w:rPr>
        <w:t xml:space="preserve">                </w:t>
      </w:r>
      <w:r>
        <w:rPr>
          <w:rFonts w:eastAsia="Times New Roman" w:cstheme="minorHAnsi"/>
          <w:b/>
          <w:sz w:val="24"/>
          <w:szCs w:val="24"/>
          <w:lang w:eastAsia="pt-BR"/>
        </w:rPr>
        <w:t xml:space="preserve">   </w:t>
      </w:r>
      <w:r w:rsidRPr="00930408">
        <w:rPr>
          <w:rFonts w:eastAsia="Times New Roman" w:cstheme="minorHAnsi"/>
          <w:b/>
          <w:sz w:val="24"/>
          <w:szCs w:val="24"/>
          <w:lang w:eastAsia="pt-BR"/>
        </w:rPr>
        <w:t xml:space="preserve"> </w:t>
      </w:r>
      <w:r w:rsidR="00516C33">
        <w:rPr>
          <w:rFonts w:eastAsia="Times New Roman" w:cstheme="minorHAnsi"/>
          <w:b/>
          <w:sz w:val="24"/>
          <w:szCs w:val="24"/>
          <w:u w:val="single"/>
          <w:lang w:eastAsia="pt-BR"/>
        </w:rPr>
        <w:t>1.</w:t>
      </w:r>
      <w:r>
        <w:rPr>
          <w:rFonts w:eastAsia="Times New Roman" w:cstheme="minorHAnsi"/>
          <w:b/>
          <w:sz w:val="24"/>
          <w:szCs w:val="24"/>
          <w:u w:val="single"/>
          <w:lang w:eastAsia="pt-BR"/>
        </w:rPr>
        <w:t>8</w:t>
      </w:r>
      <w:r w:rsidR="00516C33">
        <w:rPr>
          <w:rFonts w:eastAsia="Times New Roman" w:cstheme="minorHAnsi"/>
          <w:b/>
          <w:sz w:val="24"/>
          <w:szCs w:val="24"/>
          <w:u w:val="single"/>
          <w:lang w:eastAsia="pt-BR"/>
        </w:rPr>
        <w:t>09</w:t>
      </w:r>
      <w:r>
        <w:rPr>
          <w:rFonts w:eastAsia="Times New Roman" w:cstheme="minorHAnsi"/>
          <w:b/>
          <w:sz w:val="24"/>
          <w:szCs w:val="24"/>
          <w:u w:val="single"/>
          <w:lang w:eastAsia="pt-BR"/>
        </w:rPr>
        <w:t>.</w:t>
      </w:r>
      <w:r w:rsidR="00516C33">
        <w:rPr>
          <w:rFonts w:eastAsia="Times New Roman" w:cstheme="minorHAnsi"/>
          <w:b/>
          <w:sz w:val="24"/>
          <w:szCs w:val="24"/>
          <w:u w:val="single"/>
          <w:lang w:eastAsia="pt-BR"/>
        </w:rPr>
        <w:t>132</w:t>
      </w:r>
    </w:p>
    <w:p w:rsidR="0018407B" w:rsidRPr="00DC1A5E" w:rsidRDefault="0018407B" w:rsidP="0018407B">
      <w:pPr>
        <w:spacing w:after="0" w:line="240" w:lineRule="auto"/>
        <w:jc w:val="both"/>
        <w:rPr>
          <w:rFonts w:ascii="Times New Roman" w:eastAsia="Times New Roman" w:hAnsi="Times New Roman" w:cs="Times New Roman"/>
          <w:lang w:eastAsia="pt-BR"/>
        </w:rPr>
      </w:pPr>
    </w:p>
    <w:p w:rsidR="0018407B"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O valor registrado na contabilidade na conta de Obrigaçõe</w:t>
      </w:r>
      <w:r>
        <w:rPr>
          <w:rFonts w:ascii="Times New Roman" w:eastAsia="Times New Roman" w:hAnsi="Times New Roman" w:cs="Times New Roman"/>
          <w:sz w:val="24"/>
          <w:szCs w:val="24"/>
          <w:lang w:eastAsia="pt-BR"/>
        </w:rPr>
        <w:t xml:space="preserve">s de Repartições a Outros Entes </w:t>
      </w:r>
      <w:r w:rsidRPr="00CE2B53">
        <w:rPr>
          <w:rFonts w:ascii="Times New Roman" w:eastAsia="Times New Roman" w:hAnsi="Times New Roman" w:cs="Times New Roman"/>
          <w:sz w:val="24"/>
          <w:szCs w:val="24"/>
          <w:lang w:eastAsia="pt-BR"/>
        </w:rPr>
        <w:t>em 31/12/</w:t>
      </w:r>
      <w:r>
        <w:rPr>
          <w:rFonts w:ascii="Times New Roman" w:eastAsia="Times New Roman" w:hAnsi="Times New Roman" w:cs="Times New Roman"/>
          <w:sz w:val="24"/>
          <w:szCs w:val="24"/>
          <w:lang w:eastAsia="pt-BR"/>
        </w:rPr>
        <w:t>202</w:t>
      </w:r>
      <w:r w:rsidR="002B23E8">
        <w:rPr>
          <w:rFonts w:ascii="Times New Roman" w:eastAsia="Times New Roman" w:hAnsi="Times New Roman" w:cs="Times New Roman"/>
          <w:sz w:val="24"/>
          <w:szCs w:val="24"/>
          <w:lang w:eastAsia="pt-BR"/>
        </w:rPr>
        <w:t>2</w:t>
      </w:r>
      <w:r w:rsidRPr="00CE2B53">
        <w:rPr>
          <w:rFonts w:ascii="Times New Roman" w:eastAsia="Times New Roman" w:hAnsi="Times New Roman" w:cs="Times New Roman"/>
          <w:sz w:val="24"/>
          <w:szCs w:val="24"/>
          <w:lang w:eastAsia="pt-BR"/>
        </w:rPr>
        <w:t xml:space="preserve"> é de R$</w:t>
      </w:r>
      <w:r>
        <w:rPr>
          <w:rFonts w:ascii="Times New Roman" w:eastAsia="Times New Roman" w:hAnsi="Times New Roman" w:cs="Times New Roman"/>
          <w:sz w:val="24"/>
          <w:szCs w:val="24"/>
          <w:lang w:eastAsia="pt-BR"/>
        </w:rPr>
        <w:t xml:space="preserve"> 1.</w:t>
      </w:r>
      <w:r w:rsidR="00516C33">
        <w:rPr>
          <w:rFonts w:ascii="Times New Roman" w:eastAsia="Times New Roman" w:hAnsi="Times New Roman" w:cs="Times New Roman"/>
          <w:sz w:val="24"/>
          <w:szCs w:val="24"/>
          <w:lang w:eastAsia="pt-BR"/>
        </w:rPr>
        <w:t>499</w:t>
      </w:r>
      <w:r>
        <w:rPr>
          <w:rFonts w:ascii="Times New Roman" w:eastAsia="Times New Roman" w:hAnsi="Times New Roman" w:cs="Times New Roman"/>
          <w:sz w:val="24"/>
          <w:szCs w:val="24"/>
          <w:lang w:eastAsia="pt-BR"/>
        </w:rPr>
        <w:t>.</w:t>
      </w:r>
      <w:r w:rsidR="00516C33">
        <w:rPr>
          <w:rFonts w:ascii="Times New Roman" w:eastAsia="Times New Roman" w:hAnsi="Times New Roman" w:cs="Times New Roman"/>
          <w:sz w:val="24"/>
          <w:szCs w:val="24"/>
          <w:lang w:eastAsia="pt-BR"/>
        </w:rPr>
        <w:t>092</w:t>
      </w:r>
      <w:r w:rsidRPr="00CE2B53">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um milhão, </w:t>
      </w:r>
      <w:r w:rsidR="00516C33">
        <w:rPr>
          <w:rFonts w:ascii="Times New Roman" w:eastAsia="Times New Roman" w:hAnsi="Times New Roman" w:cs="Times New Roman"/>
          <w:sz w:val="24"/>
          <w:szCs w:val="24"/>
          <w:lang w:eastAsia="pt-BR"/>
        </w:rPr>
        <w:t xml:space="preserve">quatrocentos </w:t>
      </w:r>
      <w:r>
        <w:rPr>
          <w:rFonts w:ascii="Times New Roman" w:eastAsia="Times New Roman" w:hAnsi="Times New Roman" w:cs="Times New Roman"/>
          <w:sz w:val="24"/>
          <w:szCs w:val="24"/>
          <w:lang w:eastAsia="pt-BR"/>
        </w:rPr>
        <w:t xml:space="preserve">e </w:t>
      </w:r>
      <w:r w:rsidR="00516C33">
        <w:rPr>
          <w:rFonts w:ascii="Times New Roman" w:eastAsia="Times New Roman" w:hAnsi="Times New Roman" w:cs="Times New Roman"/>
          <w:sz w:val="24"/>
          <w:szCs w:val="24"/>
          <w:lang w:eastAsia="pt-BR"/>
        </w:rPr>
        <w:t xml:space="preserve">noventa e </w:t>
      </w:r>
      <w:r>
        <w:rPr>
          <w:rFonts w:ascii="Times New Roman" w:eastAsia="Times New Roman" w:hAnsi="Times New Roman" w:cs="Times New Roman"/>
          <w:sz w:val="24"/>
          <w:szCs w:val="24"/>
          <w:lang w:eastAsia="pt-BR"/>
        </w:rPr>
        <w:t xml:space="preserve">nove mil, e </w:t>
      </w:r>
      <w:r w:rsidR="00516C33">
        <w:rPr>
          <w:rFonts w:ascii="Times New Roman" w:eastAsia="Times New Roman" w:hAnsi="Times New Roman" w:cs="Times New Roman"/>
          <w:sz w:val="24"/>
          <w:szCs w:val="24"/>
          <w:lang w:eastAsia="pt-BR"/>
        </w:rPr>
        <w:t xml:space="preserve">noventa e </w:t>
      </w:r>
      <w:r>
        <w:rPr>
          <w:rFonts w:ascii="Times New Roman" w:eastAsia="Times New Roman" w:hAnsi="Times New Roman" w:cs="Times New Roman"/>
          <w:sz w:val="24"/>
          <w:szCs w:val="24"/>
          <w:lang w:eastAsia="pt-BR"/>
        </w:rPr>
        <w:t>dois reais</w:t>
      </w:r>
      <w:r w:rsidRPr="00CE2B53">
        <w:rPr>
          <w:rFonts w:ascii="Times New Roman" w:eastAsia="Times New Roman" w:hAnsi="Times New Roman" w:cs="Times New Roman"/>
          <w:sz w:val="24"/>
          <w:szCs w:val="24"/>
          <w:lang w:eastAsia="pt-BR"/>
        </w:rPr>
        <w:t>), discriminado da seguinte forma:</w:t>
      </w:r>
    </w:p>
    <w:p w:rsidR="0018407B" w:rsidRDefault="0018407B" w:rsidP="0018407B">
      <w:pPr>
        <w:spacing w:after="0" w:line="240" w:lineRule="auto"/>
        <w:jc w:val="both"/>
        <w:rPr>
          <w:rFonts w:ascii="Times New Roman" w:eastAsia="Times New Roman" w:hAnsi="Times New Roman" w:cs="Times New Roman"/>
          <w:sz w:val="24"/>
          <w:szCs w:val="24"/>
          <w:lang w:eastAsia="pt-BR"/>
        </w:rPr>
      </w:pPr>
    </w:p>
    <w:p w:rsidR="0018407B" w:rsidRPr="005D3FE9" w:rsidRDefault="0018407B" w:rsidP="0018407B">
      <w:pPr>
        <w:spacing w:after="0" w:line="240" w:lineRule="auto"/>
        <w:jc w:val="both"/>
        <w:rPr>
          <w:rFonts w:ascii="Times New Roman" w:eastAsia="Times New Roman" w:hAnsi="Times New Roman" w:cs="Times New Roman"/>
          <w:sz w:val="24"/>
          <w:szCs w:val="24"/>
          <w:lang w:eastAsia="pt-BR"/>
        </w:rPr>
      </w:pPr>
      <w:r w:rsidRPr="005C30E4">
        <w:rPr>
          <w:rFonts w:ascii="Times New Roman" w:eastAsia="Times New Roman" w:hAnsi="Times New Roman" w:cs="Times New Roman"/>
          <w:b/>
          <w:sz w:val="24"/>
          <w:szCs w:val="24"/>
          <w:lang w:eastAsia="pt-BR"/>
        </w:rPr>
        <w:t xml:space="preserve">13.1 </w:t>
      </w:r>
      <w:r>
        <w:rPr>
          <w:rFonts w:ascii="Times New Roman" w:eastAsia="Times New Roman" w:hAnsi="Times New Roman" w:cs="Times New Roman"/>
          <w:b/>
          <w:sz w:val="24"/>
          <w:szCs w:val="24"/>
          <w:lang w:eastAsia="pt-BR"/>
        </w:rPr>
        <w:t>–</w:t>
      </w:r>
      <w:r>
        <w:rPr>
          <w:rFonts w:ascii="Times New Roman" w:eastAsia="Times New Roman" w:hAnsi="Times New Roman" w:cs="Times New Roman"/>
          <w:sz w:val="24"/>
          <w:szCs w:val="24"/>
          <w:lang w:eastAsia="pt-BR"/>
        </w:rPr>
        <w:t xml:space="preserve"> O </w:t>
      </w:r>
      <w:r w:rsidRPr="005C30E4">
        <w:rPr>
          <w:rFonts w:ascii="Times New Roman" w:eastAsia="Times New Roman" w:hAnsi="Times New Roman" w:cs="Times New Roman"/>
          <w:sz w:val="24"/>
          <w:szCs w:val="24"/>
          <w:lang w:eastAsia="pt-BR"/>
        </w:rPr>
        <w:t xml:space="preserve">Fundo de Apoio Financeiro aos CAU/UF criado pelo CAU BR, consolidado pela </w:t>
      </w:r>
      <w:hyperlink r:id="rId15" w:history="1">
        <w:r w:rsidRPr="00930408">
          <w:rPr>
            <w:rStyle w:val="Hyperlink"/>
            <w:rFonts w:eastAsia="Times New Roman" w:cs="Times New Roman"/>
            <w:lang w:eastAsia="pt-BR"/>
          </w:rPr>
          <w:t>Resolução CAU BR nº 119 de 19/08/2016</w:t>
        </w:r>
      </w:hyperlink>
      <w:r w:rsidRPr="005C30E4">
        <w:rPr>
          <w:rFonts w:ascii="Times New Roman" w:eastAsia="Times New Roman" w:hAnsi="Times New Roman" w:cs="Times New Roman"/>
          <w:sz w:val="24"/>
          <w:szCs w:val="24"/>
          <w:lang w:eastAsia="pt-BR"/>
        </w:rPr>
        <w:t xml:space="preserve">, nos termos previstos no </w:t>
      </w:r>
      <w:r>
        <w:rPr>
          <w:rFonts w:ascii="Times New Roman" w:eastAsia="Times New Roman" w:hAnsi="Times New Roman" w:cs="Times New Roman"/>
          <w:sz w:val="24"/>
          <w:szCs w:val="24"/>
          <w:lang w:eastAsia="pt-BR"/>
        </w:rPr>
        <w:t>A</w:t>
      </w:r>
      <w:r w:rsidRPr="005C30E4">
        <w:rPr>
          <w:rFonts w:ascii="Times New Roman" w:eastAsia="Times New Roman" w:hAnsi="Times New Roman" w:cs="Times New Roman"/>
          <w:sz w:val="24"/>
          <w:szCs w:val="24"/>
          <w:lang w:eastAsia="pt-BR"/>
        </w:rPr>
        <w:t xml:space="preserve">rt. 60 da </w:t>
      </w:r>
      <w:hyperlink r:id="rId16" w:history="1">
        <w:r w:rsidRPr="00B54425">
          <w:rPr>
            <w:rStyle w:val="Hyperlink"/>
            <w:rFonts w:eastAsia="Times New Roman" w:cs="Times New Roman"/>
            <w:lang w:eastAsia="pt-BR"/>
          </w:rPr>
          <w:t>Lei n° 12.378, de 31 de dezembro de 2010</w:t>
        </w:r>
      </w:hyperlink>
      <w:r>
        <w:rPr>
          <w:rFonts w:ascii="Times New Roman" w:eastAsia="Times New Roman" w:hAnsi="Times New Roman" w:cs="Times New Roman"/>
          <w:sz w:val="24"/>
          <w:szCs w:val="24"/>
          <w:lang w:eastAsia="pt-BR"/>
        </w:rPr>
        <w:t xml:space="preserve">. O objetivo do Fundo de Apoio é </w:t>
      </w:r>
      <w:r w:rsidRPr="005D3FE9">
        <w:rPr>
          <w:rFonts w:ascii="Times New Roman" w:eastAsia="Times New Roman" w:hAnsi="Times New Roman" w:cs="Times New Roman"/>
          <w:sz w:val="24"/>
          <w:szCs w:val="24"/>
          <w:lang w:eastAsia="pt-BR"/>
        </w:rPr>
        <w:t>equilibrar as receitas e despesas dos Conselhos de Arquitetura e Urbanismo dos Estados e do Distrito Federal (CAU/UF) cuja arrecadação seja insuficiente para a implementação de suas atividades operacionais e manutenção de suas estruturas administrativas</w:t>
      </w:r>
      <w:r>
        <w:rPr>
          <w:rFonts w:ascii="Times New Roman" w:eastAsia="Times New Roman" w:hAnsi="Times New Roman" w:cs="Times New Roman"/>
          <w:sz w:val="24"/>
          <w:szCs w:val="24"/>
          <w:lang w:eastAsia="pt-BR"/>
        </w:rPr>
        <w:t>.</w:t>
      </w:r>
    </w:p>
    <w:p w:rsidR="0018407B" w:rsidRDefault="0018407B" w:rsidP="0018407B">
      <w:pPr>
        <w:spacing w:after="0" w:line="240" w:lineRule="auto"/>
        <w:jc w:val="both"/>
        <w:rPr>
          <w:rFonts w:ascii="Arial" w:hAnsi="Arial" w:cs="Arial"/>
          <w:color w:val="000000"/>
          <w:shd w:val="clear" w:color="auto" w:fill="FFFFFF"/>
        </w:rPr>
      </w:pPr>
    </w:p>
    <w:p w:rsidR="0018407B" w:rsidRDefault="0018407B" w:rsidP="0018407B">
      <w:pPr>
        <w:spacing w:after="0" w:line="240" w:lineRule="auto"/>
        <w:jc w:val="both"/>
        <w:rPr>
          <w:rFonts w:ascii="Times New Roman" w:eastAsia="Times New Roman" w:hAnsi="Times New Roman" w:cs="Times New Roman"/>
          <w:sz w:val="24"/>
          <w:szCs w:val="24"/>
          <w:lang w:eastAsia="pt-BR"/>
        </w:rPr>
      </w:pPr>
    </w:p>
    <w:p w:rsidR="0018407B" w:rsidRPr="00B17B53" w:rsidRDefault="0018407B" w:rsidP="0018407B">
      <w:pPr>
        <w:spacing w:after="160" w:line="259"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14. Apropriações mensais</w:t>
      </w:r>
      <w:r w:rsidRPr="00B17B53">
        <w:rPr>
          <w:rFonts w:ascii="Times New Roman" w:eastAsia="Times New Roman" w:hAnsi="Times New Roman" w:cs="Times New Roman"/>
          <w:b/>
          <w:sz w:val="24"/>
          <w:szCs w:val="24"/>
          <w:lang w:eastAsia="pt-BR"/>
        </w:rPr>
        <w:t xml:space="preserve"> de Férias, INSS, FGTS e PIS</w:t>
      </w:r>
    </w:p>
    <w:p w:rsidR="0018407B"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Está registrado na contabili</w:t>
      </w:r>
      <w:r>
        <w:rPr>
          <w:rFonts w:ascii="Times New Roman" w:eastAsia="Times New Roman" w:hAnsi="Times New Roman" w:cs="Times New Roman"/>
          <w:sz w:val="24"/>
          <w:szCs w:val="24"/>
          <w:lang w:eastAsia="pt-BR"/>
        </w:rPr>
        <w:t>dade na conta de Apropriações mensais da folha em 31/12/202</w:t>
      </w:r>
      <w:r w:rsidR="00A540E5">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 o valor de R$ 2.</w:t>
      </w:r>
      <w:r w:rsidR="002D527A">
        <w:rPr>
          <w:rFonts w:ascii="Times New Roman" w:eastAsia="Times New Roman" w:hAnsi="Times New Roman" w:cs="Times New Roman"/>
          <w:sz w:val="24"/>
          <w:szCs w:val="24"/>
          <w:lang w:eastAsia="pt-BR"/>
        </w:rPr>
        <w:t>491</w:t>
      </w:r>
      <w:r>
        <w:rPr>
          <w:rFonts w:ascii="Times New Roman" w:eastAsia="Times New Roman" w:hAnsi="Times New Roman" w:cs="Times New Roman"/>
          <w:sz w:val="24"/>
          <w:szCs w:val="24"/>
          <w:lang w:eastAsia="pt-BR"/>
        </w:rPr>
        <w:t>.</w:t>
      </w:r>
      <w:r w:rsidR="002D527A">
        <w:rPr>
          <w:rFonts w:ascii="Times New Roman" w:eastAsia="Times New Roman" w:hAnsi="Times New Roman" w:cs="Times New Roman"/>
          <w:sz w:val="24"/>
          <w:szCs w:val="24"/>
          <w:lang w:eastAsia="pt-BR"/>
        </w:rPr>
        <w:t>140</w:t>
      </w:r>
      <w:r w:rsidRPr="00CE2B53">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dois milhões, </w:t>
      </w:r>
      <w:r w:rsidR="002D527A">
        <w:rPr>
          <w:rFonts w:ascii="Times New Roman" w:eastAsia="Times New Roman" w:hAnsi="Times New Roman" w:cs="Times New Roman"/>
          <w:sz w:val="24"/>
          <w:szCs w:val="24"/>
          <w:lang w:eastAsia="pt-BR"/>
        </w:rPr>
        <w:t xml:space="preserve">quatrocentos </w:t>
      </w:r>
      <w:r>
        <w:rPr>
          <w:rFonts w:ascii="Times New Roman" w:eastAsia="Times New Roman" w:hAnsi="Times New Roman" w:cs="Times New Roman"/>
          <w:sz w:val="24"/>
          <w:szCs w:val="24"/>
          <w:lang w:eastAsia="pt-BR"/>
        </w:rPr>
        <w:t xml:space="preserve">e </w:t>
      </w:r>
      <w:r w:rsidR="002D527A">
        <w:rPr>
          <w:rFonts w:ascii="Times New Roman" w:eastAsia="Times New Roman" w:hAnsi="Times New Roman" w:cs="Times New Roman"/>
          <w:sz w:val="24"/>
          <w:szCs w:val="24"/>
          <w:lang w:eastAsia="pt-BR"/>
        </w:rPr>
        <w:t>noventa e um</w:t>
      </w:r>
      <w:r>
        <w:rPr>
          <w:rFonts w:ascii="Times New Roman" w:eastAsia="Times New Roman" w:hAnsi="Times New Roman" w:cs="Times New Roman"/>
          <w:sz w:val="24"/>
          <w:szCs w:val="24"/>
          <w:lang w:eastAsia="pt-BR"/>
        </w:rPr>
        <w:t xml:space="preserve"> mil, </w:t>
      </w:r>
      <w:r w:rsidR="002D527A">
        <w:rPr>
          <w:rFonts w:ascii="Times New Roman" w:eastAsia="Times New Roman" w:hAnsi="Times New Roman" w:cs="Times New Roman"/>
          <w:sz w:val="24"/>
          <w:szCs w:val="24"/>
          <w:lang w:eastAsia="pt-BR"/>
        </w:rPr>
        <w:t xml:space="preserve">cento </w:t>
      </w:r>
      <w:r>
        <w:rPr>
          <w:rFonts w:ascii="Times New Roman" w:eastAsia="Times New Roman" w:hAnsi="Times New Roman" w:cs="Times New Roman"/>
          <w:sz w:val="24"/>
          <w:szCs w:val="24"/>
          <w:lang w:eastAsia="pt-BR"/>
        </w:rPr>
        <w:t xml:space="preserve">e </w:t>
      </w:r>
      <w:r w:rsidR="002D527A">
        <w:rPr>
          <w:rFonts w:ascii="Times New Roman" w:eastAsia="Times New Roman" w:hAnsi="Times New Roman" w:cs="Times New Roman"/>
          <w:sz w:val="24"/>
          <w:szCs w:val="24"/>
          <w:lang w:eastAsia="pt-BR"/>
        </w:rPr>
        <w:t>quarenta r</w:t>
      </w:r>
      <w:r>
        <w:rPr>
          <w:rFonts w:ascii="Times New Roman" w:eastAsia="Times New Roman" w:hAnsi="Times New Roman" w:cs="Times New Roman"/>
          <w:sz w:val="24"/>
          <w:szCs w:val="24"/>
          <w:lang w:eastAsia="pt-BR"/>
        </w:rPr>
        <w:t>eais</w:t>
      </w:r>
      <w:r w:rsidRPr="00CE2B53">
        <w:rPr>
          <w:rFonts w:ascii="Times New Roman" w:eastAsia="Times New Roman" w:hAnsi="Times New Roman" w:cs="Times New Roman"/>
          <w:sz w:val="24"/>
          <w:szCs w:val="24"/>
          <w:lang w:eastAsia="pt-BR"/>
        </w:rPr>
        <w:t>), cuja composição é a seguinte:</w:t>
      </w:r>
    </w:p>
    <w:p w:rsidR="0018407B" w:rsidRPr="00CE2B53" w:rsidRDefault="0018407B" w:rsidP="0018407B">
      <w:pPr>
        <w:spacing w:after="0" w:line="240" w:lineRule="auto"/>
        <w:jc w:val="both"/>
        <w:rPr>
          <w:rFonts w:ascii="Times New Roman" w:eastAsia="Times New Roman" w:hAnsi="Times New Roman" w:cs="Times New Roman"/>
          <w:sz w:val="24"/>
          <w:szCs w:val="24"/>
          <w:lang w:eastAsia="pt-BR"/>
        </w:rPr>
      </w:pPr>
    </w:p>
    <w:tbl>
      <w:tblPr>
        <w:tblW w:w="6516" w:type="dxa"/>
        <w:tblInd w:w="55" w:type="dxa"/>
        <w:tblCellMar>
          <w:left w:w="70" w:type="dxa"/>
          <w:right w:w="70" w:type="dxa"/>
        </w:tblCellMar>
        <w:tblLook w:val="04A0" w:firstRow="1" w:lastRow="0" w:firstColumn="1" w:lastColumn="0" w:noHBand="0" w:noVBand="1"/>
      </w:tblPr>
      <w:tblGrid>
        <w:gridCol w:w="960"/>
        <w:gridCol w:w="1000"/>
        <w:gridCol w:w="960"/>
        <w:gridCol w:w="1318"/>
        <w:gridCol w:w="960"/>
        <w:gridCol w:w="1318"/>
      </w:tblGrid>
      <w:tr w:rsidR="0018407B" w:rsidRPr="00795ADF" w:rsidTr="00C843E2">
        <w:trPr>
          <w:trHeight w:val="315"/>
        </w:trPr>
        <w:tc>
          <w:tcPr>
            <w:tcW w:w="960" w:type="dxa"/>
            <w:tcBorders>
              <w:top w:val="nil"/>
              <w:left w:val="nil"/>
              <w:bottom w:val="nil"/>
              <w:right w:val="nil"/>
            </w:tcBorders>
            <w:shd w:val="clear" w:color="auto" w:fill="auto"/>
            <w:noWrap/>
            <w:vAlign w:val="bottom"/>
            <w:hideMark/>
          </w:tcPr>
          <w:p w:rsidR="0018407B" w:rsidRPr="00795ADF" w:rsidRDefault="0018407B" w:rsidP="00C843E2">
            <w:pPr>
              <w:spacing w:after="0" w:line="240" w:lineRule="auto"/>
              <w:rPr>
                <w:rFonts w:ascii="Calibri" w:eastAsia="Times New Roman" w:hAnsi="Calibri" w:cs="Calibri"/>
                <w:color w:val="000000"/>
                <w:lang w:eastAsia="pt-BR"/>
              </w:rPr>
            </w:pPr>
          </w:p>
        </w:tc>
        <w:tc>
          <w:tcPr>
            <w:tcW w:w="1000" w:type="dxa"/>
            <w:tcBorders>
              <w:top w:val="nil"/>
              <w:left w:val="nil"/>
              <w:bottom w:val="nil"/>
              <w:right w:val="nil"/>
            </w:tcBorders>
            <w:shd w:val="clear" w:color="auto" w:fill="auto"/>
            <w:noWrap/>
            <w:vAlign w:val="bottom"/>
            <w:hideMark/>
          </w:tcPr>
          <w:p w:rsidR="0018407B" w:rsidRPr="00795ADF" w:rsidRDefault="0018407B" w:rsidP="00C843E2">
            <w:pPr>
              <w:spacing w:after="0" w:line="240" w:lineRule="auto"/>
              <w:rPr>
                <w:rFonts w:ascii="Calibri" w:eastAsia="Times New Roman" w:hAnsi="Calibri" w:cs="Calibri"/>
                <w:color w:val="000000"/>
                <w:lang w:eastAsia="pt-BR"/>
              </w:rPr>
            </w:pPr>
          </w:p>
        </w:tc>
        <w:tc>
          <w:tcPr>
            <w:tcW w:w="960" w:type="dxa"/>
            <w:tcBorders>
              <w:top w:val="nil"/>
              <w:left w:val="nil"/>
              <w:bottom w:val="nil"/>
              <w:right w:val="nil"/>
            </w:tcBorders>
            <w:shd w:val="clear" w:color="auto" w:fill="auto"/>
            <w:noWrap/>
            <w:vAlign w:val="bottom"/>
            <w:hideMark/>
          </w:tcPr>
          <w:p w:rsidR="0018407B" w:rsidRPr="00795ADF" w:rsidRDefault="0018407B" w:rsidP="00C843E2">
            <w:pPr>
              <w:spacing w:after="0" w:line="240" w:lineRule="auto"/>
              <w:rPr>
                <w:rFonts w:ascii="Calibri" w:eastAsia="Times New Roman" w:hAnsi="Calibri" w:cs="Calibri"/>
                <w:color w:val="000000"/>
                <w:lang w:eastAsia="pt-BR"/>
              </w:rPr>
            </w:pPr>
          </w:p>
        </w:tc>
        <w:tc>
          <w:tcPr>
            <w:tcW w:w="1318" w:type="dxa"/>
            <w:tcBorders>
              <w:top w:val="nil"/>
              <w:left w:val="nil"/>
              <w:bottom w:val="single" w:sz="8" w:space="0" w:color="auto"/>
              <w:right w:val="nil"/>
            </w:tcBorders>
            <w:shd w:val="clear" w:color="auto" w:fill="auto"/>
            <w:noWrap/>
            <w:vAlign w:val="bottom"/>
            <w:hideMark/>
          </w:tcPr>
          <w:p w:rsidR="0018407B" w:rsidRPr="00795ADF" w:rsidRDefault="0018407B" w:rsidP="00A540E5">
            <w:pPr>
              <w:spacing w:after="0" w:line="240" w:lineRule="auto"/>
              <w:jc w:val="center"/>
              <w:rPr>
                <w:rFonts w:ascii="Calibri" w:eastAsia="Times New Roman" w:hAnsi="Calibri" w:cs="Calibri"/>
                <w:b/>
                <w:bCs/>
                <w:color w:val="000000"/>
                <w:lang w:eastAsia="pt-BR"/>
              </w:rPr>
            </w:pPr>
            <w:r>
              <w:rPr>
                <w:rFonts w:ascii="Calibri" w:eastAsia="Times New Roman" w:hAnsi="Calibri" w:cs="Calibri"/>
                <w:b/>
                <w:bCs/>
                <w:color w:val="000000"/>
                <w:lang w:eastAsia="pt-BR"/>
              </w:rPr>
              <w:t xml:space="preserve">      202</w:t>
            </w:r>
            <w:r w:rsidR="00A540E5">
              <w:rPr>
                <w:rFonts w:ascii="Calibri" w:eastAsia="Times New Roman" w:hAnsi="Calibri" w:cs="Calibri"/>
                <w:b/>
                <w:bCs/>
                <w:color w:val="000000"/>
                <w:lang w:eastAsia="pt-BR"/>
              </w:rPr>
              <w:t>2</w:t>
            </w:r>
          </w:p>
        </w:tc>
        <w:tc>
          <w:tcPr>
            <w:tcW w:w="960" w:type="dxa"/>
            <w:tcBorders>
              <w:top w:val="nil"/>
              <w:left w:val="nil"/>
              <w:bottom w:val="nil"/>
              <w:right w:val="nil"/>
            </w:tcBorders>
            <w:shd w:val="clear" w:color="auto" w:fill="auto"/>
            <w:noWrap/>
            <w:vAlign w:val="bottom"/>
            <w:hideMark/>
          </w:tcPr>
          <w:p w:rsidR="0018407B" w:rsidRPr="00795ADF" w:rsidRDefault="0018407B" w:rsidP="00C843E2">
            <w:pPr>
              <w:spacing w:after="0" w:line="240" w:lineRule="auto"/>
              <w:rPr>
                <w:rFonts w:ascii="Calibri" w:eastAsia="Times New Roman" w:hAnsi="Calibri" w:cs="Calibri"/>
                <w:b/>
                <w:bCs/>
                <w:color w:val="000000"/>
                <w:lang w:eastAsia="pt-BR"/>
              </w:rPr>
            </w:pPr>
          </w:p>
        </w:tc>
        <w:tc>
          <w:tcPr>
            <w:tcW w:w="1318" w:type="dxa"/>
            <w:tcBorders>
              <w:top w:val="nil"/>
              <w:left w:val="nil"/>
              <w:bottom w:val="single" w:sz="8" w:space="0" w:color="auto"/>
              <w:right w:val="nil"/>
            </w:tcBorders>
            <w:shd w:val="clear" w:color="auto" w:fill="auto"/>
            <w:noWrap/>
            <w:vAlign w:val="bottom"/>
            <w:hideMark/>
          </w:tcPr>
          <w:p w:rsidR="0018407B" w:rsidRPr="00795ADF" w:rsidRDefault="00A540E5" w:rsidP="00C843E2">
            <w:pPr>
              <w:spacing w:after="0" w:line="240" w:lineRule="auto"/>
              <w:jc w:val="center"/>
              <w:rPr>
                <w:rFonts w:ascii="Calibri" w:eastAsia="Times New Roman" w:hAnsi="Calibri" w:cs="Calibri"/>
                <w:b/>
                <w:bCs/>
                <w:color w:val="000000"/>
                <w:lang w:eastAsia="pt-BR"/>
              </w:rPr>
            </w:pPr>
            <w:r>
              <w:rPr>
                <w:rFonts w:ascii="Calibri" w:eastAsia="Times New Roman" w:hAnsi="Calibri" w:cs="Calibri"/>
                <w:b/>
                <w:bCs/>
                <w:color w:val="000000"/>
                <w:lang w:eastAsia="pt-BR"/>
              </w:rPr>
              <w:t xml:space="preserve">   2021</w:t>
            </w:r>
          </w:p>
        </w:tc>
      </w:tr>
      <w:tr w:rsidR="0018407B" w:rsidRPr="00795ADF" w:rsidTr="00C843E2">
        <w:trPr>
          <w:trHeight w:val="300"/>
        </w:trPr>
        <w:tc>
          <w:tcPr>
            <w:tcW w:w="960" w:type="dxa"/>
            <w:tcBorders>
              <w:top w:val="nil"/>
              <w:left w:val="nil"/>
              <w:bottom w:val="nil"/>
              <w:right w:val="nil"/>
            </w:tcBorders>
            <w:shd w:val="clear" w:color="auto" w:fill="auto"/>
            <w:noWrap/>
            <w:vAlign w:val="bottom"/>
            <w:hideMark/>
          </w:tcPr>
          <w:p w:rsidR="0018407B" w:rsidRPr="00795ADF" w:rsidRDefault="0018407B" w:rsidP="00C843E2">
            <w:pPr>
              <w:spacing w:after="0" w:line="240" w:lineRule="auto"/>
              <w:rPr>
                <w:rFonts w:ascii="Calibri" w:eastAsia="Times New Roman" w:hAnsi="Calibri" w:cs="Calibri"/>
                <w:color w:val="000000"/>
                <w:lang w:eastAsia="pt-BR"/>
              </w:rPr>
            </w:pPr>
            <w:r w:rsidRPr="00795ADF">
              <w:rPr>
                <w:rFonts w:ascii="Calibri" w:eastAsia="Times New Roman" w:hAnsi="Calibri" w:cs="Calibri"/>
                <w:color w:val="000000"/>
                <w:lang w:eastAsia="pt-BR"/>
              </w:rPr>
              <w:t>Férias</w:t>
            </w:r>
          </w:p>
        </w:tc>
        <w:tc>
          <w:tcPr>
            <w:tcW w:w="1000" w:type="dxa"/>
            <w:tcBorders>
              <w:top w:val="nil"/>
              <w:left w:val="nil"/>
              <w:bottom w:val="nil"/>
              <w:right w:val="nil"/>
            </w:tcBorders>
            <w:shd w:val="clear" w:color="auto" w:fill="auto"/>
            <w:noWrap/>
            <w:vAlign w:val="bottom"/>
            <w:hideMark/>
          </w:tcPr>
          <w:p w:rsidR="0018407B" w:rsidRPr="00795ADF" w:rsidRDefault="0018407B" w:rsidP="00C843E2">
            <w:pPr>
              <w:spacing w:after="0" w:line="240" w:lineRule="auto"/>
              <w:rPr>
                <w:rFonts w:ascii="Calibri" w:eastAsia="Times New Roman" w:hAnsi="Calibri" w:cs="Calibri"/>
                <w:color w:val="000000"/>
                <w:lang w:eastAsia="pt-BR"/>
              </w:rPr>
            </w:pPr>
          </w:p>
        </w:tc>
        <w:tc>
          <w:tcPr>
            <w:tcW w:w="960" w:type="dxa"/>
            <w:tcBorders>
              <w:top w:val="nil"/>
              <w:left w:val="nil"/>
              <w:bottom w:val="nil"/>
              <w:right w:val="nil"/>
            </w:tcBorders>
            <w:shd w:val="clear" w:color="auto" w:fill="auto"/>
            <w:noWrap/>
            <w:vAlign w:val="bottom"/>
            <w:hideMark/>
          </w:tcPr>
          <w:p w:rsidR="0018407B" w:rsidRPr="00795ADF" w:rsidRDefault="0018407B" w:rsidP="00C843E2">
            <w:pPr>
              <w:spacing w:after="0" w:line="240" w:lineRule="auto"/>
              <w:rPr>
                <w:rFonts w:ascii="Calibri" w:eastAsia="Times New Roman" w:hAnsi="Calibri" w:cs="Calibri"/>
                <w:color w:val="000000"/>
                <w:lang w:eastAsia="pt-BR"/>
              </w:rPr>
            </w:pPr>
          </w:p>
        </w:tc>
        <w:tc>
          <w:tcPr>
            <w:tcW w:w="1318" w:type="dxa"/>
            <w:tcBorders>
              <w:top w:val="nil"/>
              <w:left w:val="nil"/>
              <w:bottom w:val="nil"/>
              <w:right w:val="nil"/>
            </w:tcBorders>
            <w:shd w:val="clear" w:color="auto" w:fill="auto"/>
            <w:noWrap/>
            <w:vAlign w:val="bottom"/>
          </w:tcPr>
          <w:p w:rsidR="0018407B" w:rsidRPr="00795ADF" w:rsidRDefault="0018407B" w:rsidP="00A540E5">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1.</w:t>
            </w:r>
            <w:r w:rsidR="00A540E5">
              <w:rPr>
                <w:rFonts w:ascii="Calibri" w:eastAsia="Times New Roman" w:hAnsi="Calibri" w:cs="Calibri"/>
                <w:color w:val="000000"/>
                <w:lang w:eastAsia="pt-BR"/>
              </w:rPr>
              <w:t>908</w:t>
            </w:r>
            <w:r>
              <w:rPr>
                <w:rFonts w:ascii="Calibri" w:eastAsia="Times New Roman" w:hAnsi="Calibri" w:cs="Calibri"/>
                <w:color w:val="000000"/>
                <w:lang w:eastAsia="pt-BR"/>
              </w:rPr>
              <w:t>.</w:t>
            </w:r>
            <w:r w:rsidR="00A540E5">
              <w:rPr>
                <w:rFonts w:ascii="Calibri" w:eastAsia="Times New Roman" w:hAnsi="Calibri" w:cs="Calibri"/>
                <w:color w:val="000000"/>
                <w:lang w:eastAsia="pt-BR"/>
              </w:rPr>
              <w:t>919</w:t>
            </w:r>
          </w:p>
        </w:tc>
        <w:tc>
          <w:tcPr>
            <w:tcW w:w="960" w:type="dxa"/>
            <w:tcBorders>
              <w:top w:val="nil"/>
              <w:left w:val="nil"/>
              <w:bottom w:val="nil"/>
              <w:right w:val="nil"/>
            </w:tcBorders>
            <w:shd w:val="clear" w:color="auto" w:fill="auto"/>
            <w:noWrap/>
            <w:vAlign w:val="bottom"/>
            <w:hideMark/>
          </w:tcPr>
          <w:p w:rsidR="0018407B" w:rsidRPr="00795ADF" w:rsidRDefault="0018407B" w:rsidP="00C843E2">
            <w:pPr>
              <w:spacing w:after="0" w:line="240" w:lineRule="auto"/>
              <w:rPr>
                <w:rFonts w:ascii="Calibri" w:eastAsia="Times New Roman" w:hAnsi="Calibri" w:cs="Calibri"/>
                <w:color w:val="000000"/>
                <w:lang w:eastAsia="pt-BR"/>
              </w:rPr>
            </w:pPr>
          </w:p>
        </w:tc>
        <w:tc>
          <w:tcPr>
            <w:tcW w:w="1318" w:type="dxa"/>
            <w:tcBorders>
              <w:top w:val="nil"/>
              <w:left w:val="nil"/>
              <w:bottom w:val="nil"/>
              <w:right w:val="nil"/>
            </w:tcBorders>
            <w:shd w:val="clear" w:color="auto" w:fill="auto"/>
            <w:noWrap/>
            <w:vAlign w:val="bottom"/>
            <w:hideMark/>
          </w:tcPr>
          <w:p w:rsidR="0018407B" w:rsidRPr="00795ADF" w:rsidRDefault="00A540E5" w:rsidP="00C843E2">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1.665.969</w:t>
            </w:r>
          </w:p>
        </w:tc>
      </w:tr>
      <w:tr w:rsidR="0018407B" w:rsidRPr="00795ADF" w:rsidTr="00C843E2">
        <w:trPr>
          <w:trHeight w:val="300"/>
        </w:trPr>
        <w:tc>
          <w:tcPr>
            <w:tcW w:w="1960" w:type="dxa"/>
            <w:gridSpan w:val="2"/>
            <w:tcBorders>
              <w:top w:val="nil"/>
              <w:left w:val="nil"/>
              <w:bottom w:val="nil"/>
              <w:right w:val="nil"/>
            </w:tcBorders>
            <w:shd w:val="clear" w:color="auto" w:fill="auto"/>
            <w:noWrap/>
            <w:vAlign w:val="bottom"/>
            <w:hideMark/>
          </w:tcPr>
          <w:p w:rsidR="0018407B" w:rsidRPr="00795ADF" w:rsidRDefault="0018407B" w:rsidP="00C843E2">
            <w:pPr>
              <w:spacing w:after="0" w:line="240" w:lineRule="auto"/>
              <w:rPr>
                <w:rFonts w:ascii="Calibri" w:eastAsia="Times New Roman" w:hAnsi="Calibri" w:cs="Calibri"/>
                <w:color w:val="000000"/>
                <w:lang w:eastAsia="pt-BR"/>
              </w:rPr>
            </w:pPr>
            <w:r w:rsidRPr="00795ADF">
              <w:rPr>
                <w:rFonts w:ascii="Calibri" w:eastAsia="Times New Roman" w:hAnsi="Calibri" w:cs="Calibri"/>
                <w:color w:val="000000"/>
                <w:lang w:eastAsia="pt-BR"/>
              </w:rPr>
              <w:t>INSS s/ Férias</w:t>
            </w:r>
          </w:p>
        </w:tc>
        <w:tc>
          <w:tcPr>
            <w:tcW w:w="960" w:type="dxa"/>
            <w:tcBorders>
              <w:top w:val="nil"/>
              <w:left w:val="nil"/>
              <w:bottom w:val="nil"/>
              <w:right w:val="nil"/>
            </w:tcBorders>
            <w:shd w:val="clear" w:color="auto" w:fill="auto"/>
            <w:noWrap/>
            <w:vAlign w:val="bottom"/>
            <w:hideMark/>
          </w:tcPr>
          <w:p w:rsidR="0018407B" w:rsidRPr="00795ADF" w:rsidRDefault="0018407B" w:rsidP="00C843E2">
            <w:pPr>
              <w:spacing w:after="0" w:line="240" w:lineRule="auto"/>
              <w:rPr>
                <w:rFonts w:ascii="Calibri" w:eastAsia="Times New Roman" w:hAnsi="Calibri" w:cs="Calibri"/>
                <w:color w:val="000000"/>
                <w:lang w:eastAsia="pt-BR"/>
              </w:rPr>
            </w:pPr>
          </w:p>
        </w:tc>
        <w:tc>
          <w:tcPr>
            <w:tcW w:w="1318" w:type="dxa"/>
            <w:tcBorders>
              <w:top w:val="nil"/>
              <w:left w:val="nil"/>
              <w:bottom w:val="nil"/>
              <w:right w:val="nil"/>
            </w:tcBorders>
            <w:shd w:val="clear" w:color="auto" w:fill="auto"/>
            <w:noWrap/>
            <w:vAlign w:val="bottom"/>
          </w:tcPr>
          <w:p w:rsidR="0018407B" w:rsidRPr="00795ADF" w:rsidRDefault="00A540E5" w:rsidP="00A540E5">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410</w:t>
            </w:r>
            <w:r w:rsidR="0018407B">
              <w:rPr>
                <w:rFonts w:ascii="Calibri" w:eastAsia="Times New Roman" w:hAnsi="Calibri" w:cs="Calibri"/>
                <w:color w:val="000000"/>
                <w:lang w:eastAsia="pt-BR"/>
              </w:rPr>
              <w:t>.</w:t>
            </w:r>
            <w:r>
              <w:rPr>
                <w:rFonts w:ascii="Calibri" w:eastAsia="Times New Roman" w:hAnsi="Calibri" w:cs="Calibri"/>
                <w:color w:val="000000"/>
                <w:lang w:eastAsia="pt-BR"/>
              </w:rPr>
              <w:t>418</w:t>
            </w:r>
          </w:p>
        </w:tc>
        <w:tc>
          <w:tcPr>
            <w:tcW w:w="960" w:type="dxa"/>
            <w:tcBorders>
              <w:top w:val="nil"/>
              <w:left w:val="nil"/>
              <w:bottom w:val="nil"/>
              <w:right w:val="nil"/>
            </w:tcBorders>
            <w:shd w:val="clear" w:color="auto" w:fill="auto"/>
            <w:noWrap/>
            <w:vAlign w:val="bottom"/>
            <w:hideMark/>
          </w:tcPr>
          <w:p w:rsidR="0018407B" w:rsidRPr="00795ADF" w:rsidRDefault="0018407B" w:rsidP="00C843E2">
            <w:pPr>
              <w:spacing w:after="0" w:line="240" w:lineRule="auto"/>
              <w:rPr>
                <w:rFonts w:ascii="Calibri" w:eastAsia="Times New Roman" w:hAnsi="Calibri" w:cs="Calibri"/>
                <w:color w:val="000000"/>
                <w:lang w:eastAsia="pt-BR"/>
              </w:rPr>
            </w:pPr>
          </w:p>
        </w:tc>
        <w:tc>
          <w:tcPr>
            <w:tcW w:w="1318" w:type="dxa"/>
            <w:tcBorders>
              <w:top w:val="nil"/>
              <w:left w:val="nil"/>
              <w:bottom w:val="nil"/>
              <w:right w:val="nil"/>
            </w:tcBorders>
            <w:shd w:val="clear" w:color="auto" w:fill="auto"/>
            <w:noWrap/>
            <w:vAlign w:val="bottom"/>
          </w:tcPr>
          <w:p w:rsidR="0018407B" w:rsidRPr="00795ADF" w:rsidRDefault="00A540E5" w:rsidP="00C843E2">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392.349</w:t>
            </w:r>
          </w:p>
        </w:tc>
      </w:tr>
      <w:tr w:rsidR="0018407B" w:rsidRPr="00795ADF" w:rsidTr="00C843E2">
        <w:trPr>
          <w:trHeight w:val="300"/>
        </w:trPr>
        <w:tc>
          <w:tcPr>
            <w:tcW w:w="1960" w:type="dxa"/>
            <w:gridSpan w:val="2"/>
            <w:tcBorders>
              <w:top w:val="nil"/>
              <w:left w:val="nil"/>
              <w:bottom w:val="nil"/>
              <w:right w:val="nil"/>
            </w:tcBorders>
            <w:shd w:val="clear" w:color="auto" w:fill="auto"/>
            <w:noWrap/>
            <w:vAlign w:val="bottom"/>
            <w:hideMark/>
          </w:tcPr>
          <w:p w:rsidR="0018407B" w:rsidRPr="00795ADF" w:rsidRDefault="0018407B" w:rsidP="00C843E2">
            <w:pPr>
              <w:spacing w:after="0" w:line="240" w:lineRule="auto"/>
              <w:rPr>
                <w:rFonts w:ascii="Calibri" w:eastAsia="Times New Roman" w:hAnsi="Calibri" w:cs="Calibri"/>
                <w:color w:val="000000"/>
                <w:lang w:eastAsia="pt-BR"/>
              </w:rPr>
            </w:pPr>
            <w:r w:rsidRPr="00795ADF">
              <w:rPr>
                <w:rFonts w:ascii="Calibri" w:eastAsia="Times New Roman" w:hAnsi="Calibri" w:cs="Calibri"/>
                <w:color w:val="000000"/>
                <w:lang w:eastAsia="pt-BR"/>
              </w:rPr>
              <w:t>FGTS s/ Férias</w:t>
            </w:r>
          </w:p>
        </w:tc>
        <w:tc>
          <w:tcPr>
            <w:tcW w:w="960" w:type="dxa"/>
            <w:tcBorders>
              <w:top w:val="nil"/>
              <w:left w:val="nil"/>
              <w:bottom w:val="nil"/>
              <w:right w:val="nil"/>
            </w:tcBorders>
            <w:shd w:val="clear" w:color="auto" w:fill="auto"/>
            <w:noWrap/>
            <w:vAlign w:val="bottom"/>
            <w:hideMark/>
          </w:tcPr>
          <w:p w:rsidR="0018407B" w:rsidRPr="00795ADF" w:rsidRDefault="0018407B" w:rsidP="00C843E2">
            <w:pPr>
              <w:spacing w:after="0" w:line="240" w:lineRule="auto"/>
              <w:rPr>
                <w:rFonts w:ascii="Calibri" w:eastAsia="Times New Roman" w:hAnsi="Calibri" w:cs="Calibri"/>
                <w:color w:val="000000"/>
                <w:lang w:eastAsia="pt-BR"/>
              </w:rPr>
            </w:pPr>
          </w:p>
        </w:tc>
        <w:tc>
          <w:tcPr>
            <w:tcW w:w="1318" w:type="dxa"/>
            <w:tcBorders>
              <w:top w:val="nil"/>
              <w:left w:val="nil"/>
              <w:bottom w:val="nil"/>
              <w:right w:val="nil"/>
            </w:tcBorders>
            <w:shd w:val="clear" w:color="auto" w:fill="auto"/>
            <w:noWrap/>
            <w:vAlign w:val="bottom"/>
          </w:tcPr>
          <w:p w:rsidR="0018407B" w:rsidRPr="00795ADF" w:rsidRDefault="00A540E5" w:rsidP="00A540E5">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152</w:t>
            </w:r>
            <w:r w:rsidR="0018407B">
              <w:rPr>
                <w:rFonts w:ascii="Calibri" w:eastAsia="Times New Roman" w:hAnsi="Calibri" w:cs="Calibri"/>
                <w:color w:val="000000"/>
                <w:lang w:eastAsia="pt-BR"/>
              </w:rPr>
              <w:t>.</w:t>
            </w:r>
            <w:r>
              <w:rPr>
                <w:rFonts w:ascii="Calibri" w:eastAsia="Times New Roman" w:hAnsi="Calibri" w:cs="Calibri"/>
                <w:color w:val="000000"/>
                <w:lang w:eastAsia="pt-BR"/>
              </w:rPr>
              <w:t>714</w:t>
            </w:r>
          </w:p>
        </w:tc>
        <w:tc>
          <w:tcPr>
            <w:tcW w:w="960" w:type="dxa"/>
            <w:tcBorders>
              <w:top w:val="nil"/>
              <w:left w:val="nil"/>
              <w:bottom w:val="nil"/>
              <w:right w:val="nil"/>
            </w:tcBorders>
            <w:shd w:val="clear" w:color="auto" w:fill="auto"/>
            <w:noWrap/>
            <w:vAlign w:val="bottom"/>
            <w:hideMark/>
          </w:tcPr>
          <w:p w:rsidR="0018407B" w:rsidRPr="00795ADF" w:rsidRDefault="0018407B" w:rsidP="00C843E2">
            <w:pPr>
              <w:spacing w:after="0" w:line="240" w:lineRule="auto"/>
              <w:rPr>
                <w:rFonts w:ascii="Calibri" w:eastAsia="Times New Roman" w:hAnsi="Calibri" w:cs="Calibri"/>
                <w:color w:val="000000"/>
                <w:lang w:eastAsia="pt-BR"/>
              </w:rPr>
            </w:pPr>
          </w:p>
        </w:tc>
        <w:tc>
          <w:tcPr>
            <w:tcW w:w="1318" w:type="dxa"/>
            <w:tcBorders>
              <w:top w:val="nil"/>
              <w:left w:val="nil"/>
              <w:bottom w:val="nil"/>
              <w:right w:val="nil"/>
            </w:tcBorders>
            <w:shd w:val="clear" w:color="auto" w:fill="auto"/>
            <w:noWrap/>
            <w:vAlign w:val="bottom"/>
          </w:tcPr>
          <w:p w:rsidR="0018407B" w:rsidRPr="00795ADF" w:rsidRDefault="00A540E5" w:rsidP="00C843E2">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133.277</w:t>
            </w:r>
          </w:p>
        </w:tc>
      </w:tr>
      <w:tr w:rsidR="0018407B" w:rsidRPr="00795ADF" w:rsidTr="00C843E2">
        <w:trPr>
          <w:trHeight w:val="300"/>
        </w:trPr>
        <w:tc>
          <w:tcPr>
            <w:tcW w:w="1960" w:type="dxa"/>
            <w:gridSpan w:val="2"/>
            <w:tcBorders>
              <w:top w:val="nil"/>
              <w:left w:val="nil"/>
              <w:bottom w:val="nil"/>
              <w:right w:val="nil"/>
            </w:tcBorders>
            <w:shd w:val="clear" w:color="auto" w:fill="auto"/>
            <w:noWrap/>
            <w:vAlign w:val="bottom"/>
            <w:hideMark/>
          </w:tcPr>
          <w:p w:rsidR="0018407B" w:rsidRPr="00795ADF" w:rsidRDefault="0018407B" w:rsidP="00C843E2">
            <w:pPr>
              <w:spacing w:after="0" w:line="240" w:lineRule="auto"/>
              <w:rPr>
                <w:rFonts w:ascii="Calibri" w:eastAsia="Times New Roman" w:hAnsi="Calibri" w:cs="Calibri"/>
                <w:color w:val="000000"/>
                <w:lang w:eastAsia="pt-BR"/>
              </w:rPr>
            </w:pPr>
            <w:r w:rsidRPr="00795ADF">
              <w:rPr>
                <w:rFonts w:ascii="Calibri" w:eastAsia="Times New Roman" w:hAnsi="Calibri" w:cs="Calibri"/>
                <w:color w:val="000000"/>
                <w:lang w:eastAsia="pt-BR"/>
              </w:rPr>
              <w:t>PIS s/ Férias</w:t>
            </w:r>
          </w:p>
        </w:tc>
        <w:tc>
          <w:tcPr>
            <w:tcW w:w="960" w:type="dxa"/>
            <w:tcBorders>
              <w:top w:val="nil"/>
              <w:left w:val="nil"/>
              <w:bottom w:val="nil"/>
              <w:right w:val="nil"/>
            </w:tcBorders>
            <w:shd w:val="clear" w:color="auto" w:fill="auto"/>
            <w:noWrap/>
            <w:vAlign w:val="bottom"/>
            <w:hideMark/>
          </w:tcPr>
          <w:p w:rsidR="0018407B" w:rsidRPr="00795ADF" w:rsidRDefault="0018407B" w:rsidP="00C843E2">
            <w:pPr>
              <w:spacing w:after="0" w:line="240" w:lineRule="auto"/>
              <w:rPr>
                <w:rFonts w:ascii="Calibri" w:eastAsia="Times New Roman" w:hAnsi="Calibri" w:cs="Calibri"/>
                <w:color w:val="000000"/>
                <w:lang w:eastAsia="pt-BR"/>
              </w:rPr>
            </w:pPr>
          </w:p>
        </w:tc>
        <w:tc>
          <w:tcPr>
            <w:tcW w:w="1318" w:type="dxa"/>
            <w:tcBorders>
              <w:top w:val="nil"/>
              <w:left w:val="nil"/>
              <w:bottom w:val="nil"/>
              <w:right w:val="nil"/>
            </w:tcBorders>
            <w:shd w:val="clear" w:color="auto" w:fill="auto"/>
            <w:noWrap/>
            <w:vAlign w:val="bottom"/>
          </w:tcPr>
          <w:p w:rsidR="0018407B" w:rsidRPr="00795ADF" w:rsidRDefault="00A540E5" w:rsidP="00A540E5">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19</w:t>
            </w:r>
            <w:r w:rsidR="0018407B">
              <w:rPr>
                <w:rFonts w:ascii="Calibri" w:eastAsia="Times New Roman" w:hAnsi="Calibri" w:cs="Calibri"/>
                <w:color w:val="000000"/>
                <w:lang w:eastAsia="pt-BR"/>
              </w:rPr>
              <w:t>.</w:t>
            </w:r>
            <w:r>
              <w:rPr>
                <w:rFonts w:ascii="Calibri" w:eastAsia="Times New Roman" w:hAnsi="Calibri" w:cs="Calibri"/>
                <w:color w:val="000000"/>
                <w:lang w:eastAsia="pt-BR"/>
              </w:rPr>
              <w:t>089</w:t>
            </w:r>
          </w:p>
        </w:tc>
        <w:tc>
          <w:tcPr>
            <w:tcW w:w="960" w:type="dxa"/>
            <w:tcBorders>
              <w:top w:val="nil"/>
              <w:left w:val="nil"/>
              <w:bottom w:val="nil"/>
              <w:right w:val="nil"/>
            </w:tcBorders>
            <w:shd w:val="clear" w:color="auto" w:fill="auto"/>
            <w:noWrap/>
            <w:vAlign w:val="bottom"/>
            <w:hideMark/>
          </w:tcPr>
          <w:p w:rsidR="0018407B" w:rsidRPr="00795ADF" w:rsidRDefault="0018407B" w:rsidP="00C843E2">
            <w:pPr>
              <w:spacing w:after="0" w:line="240" w:lineRule="auto"/>
              <w:rPr>
                <w:rFonts w:ascii="Calibri" w:eastAsia="Times New Roman" w:hAnsi="Calibri" w:cs="Calibri"/>
                <w:color w:val="000000"/>
                <w:lang w:eastAsia="pt-BR"/>
              </w:rPr>
            </w:pPr>
          </w:p>
        </w:tc>
        <w:tc>
          <w:tcPr>
            <w:tcW w:w="1318" w:type="dxa"/>
            <w:tcBorders>
              <w:top w:val="nil"/>
              <w:left w:val="nil"/>
              <w:bottom w:val="nil"/>
              <w:right w:val="nil"/>
            </w:tcBorders>
            <w:shd w:val="clear" w:color="auto" w:fill="auto"/>
            <w:noWrap/>
            <w:vAlign w:val="bottom"/>
          </w:tcPr>
          <w:p w:rsidR="0018407B" w:rsidRPr="00795ADF" w:rsidRDefault="00A540E5" w:rsidP="00C843E2">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16.660</w:t>
            </w:r>
          </w:p>
        </w:tc>
      </w:tr>
      <w:tr w:rsidR="0018407B" w:rsidRPr="00795ADF" w:rsidTr="00C843E2">
        <w:trPr>
          <w:trHeight w:val="315"/>
        </w:trPr>
        <w:tc>
          <w:tcPr>
            <w:tcW w:w="960" w:type="dxa"/>
            <w:tcBorders>
              <w:top w:val="nil"/>
              <w:left w:val="nil"/>
              <w:bottom w:val="nil"/>
              <w:right w:val="nil"/>
            </w:tcBorders>
            <w:shd w:val="clear" w:color="auto" w:fill="auto"/>
            <w:noWrap/>
            <w:vAlign w:val="bottom"/>
            <w:hideMark/>
          </w:tcPr>
          <w:p w:rsidR="0018407B" w:rsidRPr="00795ADF" w:rsidRDefault="0018407B" w:rsidP="00C843E2">
            <w:pPr>
              <w:spacing w:after="0" w:line="240" w:lineRule="auto"/>
              <w:rPr>
                <w:rFonts w:ascii="Calibri" w:eastAsia="Times New Roman" w:hAnsi="Calibri" w:cs="Calibri"/>
                <w:b/>
                <w:bCs/>
                <w:color w:val="000000"/>
                <w:lang w:eastAsia="pt-BR"/>
              </w:rPr>
            </w:pPr>
            <w:r w:rsidRPr="00795ADF">
              <w:rPr>
                <w:rFonts w:ascii="Calibri" w:eastAsia="Times New Roman" w:hAnsi="Calibri" w:cs="Calibri"/>
                <w:b/>
                <w:bCs/>
                <w:color w:val="000000"/>
                <w:lang w:eastAsia="pt-BR"/>
              </w:rPr>
              <w:t>Total</w:t>
            </w:r>
          </w:p>
        </w:tc>
        <w:tc>
          <w:tcPr>
            <w:tcW w:w="1000" w:type="dxa"/>
            <w:tcBorders>
              <w:top w:val="nil"/>
              <w:left w:val="nil"/>
              <w:bottom w:val="nil"/>
              <w:right w:val="nil"/>
            </w:tcBorders>
            <w:shd w:val="clear" w:color="auto" w:fill="auto"/>
            <w:noWrap/>
            <w:vAlign w:val="bottom"/>
            <w:hideMark/>
          </w:tcPr>
          <w:p w:rsidR="0018407B" w:rsidRPr="00795ADF" w:rsidRDefault="0018407B" w:rsidP="00C843E2">
            <w:pPr>
              <w:spacing w:after="0" w:line="240" w:lineRule="auto"/>
              <w:rPr>
                <w:rFonts w:ascii="Calibri" w:eastAsia="Times New Roman" w:hAnsi="Calibri" w:cs="Calibri"/>
                <w:b/>
                <w:bCs/>
                <w:color w:val="000000"/>
                <w:lang w:eastAsia="pt-BR"/>
              </w:rPr>
            </w:pPr>
          </w:p>
        </w:tc>
        <w:tc>
          <w:tcPr>
            <w:tcW w:w="960" w:type="dxa"/>
            <w:tcBorders>
              <w:top w:val="nil"/>
              <w:left w:val="nil"/>
              <w:bottom w:val="nil"/>
              <w:right w:val="nil"/>
            </w:tcBorders>
            <w:shd w:val="clear" w:color="auto" w:fill="auto"/>
            <w:noWrap/>
            <w:vAlign w:val="bottom"/>
            <w:hideMark/>
          </w:tcPr>
          <w:p w:rsidR="0018407B" w:rsidRPr="00795ADF" w:rsidRDefault="0018407B" w:rsidP="00C843E2">
            <w:pPr>
              <w:spacing w:after="0" w:line="240" w:lineRule="auto"/>
              <w:rPr>
                <w:rFonts w:ascii="Calibri" w:eastAsia="Times New Roman" w:hAnsi="Calibri" w:cs="Calibri"/>
                <w:b/>
                <w:bCs/>
                <w:color w:val="000000"/>
                <w:lang w:eastAsia="pt-BR"/>
              </w:rPr>
            </w:pPr>
          </w:p>
        </w:tc>
        <w:tc>
          <w:tcPr>
            <w:tcW w:w="1318" w:type="dxa"/>
            <w:tcBorders>
              <w:top w:val="single" w:sz="4" w:space="0" w:color="auto"/>
              <w:left w:val="nil"/>
              <w:bottom w:val="double" w:sz="6" w:space="0" w:color="auto"/>
              <w:right w:val="nil"/>
            </w:tcBorders>
            <w:shd w:val="clear" w:color="auto" w:fill="auto"/>
            <w:noWrap/>
            <w:vAlign w:val="bottom"/>
          </w:tcPr>
          <w:p w:rsidR="0018407B" w:rsidRPr="00795ADF" w:rsidRDefault="0018407B" w:rsidP="00A540E5">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2.</w:t>
            </w:r>
            <w:r w:rsidR="00A540E5">
              <w:rPr>
                <w:rFonts w:ascii="Calibri" w:eastAsia="Times New Roman" w:hAnsi="Calibri" w:cs="Calibri"/>
                <w:b/>
                <w:bCs/>
                <w:color w:val="000000"/>
                <w:lang w:eastAsia="pt-BR"/>
              </w:rPr>
              <w:t>491</w:t>
            </w:r>
            <w:r>
              <w:rPr>
                <w:rFonts w:ascii="Calibri" w:eastAsia="Times New Roman" w:hAnsi="Calibri" w:cs="Calibri"/>
                <w:b/>
                <w:bCs/>
                <w:color w:val="000000"/>
                <w:lang w:eastAsia="pt-BR"/>
              </w:rPr>
              <w:t>.</w:t>
            </w:r>
            <w:r w:rsidR="00A540E5">
              <w:rPr>
                <w:rFonts w:ascii="Calibri" w:eastAsia="Times New Roman" w:hAnsi="Calibri" w:cs="Calibri"/>
                <w:b/>
                <w:bCs/>
                <w:color w:val="000000"/>
                <w:lang w:eastAsia="pt-BR"/>
              </w:rPr>
              <w:t>140</w:t>
            </w:r>
          </w:p>
        </w:tc>
        <w:tc>
          <w:tcPr>
            <w:tcW w:w="960" w:type="dxa"/>
            <w:tcBorders>
              <w:top w:val="nil"/>
              <w:left w:val="nil"/>
              <w:bottom w:val="nil"/>
              <w:right w:val="nil"/>
            </w:tcBorders>
            <w:shd w:val="clear" w:color="auto" w:fill="auto"/>
            <w:noWrap/>
            <w:vAlign w:val="bottom"/>
            <w:hideMark/>
          </w:tcPr>
          <w:p w:rsidR="0018407B" w:rsidRPr="00795ADF" w:rsidRDefault="0018407B" w:rsidP="00C843E2">
            <w:pPr>
              <w:spacing w:after="0" w:line="240" w:lineRule="auto"/>
              <w:jc w:val="center"/>
              <w:rPr>
                <w:rFonts w:ascii="Calibri" w:eastAsia="Times New Roman" w:hAnsi="Calibri" w:cs="Calibri"/>
                <w:b/>
                <w:bCs/>
                <w:color w:val="000000"/>
                <w:lang w:eastAsia="pt-BR"/>
              </w:rPr>
            </w:pPr>
          </w:p>
        </w:tc>
        <w:tc>
          <w:tcPr>
            <w:tcW w:w="1318" w:type="dxa"/>
            <w:tcBorders>
              <w:top w:val="single" w:sz="4" w:space="0" w:color="auto"/>
              <w:left w:val="nil"/>
              <w:bottom w:val="double" w:sz="6" w:space="0" w:color="auto"/>
              <w:right w:val="nil"/>
            </w:tcBorders>
            <w:shd w:val="clear" w:color="auto" w:fill="auto"/>
            <w:noWrap/>
            <w:vAlign w:val="bottom"/>
          </w:tcPr>
          <w:p w:rsidR="0018407B" w:rsidRPr="00795ADF" w:rsidRDefault="00A540E5" w:rsidP="00C843E2">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2.208.255</w:t>
            </w:r>
          </w:p>
        </w:tc>
      </w:tr>
    </w:tbl>
    <w:p w:rsidR="0018407B" w:rsidRDefault="0018407B" w:rsidP="0018407B">
      <w:pPr>
        <w:spacing w:after="0" w:line="240" w:lineRule="auto"/>
        <w:jc w:val="both"/>
        <w:rPr>
          <w:rFonts w:ascii="Times New Roman" w:eastAsia="Times New Roman" w:hAnsi="Times New Roman" w:cs="Times New Roman"/>
          <w:sz w:val="24"/>
          <w:szCs w:val="24"/>
          <w:lang w:eastAsia="pt-BR"/>
        </w:rPr>
      </w:pPr>
    </w:p>
    <w:p w:rsidR="0018407B" w:rsidRDefault="0018407B" w:rsidP="0018407B">
      <w:pPr>
        <w:spacing w:after="0" w:line="240" w:lineRule="auto"/>
        <w:jc w:val="both"/>
        <w:rPr>
          <w:rFonts w:ascii="Times New Roman" w:eastAsia="Times New Roman" w:hAnsi="Times New Roman" w:cs="Times New Roman"/>
          <w:b/>
          <w:sz w:val="24"/>
          <w:szCs w:val="24"/>
          <w:lang w:eastAsia="pt-BR"/>
        </w:rPr>
      </w:pPr>
    </w:p>
    <w:p w:rsidR="0018407B" w:rsidRDefault="0018407B" w:rsidP="0018407B">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15. </w:t>
      </w:r>
      <w:r w:rsidRPr="009055BE">
        <w:rPr>
          <w:rFonts w:ascii="Times New Roman" w:eastAsia="Times New Roman" w:hAnsi="Times New Roman" w:cs="Times New Roman"/>
          <w:b/>
          <w:sz w:val="24"/>
          <w:szCs w:val="24"/>
          <w:lang w:eastAsia="pt-BR"/>
        </w:rPr>
        <w:t xml:space="preserve">Demais Obrigações </w:t>
      </w:r>
      <w:r>
        <w:rPr>
          <w:rFonts w:ascii="Times New Roman" w:eastAsia="Times New Roman" w:hAnsi="Times New Roman" w:cs="Times New Roman"/>
          <w:b/>
          <w:sz w:val="24"/>
          <w:szCs w:val="24"/>
          <w:lang w:eastAsia="pt-BR"/>
        </w:rPr>
        <w:t>a</w:t>
      </w:r>
      <w:r w:rsidRPr="009055BE">
        <w:rPr>
          <w:rFonts w:ascii="Times New Roman" w:eastAsia="Times New Roman" w:hAnsi="Times New Roman" w:cs="Times New Roman"/>
          <w:b/>
          <w:sz w:val="24"/>
          <w:szCs w:val="24"/>
          <w:lang w:eastAsia="pt-BR"/>
        </w:rPr>
        <w:t xml:space="preserve"> Curto Prazo</w:t>
      </w:r>
    </w:p>
    <w:p w:rsidR="0018407B" w:rsidRPr="00B17B53" w:rsidRDefault="0018407B" w:rsidP="0018407B">
      <w:pPr>
        <w:spacing w:after="0" w:line="240" w:lineRule="auto"/>
        <w:jc w:val="both"/>
        <w:rPr>
          <w:rFonts w:ascii="Times New Roman" w:eastAsia="Times New Roman" w:hAnsi="Times New Roman" w:cs="Times New Roman"/>
          <w:b/>
          <w:sz w:val="24"/>
          <w:szCs w:val="24"/>
          <w:lang w:eastAsia="pt-BR"/>
        </w:rPr>
      </w:pPr>
    </w:p>
    <w:tbl>
      <w:tblPr>
        <w:tblW w:w="7720" w:type="dxa"/>
        <w:tblInd w:w="55" w:type="dxa"/>
        <w:tblCellMar>
          <w:left w:w="70" w:type="dxa"/>
          <w:right w:w="70" w:type="dxa"/>
        </w:tblCellMar>
        <w:tblLook w:val="04A0" w:firstRow="1" w:lastRow="0" w:firstColumn="1" w:lastColumn="0" w:noHBand="0" w:noVBand="1"/>
      </w:tblPr>
      <w:tblGrid>
        <w:gridCol w:w="960"/>
        <w:gridCol w:w="1000"/>
        <w:gridCol w:w="960"/>
        <w:gridCol w:w="1300"/>
        <w:gridCol w:w="1080"/>
        <w:gridCol w:w="1300"/>
        <w:gridCol w:w="1120"/>
      </w:tblGrid>
      <w:tr w:rsidR="0018407B" w:rsidRPr="009D2F20" w:rsidTr="00C843E2">
        <w:trPr>
          <w:trHeight w:val="315"/>
        </w:trPr>
        <w:tc>
          <w:tcPr>
            <w:tcW w:w="960" w:type="dxa"/>
            <w:tcBorders>
              <w:top w:val="nil"/>
              <w:left w:val="nil"/>
              <w:bottom w:val="nil"/>
              <w:right w:val="nil"/>
            </w:tcBorders>
            <w:shd w:val="clear" w:color="auto" w:fill="auto"/>
            <w:noWrap/>
            <w:vAlign w:val="bottom"/>
            <w:hideMark/>
          </w:tcPr>
          <w:p w:rsidR="0018407B" w:rsidRPr="009D2F20" w:rsidRDefault="0018407B" w:rsidP="00C843E2">
            <w:pPr>
              <w:spacing w:after="0" w:line="240" w:lineRule="auto"/>
              <w:rPr>
                <w:rFonts w:ascii="Calibri" w:eastAsia="Times New Roman" w:hAnsi="Calibri" w:cs="Calibri"/>
                <w:color w:val="000000"/>
                <w:lang w:eastAsia="pt-BR"/>
              </w:rPr>
            </w:pPr>
          </w:p>
        </w:tc>
        <w:tc>
          <w:tcPr>
            <w:tcW w:w="1000" w:type="dxa"/>
            <w:tcBorders>
              <w:top w:val="nil"/>
              <w:left w:val="nil"/>
              <w:bottom w:val="nil"/>
              <w:right w:val="nil"/>
            </w:tcBorders>
            <w:shd w:val="clear" w:color="auto" w:fill="auto"/>
            <w:noWrap/>
            <w:vAlign w:val="bottom"/>
            <w:hideMark/>
          </w:tcPr>
          <w:p w:rsidR="0018407B" w:rsidRPr="009D2F20" w:rsidRDefault="0018407B" w:rsidP="00C843E2">
            <w:pPr>
              <w:spacing w:after="0" w:line="240" w:lineRule="auto"/>
              <w:rPr>
                <w:rFonts w:ascii="Calibri" w:eastAsia="Times New Roman" w:hAnsi="Calibri" w:cs="Calibri"/>
                <w:color w:val="000000"/>
                <w:lang w:eastAsia="pt-BR"/>
              </w:rPr>
            </w:pPr>
          </w:p>
        </w:tc>
        <w:tc>
          <w:tcPr>
            <w:tcW w:w="960" w:type="dxa"/>
            <w:tcBorders>
              <w:top w:val="nil"/>
              <w:left w:val="nil"/>
              <w:bottom w:val="nil"/>
              <w:right w:val="nil"/>
            </w:tcBorders>
            <w:shd w:val="clear" w:color="auto" w:fill="auto"/>
            <w:noWrap/>
            <w:vAlign w:val="bottom"/>
            <w:hideMark/>
          </w:tcPr>
          <w:p w:rsidR="0018407B" w:rsidRPr="009D2F20" w:rsidRDefault="0018407B" w:rsidP="00C843E2">
            <w:pPr>
              <w:spacing w:after="0" w:line="240" w:lineRule="auto"/>
              <w:rPr>
                <w:rFonts w:ascii="Calibri" w:eastAsia="Times New Roman" w:hAnsi="Calibri" w:cs="Calibri"/>
                <w:color w:val="000000"/>
                <w:lang w:eastAsia="pt-BR"/>
              </w:rPr>
            </w:pPr>
          </w:p>
        </w:tc>
        <w:tc>
          <w:tcPr>
            <w:tcW w:w="1300" w:type="dxa"/>
            <w:tcBorders>
              <w:top w:val="nil"/>
              <w:left w:val="nil"/>
              <w:bottom w:val="nil"/>
              <w:right w:val="nil"/>
            </w:tcBorders>
            <w:shd w:val="clear" w:color="auto" w:fill="auto"/>
            <w:noWrap/>
            <w:vAlign w:val="bottom"/>
            <w:hideMark/>
          </w:tcPr>
          <w:p w:rsidR="0018407B" w:rsidRPr="009D2F20" w:rsidRDefault="0018407B" w:rsidP="00C843E2">
            <w:pPr>
              <w:spacing w:after="0" w:line="240" w:lineRule="auto"/>
              <w:rPr>
                <w:rFonts w:ascii="Calibri" w:eastAsia="Times New Roman" w:hAnsi="Calibri" w:cs="Calibri"/>
                <w:b/>
                <w:bCs/>
                <w:color w:val="000000"/>
                <w:lang w:eastAsia="pt-BR"/>
              </w:rPr>
            </w:pPr>
          </w:p>
        </w:tc>
        <w:tc>
          <w:tcPr>
            <w:tcW w:w="1080" w:type="dxa"/>
            <w:tcBorders>
              <w:top w:val="nil"/>
              <w:left w:val="nil"/>
              <w:bottom w:val="single" w:sz="8" w:space="0" w:color="auto"/>
              <w:right w:val="nil"/>
            </w:tcBorders>
            <w:shd w:val="clear" w:color="auto" w:fill="auto"/>
            <w:noWrap/>
            <w:vAlign w:val="bottom"/>
            <w:hideMark/>
          </w:tcPr>
          <w:p w:rsidR="0018407B" w:rsidRPr="009D2F20" w:rsidRDefault="0018407B" w:rsidP="00EE3948">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202</w:t>
            </w:r>
            <w:r w:rsidR="00EE3948">
              <w:rPr>
                <w:rFonts w:ascii="Calibri" w:eastAsia="Times New Roman" w:hAnsi="Calibri" w:cs="Calibri"/>
                <w:b/>
                <w:bCs/>
                <w:color w:val="000000"/>
                <w:lang w:eastAsia="pt-BR"/>
              </w:rPr>
              <w:t>2</w:t>
            </w:r>
          </w:p>
        </w:tc>
        <w:tc>
          <w:tcPr>
            <w:tcW w:w="1300" w:type="dxa"/>
            <w:tcBorders>
              <w:top w:val="nil"/>
              <w:left w:val="nil"/>
              <w:bottom w:val="nil"/>
              <w:right w:val="nil"/>
            </w:tcBorders>
            <w:shd w:val="clear" w:color="auto" w:fill="auto"/>
            <w:noWrap/>
            <w:vAlign w:val="bottom"/>
            <w:hideMark/>
          </w:tcPr>
          <w:p w:rsidR="0018407B" w:rsidRPr="009D2F20" w:rsidRDefault="0018407B" w:rsidP="00C843E2">
            <w:pPr>
              <w:spacing w:after="0" w:line="240" w:lineRule="auto"/>
              <w:jc w:val="right"/>
              <w:rPr>
                <w:rFonts w:ascii="Calibri" w:eastAsia="Times New Roman" w:hAnsi="Calibri" w:cs="Calibri"/>
                <w:b/>
                <w:bCs/>
                <w:color w:val="000000"/>
                <w:lang w:eastAsia="pt-BR"/>
              </w:rPr>
            </w:pPr>
          </w:p>
        </w:tc>
        <w:tc>
          <w:tcPr>
            <w:tcW w:w="1120" w:type="dxa"/>
            <w:tcBorders>
              <w:top w:val="nil"/>
              <w:left w:val="nil"/>
              <w:bottom w:val="single" w:sz="8" w:space="0" w:color="auto"/>
              <w:right w:val="nil"/>
            </w:tcBorders>
            <w:shd w:val="clear" w:color="auto" w:fill="auto"/>
            <w:noWrap/>
            <w:vAlign w:val="bottom"/>
            <w:hideMark/>
          </w:tcPr>
          <w:p w:rsidR="0018407B" w:rsidRPr="009D2F20" w:rsidRDefault="00EE3948" w:rsidP="00C843E2">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2021</w:t>
            </w:r>
          </w:p>
        </w:tc>
      </w:tr>
      <w:tr w:rsidR="0018407B" w:rsidRPr="009D2F20" w:rsidTr="00C843E2">
        <w:trPr>
          <w:trHeight w:val="300"/>
        </w:trPr>
        <w:tc>
          <w:tcPr>
            <w:tcW w:w="960" w:type="dxa"/>
            <w:tcBorders>
              <w:top w:val="nil"/>
              <w:left w:val="nil"/>
              <w:bottom w:val="nil"/>
              <w:right w:val="nil"/>
            </w:tcBorders>
            <w:shd w:val="clear" w:color="auto" w:fill="auto"/>
            <w:noWrap/>
            <w:vAlign w:val="bottom"/>
            <w:hideMark/>
          </w:tcPr>
          <w:p w:rsidR="0018407B" w:rsidRPr="009D2F20" w:rsidRDefault="0018407B" w:rsidP="00C843E2">
            <w:pPr>
              <w:spacing w:after="0" w:line="240" w:lineRule="auto"/>
              <w:rPr>
                <w:rFonts w:ascii="Calibri" w:eastAsia="Times New Roman" w:hAnsi="Calibri" w:cs="Calibri"/>
                <w:color w:val="000000"/>
                <w:lang w:eastAsia="pt-BR"/>
              </w:rPr>
            </w:pPr>
            <w:r w:rsidRPr="009D2F20">
              <w:rPr>
                <w:rFonts w:ascii="Calibri" w:eastAsia="Times New Roman" w:hAnsi="Calibri" w:cs="Calibri"/>
                <w:color w:val="000000"/>
                <w:lang w:eastAsia="pt-BR"/>
              </w:rPr>
              <w:t>INSS</w:t>
            </w:r>
          </w:p>
        </w:tc>
        <w:tc>
          <w:tcPr>
            <w:tcW w:w="1000" w:type="dxa"/>
            <w:tcBorders>
              <w:top w:val="nil"/>
              <w:left w:val="nil"/>
              <w:bottom w:val="nil"/>
              <w:right w:val="nil"/>
            </w:tcBorders>
            <w:shd w:val="clear" w:color="auto" w:fill="auto"/>
            <w:noWrap/>
            <w:vAlign w:val="bottom"/>
            <w:hideMark/>
          </w:tcPr>
          <w:p w:rsidR="0018407B" w:rsidRPr="009D2F20" w:rsidRDefault="0018407B" w:rsidP="00C843E2">
            <w:pPr>
              <w:spacing w:after="0" w:line="240" w:lineRule="auto"/>
              <w:rPr>
                <w:rFonts w:ascii="Calibri" w:eastAsia="Times New Roman" w:hAnsi="Calibri" w:cs="Calibri"/>
                <w:color w:val="000000"/>
                <w:lang w:eastAsia="pt-BR"/>
              </w:rPr>
            </w:pPr>
          </w:p>
        </w:tc>
        <w:tc>
          <w:tcPr>
            <w:tcW w:w="960" w:type="dxa"/>
            <w:tcBorders>
              <w:top w:val="nil"/>
              <w:left w:val="nil"/>
              <w:bottom w:val="nil"/>
              <w:right w:val="nil"/>
            </w:tcBorders>
            <w:shd w:val="clear" w:color="auto" w:fill="auto"/>
            <w:noWrap/>
            <w:vAlign w:val="bottom"/>
            <w:hideMark/>
          </w:tcPr>
          <w:p w:rsidR="0018407B" w:rsidRPr="009D2F20" w:rsidRDefault="0018407B" w:rsidP="00C843E2">
            <w:pPr>
              <w:spacing w:after="0" w:line="240" w:lineRule="auto"/>
              <w:rPr>
                <w:rFonts w:ascii="Calibri" w:eastAsia="Times New Roman" w:hAnsi="Calibri" w:cs="Calibri"/>
                <w:color w:val="000000"/>
                <w:lang w:eastAsia="pt-BR"/>
              </w:rPr>
            </w:pPr>
          </w:p>
        </w:tc>
        <w:tc>
          <w:tcPr>
            <w:tcW w:w="1300" w:type="dxa"/>
            <w:tcBorders>
              <w:top w:val="nil"/>
              <w:left w:val="nil"/>
              <w:bottom w:val="nil"/>
              <w:right w:val="nil"/>
            </w:tcBorders>
            <w:shd w:val="clear" w:color="auto" w:fill="auto"/>
            <w:noWrap/>
            <w:vAlign w:val="bottom"/>
            <w:hideMark/>
          </w:tcPr>
          <w:p w:rsidR="0018407B" w:rsidRPr="009D2F20" w:rsidRDefault="0018407B" w:rsidP="00C843E2">
            <w:pPr>
              <w:spacing w:after="0" w:line="240" w:lineRule="auto"/>
              <w:rPr>
                <w:rFonts w:ascii="Calibri" w:eastAsia="Times New Roman" w:hAnsi="Calibri" w:cs="Calibri"/>
                <w:color w:val="000000"/>
                <w:lang w:eastAsia="pt-BR"/>
              </w:rPr>
            </w:pPr>
          </w:p>
        </w:tc>
        <w:tc>
          <w:tcPr>
            <w:tcW w:w="1080" w:type="dxa"/>
            <w:tcBorders>
              <w:top w:val="nil"/>
              <w:left w:val="nil"/>
              <w:right w:val="nil"/>
            </w:tcBorders>
            <w:shd w:val="clear" w:color="auto" w:fill="auto"/>
            <w:noWrap/>
            <w:vAlign w:val="bottom"/>
          </w:tcPr>
          <w:p w:rsidR="0018407B" w:rsidRPr="009D2F20" w:rsidRDefault="0018407B" w:rsidP="00EE394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1</w:t>
            </w:r>
            <w:r w:rsidR="00EE3948">
              <w:rPr>
                <w:rFonts w:ascii="Calibri" w:eastAsia="Times New Roman" w:hAnsi="Calibri" w:cs="Calibri"/>
                <w:color w:val="000000"/>
                <w:lang w:eastAsia="pt-BR"/>
              </w:rPr>
              <w:t>1</w:t>
            </w:r>
            <w:r>
              <w:rPr>
                <w:rFonts w:ascii="Calibri" w:eastAsia="Times New Roman" w:hAnsi="Calibri" w:cs="Calibri"/>
                <w:color w:val="000000"/>
                <w:lang w:eastAsia="pt-BR"/>
              </w:rPr>
              <w:t>.</w:t>
            </w:r>
            <w:r w:rsidR="003C6129">
              <w:rPr>
                <w:rFonts w:ascii="Calibri" w:eastAsia="Times New Roman" w:hAnsi="Calibri" w:cs="Calibri"/>
                <w:color w:val="000000"/>
                <w:lang w:eastAsia="pt-BR"/>
              </w:rPr>
              <w:t>383</w:t>
            </w:r>
          </w:p>
        </w:tc>
        <w:tc>
          <w:tcPr>
            <w:tcW w:w="1300" w:type="dxa"/>
            <w:tcBorders>
              <w:top w:val="nil"/>
              <w:left w:val="nil"/>
              <w:bottom w:val="nil"/>
              <w:right w:val="nil"/>
            </w:tcBorders>
            <w:shd w:val="clear" w:color="auto" w:fill="auto"/>
            <w:noWrap/>
            <w:vAlign w:val="bottom"/>
            <w:hideMark/>
          </w:tcPr>
          <w:p w:rsidR="0018407B" w:rsidRPr="009D2F20" w:rsidRDefault="0018407B" w:rsidP="00C843E2">
            <w:pPr>
              <w:spacing w:after="0" w:line="240" w:lineRule="auto"/>
              <w:jc w:val="right"/>
              <w:rPr>
                <w:rFonts w:ascii="Calibri" w:eastAsia="Times New Roman" w:hAnsi="Calibri" w:cs="Calibri"/>
                <w:color w:val="000000"/>
                <w:lang w:eastAsia="pt-BR"/>
              </w:rPr>
            </w:pPr>
          </w:p>
        </w:tc>
        <w:tc>
          <w:tcPr>
            <w:tcW w:w="1120" w:type="dxa"/>
            <w:tcBorders>
              <w:top w:val="nil"/>
              <w:left w:val="nil"/>
              <w:right w:val="nil"/>
            </w:tcBorders>
            <w:shd w:val="clear" w:color="auto" w:fill="auto"/>
            <w:noWrap/>
            <w:vAlign w:val="bottom"/>
          </w:tcPr>
          <w:p w:rsidR="0018407B" w:rsidRPr="009D2F20" w:rsidRDefault="00EE3948" w:rsidP="00C843E2">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16.355</w:t>
            </w:r>
          </w:p>
        </w:tc>
      </w:tr>
      <w:tr w:rsidR="0018407B" w:rsidRPr="009D2F20" w:rsidTr="00C843E2">
        <w:trPr>
          <w:trHeight w:val="315"/>
        </w:trPr>
        <w:tc>
          <w:tcPr>
            <w:tcW w:w="2920" w:type="dxa"/>
            <w:gridSpan w:val="3"/>
            <w:tcBorders>
              <w:top w:val="nil"/>
              <w:left w:val="nil"/>
              <w:bottom w:val="nil"/>
              <w:right w:val="nil"/>
            </w:tcBorders>
            <w:shd w:val="clear" w:color="auto" w:fill="auto"/>
            <w:noWrap/>
            <w:vAlign w:val="bottom"/>
            <w:hideMark/>
          </w:tcPr>
          <w:p w:rsidR="0018407B" w:rsidRPr="009D2F20" w:rsidRDefault="0018407B" w:rsidP="00C843E2">
            <w:pPr>
              <w:spacing w:after="0" w:line="240" w:lineRule="auto"/>
              <w:rPr>
                <w:rFonts w:ascii="Calibri" w:eastAsia="Times New Roman" w:hAnsi="Calibri" w:cs="Calibri"/>
                <w:color w:val="000000"/>
                <w:lang w:eastAsia="pt-BR"/>
              </w:rPr>
            </w:pPr>
            <w:r w:rsidRPr="009D2F20">
              <w:rPr>
                <w:rFonts w:ascii="Calibri" w:eastAsia="Times New Roman" w:hAnsi="Calibri" w:cs="Calibri"/>
                <w:color w:val="000000"/>
                <w:lang w:eastAsia="pt-BR"/>
              </w:rPr>
              <w:t>IRPJ/PIS/COFINS/CSLL</w:t>
            </w:r>
          </w:p>
        </w:tc>
        <w:tc>
          <w:tcPr>
            <w:tcW w:w="1300" w:type="dxa"/>
            <w:tcBorders>
              <w:top w:val="nil"/>
              <w:left w:val="nil"/>
              <w:bottom w:val="nil"/>
              <w:right w:val="nil"/>
            </w:tcBorders>
            <w:shd w:val="clear" w:color="auto" w:fill="auto"/>
            <w:noWrap/>
            <w:vAlign w:val="bottom"/>
            <w:hideMark/>
          </w:tcPr>
          <w:p w:rsidR="0018407B" w:rsidRPr="009D2F20" w:rsidRDefault="0018407B" w:rsidP="00C843E2">
            <w:pPr>
              <w:spacing w:after="0" w:line="240" w:lineRule="auto"/>
              <w:jc w:val="center"/>
              <w:rPr>
                <w:rFonts w:ascii="Calibri" w:eastAsia="Times New Roman" w:hAnsi="Calibri" w:cs="Calibri"/>
                <w:color w:val="000000"/>
                <w:lang w:eastAsia="pt-BR"/>
              </w:rPr>
            </w:pPr>
          </w:p>
        </w:tc>
        <w:tc>
          <w:tcPr>
            <w:tcW w:w="1080" w:type="dxa"/>
            <w:tcBorders>
              <w:top w:val="nil"/>
              <w:left w:val="nil"/>
              <w:right w:val="nil"/>
            </w:tcBorders>
            <w:shd w:val="clear" w:color="auto" w:fill="auto"/>
            <w:noWrap/>
            <w:vAlign w:val="bottom"/>
          </w:tcPr>
          <w:p w:rsidR="0018407B" w:rsidRPr="009D2F20" w:rsidRDefault="0018407B" w:rsidP="00C843E2">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c>
          <w:tcPr>
            <w:tcW w:w="1300" w:type="dxa"/>
            <w:tcBorders>
              <w:top w:val="nil"/>
              <w:left w:val="nil"/>
              <w:bottom w:val="nil"/>
              <w:right w:val="nil"/>
            </w:tcBorders>
            <w:shd w:val="clear" w:color="auto" w:fill="auto"/>
            <w:noWrap/>
            <w:vAlign w:val="bottom"/>
            <w:hideMark/>
          </w:tcPr>
          <w:p w:rsidR="0018407B" w:rsidRPr="009D2F20" w:rsidRDefault="0018407B" w:rsidP="00C843E2">
            <w:pPr>
              <w:spacing w:after="0" w:line="240" w:lineRule="auto"/>
              <w:jc w:val="right"/>
              <w:rPr>
                <w:rFonts w:ascii="Calibri" w:eastAsia="Times New Roman" w:hAnsi="Calibri" w:cs="Calibri"/>
                <w:color w:val="000000"/>
                <w:lang w:eastAsia="pt-BR"/>
              </w:rPr>
            </w:pPr>
          </w:p>
        </w:tc>
        <w:tc>
          <w:tcPr>
            <w:tcW w:w="1120" w:type="dxa"/>
            <w:tcBorders>
              <w:top w:val="nil"/>
              <w:left w:val="nil"/>
              <w:right w:val="nil"/>
            </w:tcBorders>
            <w:shd w:val="clear" w:color="auto" w:fill="auto"/>
            <w:noWrap/>
            <w:vAlign w:val="bottom"/>
          </w:tcPr>
          <w:p w:rsidR="0018407B" w:rsidRPr="009D2F20" w:rsidRDefault="00EE3948" w:rsidP="00C843E2">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r>
      <w:tr w:rsidR="0018407B" w:rsidRPr="009D2F20" w:rsidTr="00C843E2">
        <w:trPr>
          <w:trHeight w:val="300"/>
        </w:trPr>
        <w:tc>
          <w:tcPr>
            <w:tcW w:w="4220" w:type="dxa"/>
            <w:gridSpan w:val="4"/>
            <w:tcBorders>
              <w:top w:val="nil"/>
              <w:left w:val="nil"/>
              <w:bottom w:val="nil"/>
              <w:right w:val="nil"/>
            </w:tcBorders>
            <w:shd w:val="clear" w:color="auto" w:fill="auto"/>
            <w:noWrap/>
            <w:vAlign w:val="bottom"/>
          </w:tcPr>
          <w:p w:rsidR="0018407B" w:rsidRPr="009D2F20" w:rsidRDefault="0018407B" w:rsidP="00C843E2">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 xml:space="preserve">IRRF                                                                                    </w:t>
            </w:r>
          </w:p>
        </w:tc>
        <w:tc>
          <w:tcPr>
            <w:tcW w:w="1080" w:type="dxa"/>
            <w:tcBorders>
              <w:top w:val="nil"/>
              <w:left w:val="nil"/>
              <w:bottom w:val="nil"/>
              <w:right w:val="nil"/>
            </w:tcBorders>
            <w:shd w:val="clear" w:color="auto" w:fill="auto"/>
            <w:noWrap/>
            <w:vAlign w:val="bottom"/>
          </w:tcPr>
          <w:p w:rsidR="0018407B" w:rsidRDefault="0018407B" w:rsidP="00EE3948">
            <w:pPr>
              <w:spacing w:after="0" w:line="240" w:lineRule="auto"/>
              <w:jc w:val="right"/>
              <w:rPr>
                <w:rFonts w:ascii="Calibri" w:eastAsia="Times New Roman" w:hAnsi="Calibri" w:cs="Calibri"/>
                <w:bCs/>
                <w:color w:val="000000"/>
                <w:lang w:eastAsia="pt-BR"/>
              </w:rPr>
            </w:pPr>
            <w:r>
              <w:rPr>
                <w:rFonts w:ascii="Calibri" w:eastAsia="Times New Roman" w:hAnsi="Calibri" w:cs="Calibri"/>
                <w:bCs/>
                <w:color w:val="000000"/>
                <w:lang w:eastAsia="pt-BR"/>
              </w:rPr>
              <w:t>2</w:t>
            </w:r>
            <w:r w:rsidR="00EE3948">
              <w:rPr>
                <w:rFonts w:ascii="Calibri" w:eastAsia="Times New Roman" w:hAnsi="Calibri" w:cs="Calibri"/>
                <w:bCs/>
                <w:color w:val="000000"/>
                <w:lang w:eastAsia="pt-BR"/>
              </w:rPr>
              <w:t>25</w:t>
            </w:r>
            <w:r>
              <w:rPr>
                <w:rFonts w:ascii="Calibri" w:eastAsia="Times New Roman" w:hAnsi="Calibri" w:cs="Calibri"/>
                <w:bCs/>
                <w:color w:val="000000"/>
                <w:lang w:eastAsia="pt-BR"/>
              </w:rPr>
              <w:t>.</w:t>
            </w:r>
            <w:r w:rsidR="00EE3948">
              <w:rPr>
                <w:rFonts w:ascii="Calibri" w:eastAsia="Times New Roman" w:hAnsi="Calibri" w:cs="Calibri"/>
                <w:bCs/>
                <w:color w:val="000000"/>
                <w:lang w:eastAsia="pt-BR"/>
              </w:rPr>
              <w:t>243</w:t>
            </w:r>
          </w:p>
        </w:tc>
        <w:tc>
          <w:tcPr>
            <w:tcW w:w="1300" w:type="dxa"/>
            <w:tcBorders>
              <w:top w:val="nil"/>
              <w:left w:val="nil"/>
              <w:bottom w:val="nil"/>
              <w:right w:val="nil"/>
            </w:tcBorders>
            <w:shd w:val="clear" w:color="auto" w:fill="auto"/>
            <w:noWrap/>
            <w:vAlign w:val="bottom"/>
          </w:tcPr>
          <w:p w:rsidR="0018407B" w:rsidRPr="009D2F20" w:rsidRDefault="0018407B" w:rsidP="00C843E2">
            <w:pPr>
              <w:spacing w:after="0" w:line="240" w:lineRule="auto"/>
              <w:jc w:val="right"/>
              <w:rPr>
                <w:rFonts w:ascii="Calibri" w:eastAsia="Times New Roman" w:hAnsi="Calibri" w:cs="Calibri"/>
                <w:b/>
                <w:bCs/>
                <w:color w:val="000000"/>
                <w:lang w:eastAsia="pt-BR"/>
              </w:rPr>
            </w:pPr>
          </w:p>
        </w:tc>
        <w:tc>
          <w:tcPr>
            <w:tcW w:w="1120" w:type="dxa"/>
            <w:tcBorders>
              <w:top w:val="nil"/>
              <w:left w:val="nil"/>
              <w:bottom w:val="nil"/>
              <w:right w:val="nil"/>
            </w:tcBorders>
            <w:shd w:val="clear" w:color="auto" w:fill="auto"/>
            <w:noWrap/>
            <w:vAlign w:val="bottom"/>
          </w:tcPr>
          <w:p w:rsidR="0018407B" w:rsidRDefault="00EE3948" w:rsidP="00C843E2">
            <w:pPr>
              <w:spacing w:after="0" w:line="240" w:lineRule="auto"/>
              <w:jc w:val="right"/>
              <w:rPr>
                <w:rFonts w:ascii="Calibri" w:eastAsia="Times New Roman" w:hAnsi="Calibri" w:cs="Calibri"/>
                <w:color w:val="000000"/>
                <w:lang w:eastAsia="pt-BR"/>
              </w:rPr>
            </w:pPr>
            <w:r>
              <w:rPr>
                <w:rFonts w:ascii="Calibri" w:eastAsia="Times New Roman" w:hAnsi="Calibri" w:cs="Calibri"/>
                <w:bCs/>
                <w:color w:val="000000"/>
                <w:lang w:eastAsia="pt-BR"/>
              </w:rPr>
              <w:t>201.134</w:t>
            </w:r>
          </w:p>
        </w:tc>
      </w:tr>
      <w:tr w:rsidR="0018407B" w:rsidRPr="009D2F20" w:rsidTr="00C843E2">
        <w:trPr>
          <w:trHeight w:val="300"/>
        </w:trPr>
        <w:tc>
          <w:tcPr>
            <w:tcW w:w="4220" w:type="dxa"/>
            <w:gridSpan w:val="4"/>
            <w:tcBorders>
              <w:top w:val="nil"/>
              <w:left w:val="nil"/>
              <w:bottom w:val="nil"/>
              <w:right w:val="nil"/>
            </w:tcBorders>
            <w:shd w:val="clear" w:color="auto" w:fill="auto"/>
            <w:noWrap/>
            <w:vAlign w:val="bottom"/>
          </w:tcPr>
          <w:p w:rsidR="0018407B" w:rsidRPr="009D2F20" w:rsidRDefault="0018407B" w:rsidP="00C843E2">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 xml:space="preserve">SINDECOF        </w:t>
            </w:r>
          </w:p>
        </w:tc>
        <w:tc>
          <w:tcPr>
            <w:tcW w:w="1080" w:type="dxa"/>
            <w:tcBorders>
              <w:top w:val="nil"/>
              <w:left w:val="nil"/>
              <w:bottom w:val="nil"/>
              <w:right w:val="nil"/>
            </w:tcBorders>
            <w:shd w:val="clear" w:color="auto" w:fill="auto"/>
            <w:noWrap/>
            <w:vAlign w:val="bottom"/>
          </w:tcPr>
          <w:p w:rsidR="0018407B" w:rsidRDefault="00EE3948" w:rsidP="00C843E2">
            <w:pPr>
              <w:spacing w:after="0" w:line="240" w:lineRule="auto"/>
              <w:jc w:val="right"/>
              <w:rPr>
                <w:rFonts w:ascii="Calibri" w:eastAsia="Times New Roman" w:hAnsi="Calibri" w:cs="Calibri"/>
                <w:bCs/>
                <w:color w:val="000000"/>
                <w:lang w:eastAsia="pt-BR"/>
              </w:rPr>
            </w:pPr>
            <w:r>
              <w:rPr>
                <w:rFonts w:ascii="Calibri" w:eastAsia="Times New Roman" w:hAnsi="Calibri" w:cs="Calibri"/>
                <w:bCs/>
                <w:color w:val="000000"/>
                <w:lang w:eastAsia="pt-BR"/>
              </w:rPr>
              <w:t>-</w:t>
            </w:r>
          </w:p>
        </w:tc>
        <w:tc>
          <w:tcPr>
            <w:tcW w:w="1300" w:type="dxa"/>
            <w:tcBorders>
              <w:top w:val="nil"/>
              <w:left w:val="nil"/>
              <w:bottom w:val="nil"/>
              <w:right w:val="nil"/>
            </w:tcBorders>
            <w:shd w:val="clear" w:color="auto" w:fill="auto"/>
            <w:noWrap/>
            <w:vAlign w:val="bottom"/>
          </w:tcPr>
          <w:p w:rsidR="0018407B" w:rsidRPr="009D2F20" w:rsidRDefault="0018407B" w:rsidP="00C843E2">
            <w:pPr>
              <w:spacing w:after="0" w:line="240" w:lineRule="auto"/>
              <w:jc w:val="right"/>
              <w:rPr>
                <w:rFonts w:ascii="Calibri" w:eastAsia="Times New Roman" w:hAnsi="Calibri" w:cs="Calibri"/>
                <w:b/>
                <w:bCs/>
                <w:color w:val="000000"/>
                <w:lang w:eastAsia="pt-BR"/>
              </w:rPr>
            </w:pPr>
          </w:p>
        </w:tc>
        <w:tc>
          <w:tcPr>
            <w:tcW w:w="1120" w:type="dxa"/>
            <w:tcBorders>
              <w:top w:val="nil"/>
              <w:left w:val="nil"/>
              <w:bottom w:val="nil"/>
              <w:right w:val="nil"/>
            </w:tcBorders>
            <w:shd w:val="clear" w:color="auto" w:fill="auto"/>
            <w:noWrap/>
            <w:vAlign w:val="bottom"/>
          </w:tcPr>
          <w:p w:rsidR="0018407B" w:rsidRDefault="00EE3948" w:rsidP="00C843E2">
            <w:pPr>
              <w:spacing w:after="0" w:line="240" w:lineRule="auto"/>
              <w:jc w:val="right"/>
              <w:rPr>
                <w:rFonts w:ascii="Calibri" w:eastAsia="Times New Roman" w:hAnsi="Calibri" w:cs="Calibri"/>
                <w:color w:val="000000"/>
                <w:lang w:eastAsia="pt-BR"/>
              </w:rPr>
            </w:pPr>
            <w:r>
              <w:rPr>
                <w:rFonts w:ascii="Calibri" w:eastAsia="Times New Roman" w:hAnsi="Calibri" w:cs="Calibri"/>
                <w:bCs/>
                <w:color w:val="000000"/>
                <w:lang w:eastAsia="pt-BR"/>
              </w:rPr>
              <w:t>140</w:t>
            </w:r>
          </w:p>
        </w:tc>
      </w:tr>
      <w:tr w:rsidR="0018407B" w:rsidRPr="009D2F20" w:rsidTr="00C843E2">
        <w:trPr>
          <w:trHeight w:val="300"/>
        </w:trPr>
        <w:tc>
          <w:tcPr>
            <w:tcW w:w="4220" w:type="dxa"/>
            <w:gridSpan w:val="4"/>
            <w:tcBorders>
              <w:top w:val="nil"/>
              <w:left w:val="nil"/>
              <w:bottom w:val="nil"/>
              <w:right w:val="nil"/>
            </w:tcBorders>
            <w:shd w:val="clear" w:color="auto" w:fill="auto"/>
            <w:noWrap/>
            <w:vAlign w:val="bottom"/>
          </w:tcPr>
          <w:p w:rsidR="0018407B" w:rsidRPr="009D2F20" w:rsidRDefault="0018407B" w:rsidP="00C843E2">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lastRenderedPageBreak/>
              <w:t>EMPRÉSTIMO CONSIGNADO – BB</w:t>
            </w:r>
          </w:p>
        </w:tc>
        <w:tc>
          <w:tcPr>
            <w:tcW w:w="1080" w:type="dxa"/>
            <w:tcBorders>
              <w:top w:val="nil"/>
              <w:left w:val="nil"/>
              <w:bottom w:val="single" w:sz="4" w:space="0" w:color="auto"/>
              <w:right w:val="nil"/>
            </w:tcBorders>
            <w:shd w:val="clear" w:color="auto" w:fill="auto"/>
            <w:noWrap/>
            <w:vAlign w:val="bottom"/>
          </w:tcPr>
          <w:p w:rsidR="0018407B" w:rsidRDefault="00EE3948" w:rsidP="00C843E2">
            <w:pPr>
              <w:spacing w:after="0" w:line="240" w:lineRule="auto"/>
              <w:jc w:val="right"/>
              <w:rPr>
                <w:rFonts w:ascii="Calibri" w:eastAsia="Times New Roman" w:hAnsi="Calibri" w:cs="Calibri"/>
                <w:bCs/>
                <w:color w:val="000000"/>
                <w:lang w:eastAsia="pt-BR"/>
              </w:rPr>
            </w:pPr>
            <w:r>
              <w:rPr>
                <w:rFonts w:ascii="Calibri" w:eastAsia="Times New Roman" w:hAnsi="Calibri" w:cs="Calibri"/>
                <w:bCs/>
                <w:color w:val="000000"/>
                <w:lang w:eastAsia="pt-BR"/>
              </w:rPr>
              <w:t>-</w:t>
            </w:r>
          </w:p>
        </w:tc>
        <w:tc>
          <w:tcPr>
            <w:tcW w:w="1300" w:type="dxa"/>
            <w:tcBorders>
              <w:top w:val="nil"/>
              <w:left w:val="nil"/>
              <w:bottom w:val="nil"/>
              <w:right w:val="nil"/>
            </w:tcBorders>
            <w:shd w:val="clear" w:color="auto" w:fill="auto"/>
            <w:noWrap/>
            <w:vAlign w:val="bottom"/>
          </w:tcPr>
          <w:p w:rsidR="0018407B" w:rsidRPr="009D2F20" w:rsidRDefault="0018407B" w:rsidP="00C843E2">
            <w:pPr>
              <w:spacing w:after="0" w:line="240" w:lineRule="auto"/>
              <w:jc w:val="right"/>
              <w:rPr>
                <w:rFonts w:ascii="Calibri" w:eastAsia="Times New Roman" w:hAnsi="Calibri" w:cs="Calibri"/>
                <w:b/>
                <w:bCs/>
                <w:color w:val="000000"/>
                <w:lang w:eastAsia="pt-BR"/>
              </w:rPr>
            </w:pPr>
          </w:p>
        </w:tc>
        <w:tc>
          <w:tcPr>
            <w:tcW w:w="1120" w:type="dxa"/>
            <w:tcBorders>
              <w:top w:val="nil"/>
              <w:left w:val="nil"/>
              <w:bottom w:val="single" w:sz="4" w:space="0" w:color="auto"/>
              <w:right w:val="nil"/>
            </w:tcBorders>
            <w:shd w:val="clear" w:color="auto" w:fill="auto"/>
            <w:noWrap/>
            <w:vAlign w:val="bottom"/>
          </w:tcPr>
          <w:p w:rsidR="0018407B" w:rsidRDefault="00EE3948" w:rsidP="00C843E2">
            <w:pPr>
              <w:spacing w:after="0" w:line="240" w:lineRule="auto"/>
              <w:jc w:val="right"/>
              <w:rPr>
                <w:rFonts w:ascii="Calibri" w:eastAsia="Times New Roman" w:hAnsi="Calibri" w:cs="Calibri"/>
                <w:color w:val="000000"/>
                <w:lang w:eastAsia="pt-BR"/>
              </w:rPr>
            </w:pPr>
            <w:r>
              <w:rPr>
                <w:rFonts w:ascii="Calibri" w:eastAsia="Times New Roman" w:hAnsi="Calibri" w:cs="Calibri"/>
                <w:bCs/>
                <w:color w:val="000000"/>
                <w:lang w:eastAsia="pt-BR"/>
              </w:rPr>
              <w:t>2</w:t>
            </w:r>
          </w:p>
        </w:tc>
      </w:tr>
      <w:tr w:rsidR="0018407B" w:rsidRPr="009D2F20" w:rsidTr="00C843E2">
        <w:trPr>
          <w:trHeight w:val="300"/>
        </w:trPr>
        <w:tc>
          <w:tcPr>
            <w:tcW w:w="4220" w:type="dxa"/>
            <w:gridSpan w:val="4"/>
            <w:tcBorders>
              <w:top w:val="nil"/>
              <w:left w:val="nil"/>
              <w:bottom w:val="nil"/>
              <w:right w:val="nil"/>
            </w:tcBorders>
            <w:shd w:val="clear" w:color="auto" w:fill="auto"/>
            <w:noWrap/>
            <w:vAlign w:val="bottom"/>
          </w:tcPr>
          <w:p w:rsidR="0018407B" w:rsidRPr="00770525" w:rsidRDefault="0018407B" w:rsidP="00C843E2">
            <w:pPr>
              <w:spacing w:after="0" w:line="240" w:lineRule="auto"/>
              <w:rPr>
                <w:rFonts w:ascii="Calibri" w:eastAsia="Times New Roman" w:hAnsi="Calibri" w:cs="Calibri"/>
                <w:b/>
                <w:color w:val="000000"/>
                <w:lang w:eastAsia="pt-BR"/>
              </w:rPr>
            </w:pPr>
            <w:r>
              <w:rPr>
                <w:rFonts w:ascii="Calibri" w:eastAsia="Times New Roman" w:hAnsi="Calibri" w:cs="Calibri"/>
                <w:b/>
                <w:color w:val="000000"/>
                <w:lang w:eastAsia="pt-BR"/>
              </w:rPr>
              <w:t xml:space="preserve">Total (a) </w:t>
            </w:r>
          </w:p>
        </w:tc>
        <w:tc>
          <w:tcPr>
            <w:tcW w:w="1080" w:type="dxa"/>
            <w:tcBorders>
              <w:top w:val="single" w:sz="4" w:space="0" w:color="auto"/>
              <w:left w:val="nil"/>
              <w:bottom w:val="nil"/>
              <w:right w:val="nil"/>
            </w:tcBorders>
            <w:shd w:val="clear" w:color="auto" w:fill="auto"/>
            <w:noWrap/>
            <w:vAlign w:val="bottom"/>
          </w:tcPr>
          <w:p w:rsidR="0018407B" w:rsidRPr="00770525" w:rsidRDefault="0018407B" w:rsidP="00EE3948">
            <w:pPr>
              <w:spacing w:after="0" w:line="240" w:lineRule="auto"/>
              <w:jc w:val="right"/>
              <w:rPr>
                <w:rFonts w:ascii="Calibri" w:eastAsia="Times New Roman" w:hAnsi="Calibri" w:cs="Calibri"/>
                <w:b/>
                <w:bCs/>
                <w:color w:val="000000"/>
                <w:lang w:eastAsia="pt-BR"/>
              </w:rPr>
            </w:pPr>
            <w:r w:rsidRPr="00770525">
              <w:rPr>
                <w:rFonts w:ascii="Calibri" w:eastAsia="Times New Roman" w:hAnsi="Calibri" w:cs="Calibri"/>
                <w:b/>
                <w:bCs/>
                <w:color w:val="000000"/>
                <w:lang w:eastAsia="pt-BR"/>
              </w:rPr>
              <w:t>2</w:t>
            </w:r>
            <w:r w:rsidR="00EE3948">
              <w:rPr>
                <w:rFonts w:ascii="Calibri" w:eastAsia="Times New Roman" w:hAnsi="Calibri" w:cs="Calibri"/>
                <w:b/>
                <w:bCs/>
                <w:color w:val="000000"/>
                <w:lang w:eastAsia="pt-BR"/>
              </w:rPr>
              <w:t>36</w:t>
            </w:r>
            <w:r w:rsidRPr="00770525">
              <w:rPr>
                <w:rFonts w:ascii="Calibri" w:eastAsia="Times New Roman" w:hAnsi="Calibri" w:cs="Calibri"/>
                <w:b/>
                <w:bCs/>
                <w:color w:val="000000"/>
                <w:lang w:eastAsia="pt-BR"/>
              </w:rPr>
              <w:t>.</w:t>
            </w:r>
            <w:r w:rsidR="003C6129">
              <w:rPr>
                <w:rFonts w:ascii="Calibri" w:eastAsia="Times New Roman" w:hAnsi="Calibri" w:cs="Calibri"/>
                <w:b/>
                <w:bCs/>
                <w:color w:val="000000"/>
                <w:lang w:eastAsia="pt-BR"/>
              </w:rPr>
              <w:t>626</w:t>
            </w:r>
          </w:p>
        </w:tc>
        <w:tc>
          <w:tcPr>
            <w:tcW w:w="1300" w:type="dxa"/>
            <w:tcBorders>
              <w:top w:val="nil"/>
              <w:left w:val="nil"/>
              <w:bottom w:val="nil"/>
              <w:right w:val="nil"/>
            </w:tcBorders>
            <w:shd w:val="clear" w:color="auto" w:fill="auto"/>
            <w:noWrap/>
            <w:vAlign w:val="bottom"/>
          </w:tcPr>
          <w:p w:rsidR="0018407B" w:rsidRPr="009D2F20" w:rsidRDefault="0018407B" w:rsidP="00C843E2">
            <w:pPr>
              <w:spacing w:after="0" w:line="240" w:lineRule="auto"/>
              <w:jc w:val="right"/>
              <w:rPr>
                <w:rFonts w:ascii="Calibri" w:eastAsia="Times New Roman" w:hAnsi="Calibri" w:cs="Calibri"/>
                <w:b/>
                <w:bCs/>
                <w:color w:val="000000"/>
                <w:lang w:eastAsia="pt-BR"/>
              </w:rPr>
            </w:pPr>
          </w:p>
        </w:tc>
        <w:tc>
          <w:tcPr>
            <w:tcW w:w="1120" w:type="dxa"/>
            <w:tcBorders>
              <w:top w:val="single" w:sz="4" w:space="0" w:color="auto"/>
              <w:left w:val="nil"/>
              <w:bottom w:val="nil"/>
              <w:right w:val="nil"/>
            </w:tcBorders>
            <w:shd w:val="clear" w:color="auto" w:fill="auto"/>
            <w:noWrap/>
            <w:vAlign w:val="bottom"/>
          </w:tcPr>
          <w:p w:rsidR="0018407B" w:rsidRPr="00770525" w:rsidRDefault="00EE3948" w:rsidP="00C843E2">
            <w:pPr>
              <w:spacing w:after="0" w:line="240" w:lineRule="auto"/>
              <w:jc w:val="right"/>
              <w:rPr>
                <w:rFonts w:ascii="Calibri" w:eastAsia="Times New Roman" w:hAnsi="Calibri" w:cs="Calibri"/>
                <w:b/>
                <w:color w:val="000000"/>
                <w:lang w:eastAsia="pt-BR"/>
              </w:rPr>
            </w:pPr>
            <w:r w:rsidRPr="00770525">
              <w:rPr>
                <w:rFonts w:ascii="Calibri" w:eastAsia="Times New Roman" w:hAnsi="Calibri" w:cs="Calibri"/>
                <w:b/>
                <w:bCs/>
                <w:color w:val="000000"/>
                <w:lang w:eastAsia="pt-BR"/>
              </w:rPr>
              <w:t>217.630</w:t>
            </w:r>
          </w:p>
        </w:tc>
      </w:tr>
      <w:tr w:rsidR="0018407B" w:rsidRPr="009D2F20" w:rsidTr="00C843E2">
        <w:trPr>
          <w:trHeight w:val="300"/>
        </w:trPr>
        <w:tc>
          <w:tcPr>
            <w:tcW w:w="4220" w:type="dxa"/>
            <w:gridSpan w:val="4"/>
            <w:tcBorders>
              <w:top w:val="nil"/>
              <w:left w:val="nil"/>
              <w:bottom w:val="nil"/>
              <w:right w:val="nil"/>
            </w:tcBorders>
            <w:shd w:val="clear" w:color="auto" w:fill="auto"/>
            <w:noWrap/>
            <w:vAlign w:val="bottom"/>
            <w:hideMark/>
          </w:tcPr>
          <w:p w:rsidR="0018407B" w:rsidRDefault="0018407B" w:rsidP="00C843E2">
            <w:pPr>
              <w:spacing w:after="0" w:line="240" w:lineRule="auto"/>
              <w:rPr>
                <w:rFonts w:ascii="Calibri" w:eastAsia="Times New Roman" w:hAnsi="Calibri" w:cs="Calibri"/>
                <w:color w:val="000000"/>
                <w:lang w:eastAsia="pt-BR"/>
              </w:rPr>
            </w:pPr>
          </w:p>
          <w:p w:rsidR="0018407B" w:rsidRPr="009D2F20" w:rsidRDefault="003C6129" w:rsidP="00622484">
            <w:pPr>
              <w:spacing w:after="0" w:line="240" w:lineRule="auto"/>
              <w:rPr>
                <w:rFonts w:ascii="Calibri" w:eastAsia="Times New Roman" w:hAnsi="Calibri" w:cs="Calibri"/>
                <w:color w:val="000000"/>
                <w:lang w:eastAsia="pt-BR"/>
              </w:rPr>
            </w:pPr>
            <w:r w:rsidRPr="009D2F20">
              <w:rPr>
                <w:rFonts w:ascii="Calibri" w:eastAsia="Times New Roman" w:hAnsi="Calibri" w:cs="Calibri"/>
                <w:color w:val="000000"/>
                <w:lang w:eastAsia="pt-BR"/>
              </w:rPr>
              <w:t>Caução BB - Poupança Ata Contabilidade</w:t>
            </w:r>
          </w:p>
        </w:tc>
        <w:tc>
          <w:tcPr>
            <w:tcW w:w="1080" w:type="dxa"/>
            <w:tcBorders>
              <w:top w:val="nil"/>
              <w:left w:val="nil"/>
              <w:bottom w:val="nil"/>
              <w:right w:val="nil"/>
            </w:tcBorders>
            <w:shd w:val="clear" w:color="auto" w:fill="auto"/>
            <w:noWrap/>
            <w:vAlign w:val="bottom"/>
          </w:tcPr>
          <w:p w:rsidR="0018407B" w:rsidRPr="009D2F20" w:rsidRDefault="003C6129" w:rsidP="003C6129">
            <w:pPr>
              <w:spacing w:after="0" w:line="240" w:lineRule="auto"/>
              <w:jc w:val="right"/>
              <w:rPr>
                <w:rFonts w:ascii="Calibri" w:eastAsia="Times New Roman" w:hAnsi="Calibri" w:cs="Calibri"/>
                <w:bCs/>
                <w:color w:val="000000"/>
                <w:lang w:eastAsia="pt-BR"/>
              </w:rPr>
            </w:pPr>
            <w:r>
              <w:rPr>
                <w:rFonts w:ascii="Calibri" w:eastAsia="Times New Roman" w:hAnsi="Calibri" w:cs="Calibri"/>
                <w:bCs/>
                <w:color w:val="000000"/>
                <w:lang w:eastAsia="pt-BR"/>
              </w:rPr>
              <w:t>10.532</w:t>
            </w:r>
          </w:p>
        </w:tc>
        <w:tc>
          <w:tcPr>
            <w:tcW w:w="1300" w:type="dxa"/>
            <w:tcBorders>
              <w:top w:val="nil"/>
              <w:left w:val="nil"/>
              <w:bottom w:val="nil"/>
              <w:right w:val="nil"/>
            </w:tcBorders>
            <w:shd w:val="clear" w:color="auto" w:fill="auto"/>
            <w:noWrap/>
            <w:vAlign w:val="bottom"/>
            <w:hideMark/>
          </w:tcPr>
          <w:p w:rsidR="0018407B" w:rsidRPr="009D2F20" w:rsidRDefault="0018407B" w:rsidP="00C843E2">
            <w:pPr>
              <w:spacing w:after="0" w:line="240" w:lineRule="auto"/>
              <w:jc w:val="right"/>
              <w:rPr>
                <w:rFonts w:ascii="Calibri" w:eastAsia="Times New Roman" w:hAnsi="Calibri" w:cs="Calibri"/>
                <w:b/>
                <w:bCs/>
                <w:color w:val="000000"/>
                <w:lang w:eastAsia="pt-BR"/>
              </w:rPr>
            </w:pPr>
          </w:p>
        </w:tc>
        <w:tc>
          <w:tcPr>
            <w:tcW w:w="1120" w:type="dxa"/>
            <w:tcBorders>
              <w:top w:val="nil"/>
              <w:left w:val="nil"/>
              <w:bottom w:val="nil"/>
              <w:right w:val="nil"/>
            </w:tcBorders>
            <w:shd w:val="clear" w:color="auto" w:fill="auto"/>
            <w:noWrap/>
            <w:vAlign w:val="bottom"/>
          </w:tcPr>
          <w:p w:rsidR="0018407B" w:rsidRPr="009D2F20" w:rsidRDefault="003C6129" w:rsidP="00C843E2">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9.753</w:t>
            </w:r>
          </w:p>
        </w:tc>
      </w:tr>
      <w:tr w:rsidR="0018407B" w:rsidRPr="009D2F20" w:rsidTr="00C843E2">
        <w:trPr>
          <w:trHeight w:val="300"/>
        </w:trPr>
        <w:tc>
          <w:tcPr>
            <w:tcW w:w="4220" w:type="dxa"/>
            <w:gridSpan w:val="4"/>
            <w:tcBorders>
              <w:top w:val="nil"/>
              <w:left w:val="nil"/>
              <w:bottom w:val="nil"/>
              <w:right w:val="nil"/>
            </w:tcBorders>
            <w:shd w:val="clear" w:color="auto" w:fill="auto"/>
            <w:noWrap/>
            <w:vAlign w:val="bottom"/>
            <w:hideMark/>
          </w:tcPr>
          <w:p w:rsidR="0018407B" w:rsidRPr="009D2F20" w:rsidRDefault="003C6129" w:rsidP="00C843E2">
            <w:pPr>
              <w:spacing w:after="0" w:line="240" w:lineRule="auto"/>
              <w:rPr>
                <w:rFonts w:ascii="Calibri" w:eastAsia="Times New Roman" w:hAnsi="Calibri" w:cs="Calibri"/>
                <w:color w:val="000000"/>
                <w:lang w:eastAsia="pt-BR"/>
              </w:rPr>
            </w:pPr>
            <w:r w:rsidRPr="009D2F20">
              <w:rPr>
                <w:rFonts w:ascii="Calibri" w:eastAsia="Times New Roman" w:hAnsi="Calibri" w:cs="Calibri"/>
                <w:color w:val="000000"/>
                <w:lang w:eastAsia="pt-BR"/>
              </w:rPr>
              <w:t>Caução BB - FATTO Consultoria e Sistemas</w:t>
            </w:r>
          </w:p>
        </w:tc>
        <w:tc>
          <w:tcPr>
            <w:tcW w:w="1080" w:type="dxa"/>
            <w:tcBorders>
              <w:top w:val="nil"/>
              <w:left w:val="nil"/>
              <w:bottom w:val="nil"/>
              <w:right w:val="nil"/>
            </w:tcBorders>
            <w:shd w:val="clear" w:color="auto" w:fill="auto"/>
            <w:noWrap/>
            <w:vAlign w:val="bottom"/>
          </w:tcPr>
          <w:p w:rsidR="0018407B" w:rsidRPr="009D2F20" w:rsidRDefault="003C6129" w:rsidP="003C6129">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3.671</w:t>
            </w:r>
          </w:p>
        </w:tc>
        <w:tc>
          <w:tcPr>
            <w:tcW w:w="1300" w:type="dxa"/>
            <w:tcBorders>
              <w:top w:val="nil"/>
              <w:left w:val="nil"/>
              <w:bottom w:val="nil"/>
              <w:right w:val="nil"/>
            </w:tcBorders>
            <w:shd w:val="clear" w:color="auto" w:fill="auto"/>
            <w:noWrap/>
            <w:vAlign w:val="bottom"/>
            <w:hideMark/>
          </w:tcPr>
          <w:p w:rsidR="0018407B" w:rsidRPr="009D2F20" w:rsidRDefault="0018407B" w:rsidP="00C843E2">
            <w:pPr>
              <w:spacing w:after="0" w:line="240" w:lineRule="auto"/>
              <w:jc w:val="right"/>
              <w:rPr>
                <w:rFonts w:ascii="Calibri" w:eastAsia="Times New Roman" w:hAnsi="Calibri" w:cs="Calibri"/>
                <w:color w:val="000000"/>
                <w:lang w:eastAsia="pt-BR"/>
              </w:rPr>
            </w:pPr>
          </w:p>
        </w:tc>
        <w:tc>
          <w:tcPr>
            <w:tcW w:w="1120" w:type="dxa"/>
            <w:tcBorders>
              <w:top w:val="nil"/>
              <w:left w:val="nil"/>
              <w:bottom w:val="nil"/>
              <w:right w:val="nil"/>
            </w:tcBorders>
            <w:shd w:val="clear" w:color="auto" w:fill="auto"/>
            <w:noWrap/>
            <w:vAlign w:val="bottom"/>
          </w:tcPr>
          <w:p w:rsidR="0018407B" w:rsidRPr="009D2F20" w:rsidRDefault="003C6129" w:rsidP="003C6129">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3.409</w:t>
            </w:r>
          </w:p>
        </w:tc>
      </w:tr>
      <w:tr w:rsidR="0018407B" w:rsidRPr="009D2F20" w:rsidTr="00C843E2">
        <w:trPr>
          <w:trHeight w:val="315"/>
        </w:trPr>
        <w:tc>
          <w:tcPr>
            <w:tcW w:w="4220" w:type="dxa"/>
            <w:gridSpan w:val="4"/>
            <w:tcBorders>
              <w:top w:val="nil"/>
              <w:left w:val="nil"/>
              <w:bottom w:val="nil"/>
              <w:right w:val="nil"/>
            </w:tcBorders>
            <w:shd w:val="clear" w:color="auto" w:fill="auto"/>
            <w:noWrap/>
            <w:vAlign w:val="bottom"/>
            <w:hideMark/>
          </w:tcPr>
          <w:p w:rsidR="0018407B" w:rsidRPr="009D2F20" w:rsidRDefault="0018407B" w:rsidP="00C843E2">
            <w:pPr>
              <w:spacing w:after="0" w:line="240" w:lineRule="auto"/>
              <w:rPr>
                <w:rFonts w:ascii="Calibri" w:eastAsia="Times New Roman" w:hAnsi="Calibri" w:cs="Calibri"/>
                <w:color w:val="000000"/>
                <w:lang w:eastAsia="pt-BR"/>
              </w:rPr>
            </w:pPr>
            <w:r w:rsidRPr="009D2F20">
              <w:rPr>
                <w:rFonts w:ascii="Calibri" w:eastAsia="Times New Roman" w:hAnsi="Calibri" w:cs="Calibri"/>
                <w:color w:val="000000"/>
                <w:lang w:eastAsia="pt-BR"/>
              </w:rPr>
              <w:t>Caução BB - FATTO Consultoria e Sistemas</w:t>
            </w:r>
          </w:p>
        </w:tc>
        <w:tc>
          <w:tcPr>
            <w:tcW w:w="1080" w:type="dxa"/>
            <w:tcBorders>
              <w:top w:val="nil"/>
              <w:left w:val="nil"/>
              <w:bottom w:val="single" w:sz="8" w:space="0" w:color="auto"/>
              <w:right w:val="nil"/>
            </w:tcBorders>
            <w:shd w:val="clear" w:color="auto" w:fill="auto"/>
            <w:noWrap/>
            <w:vAlign w:val="bottom"/>
          </w:tcPr>
          <w:p w:rsidR="0018407B" w:rsidRPr="009D2F20" w:rsidRDefault="003C6129" w:rsidP="003C6129">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1.485</w:t>
            </w:r>
          </w:p>
        </w:tc>
        <w:tc>
          <w:tcPr>
            <w:tcW w:w="1300" w:type="dxa"/>
            <w:tcBorders>
              <w:top w:val="nil"/>
              <w:left w:val="nil"/>
              <w:bottom w:val="nil"/>
              <w:right w:val="nil"/>
            </w:tcBorders>
            <w:shd w:val="clear" w:color="auto" w:fill="auto"/>
            <w:noWrap/>
            <w:vAlign w:val="bottom"/>
            <w:hideMark/>
          </w:tcPr>
          <w:p w:rsidR="0018407B" w:rsidRPr="009D2F20" w:rsidRDefault="0018407B" w:rsidP="00C843E2">
            <w:pPr>
              <w:spacing w:after="0" w:line="240" w:lineRule="auto"/>
              <w:jc w:val="right"/>
              <w:rPr>
                <w:rFonts w:ascii="Calibri" w:eastAsia="Times New Roman" w:hAnsi="Calibri" w:cs="Calibri"/>
                <w:color w:val="000000"/>
                <w:lang w:eastAsia="pt-BR"/>
              </w:rPr>
            </w:pPr>
          </w:p>
        </w:tc>
        <w:tc>
          <w:tcPr>
            <w:tcW w:w="1120" w:type="dxa"/>
            <w:tcBorders>
              <w:top w:val="nil"/>
              <w:left w:val="nil"/>
              <w:bottom w:val="single" w:sz="8" w:space="0" w:color="auto"/>
              <w:right w:val="nil"/>
            </w:tcBorders>
            <w:shd w:val="clear" w:color="auto" w:fill="auto"/>
            <w:noWrap/>
            <w:vAlign w:val="bottom"/>
          </w:tcPr>
          <w:p w:rsidR="0018407B" w:rsidRPr="009D2F20" w:rsidRDefault="0018407B" w:rsidP="00C843E2">
            <w:pPr>
              <w:spacing w:after="0" w:line="240" w:lineRule="auto"/>
              <w:jc w:val="right"/>
              <w:rPr>
                <w:rFonts w:ascii="Calibri" w:eastAsia="Times New Roman" w:hAnsi="Calibri" w:cs="Calibri"/>
                <w:color w:val="000000"/>
                <w:lang w:eastAsia="pt-BR"/>
              </w:rPr>
            </w:pPr>
          </w:p>
        </w:tc>
      </w:tr>
      <w:tr w:rsidR="0018407B" w:rsidRPr="009D2F20" w:rsidTr="00C843E2">
        <w:trPr>
          <w:trHeight w:val="300"/>
        </w:trPr>
        <w:tc>
          <w:tcPr>
            <w:tcW w:w="960" w:type="dxa"/>
            <w:tcBorders>
              <w:top w:val="nil"/>
              <w:left w:val="nil"/>
              <w:bottom w:val="nil"/>
              <w:right w:val="nil"/>
            </w:tcBorders>
            <w:shd w:val="clear" w:color="auto" w:fill="auto"/>
            <w:noWrap/>
            <w:vAlign w:val="bottom"/>
            <w:hideMark/>
          </w:tcPr>
          <w:p w:rsidR="0018407B" w:rsidRPr="009D2F20" w:rsidRDefault="0018407B" w:rsidP="00C843E2">
            <w:pPr>
              <w:spacing w:after="0" w:line="240" w:lineRule="auto"/>
              <w:rPr>
                <w:rFonts w:ascii="Calibri" w:eastAsia="Times New Roman" w:hAnsi="Calibri" w:cs="Calibri"/>
                <w:b/>
                <w:bCs/>
                <w:color w:val="000000"/>
                <w:lang w:eastAsia="pt-BR"/>
              </w:rPr>
            </w:pPr>
            <w:r w:rsidRPr="009D2F20">
              <w:rPr>
                <w:rFonts w:ascii="Calibri" w:eastAsia="Times New Roman" w:hAnsi="Calibri" w:cs="Calibri"/>
                <w:b/>
                <w:bCs/>
                <w:color w:val="000000"/>
                <w:lang w:eastAsia="pt-BR"/>
              </w:rPr>
              <w:t>Total (b)</w:t>
            </w:r>
          </w:p>
        </w:tc>
        <w:tc>
          <w:tcPr>
            <w:tcW w:w="1000" w:type="dxa"/>
            <w:tcBorders>
              <w:top w:val="nil"/>
              <w:left w:val="nil"/>
              <w:bottom w:val="nil"/>
              <w:right w:val="nil"/>
            </w:tcBorders>
            <w:shd w:val="clear" w:color="auto" w:fill="auto"/>
            <w:noWrap/>
            <w:vAlign w:val="bottom"/>
            <w:hideMark/>
          </w:tcPr>
          <w:p w:rsidR="0018407B" w:rsidRPr="009D2F20" w:rsidRDefault="0018407B" w:rsidP="00C843E2">
            <w:pPr>
              <w:spacing w:after="0" w:line="240" w:lineRule="auto"/>
              <w:rPr>
                <w:rFonts w:ascii="Calibri" w:eastAsia="Times New Roman" w:hAnsi="Calibri" w:cs="Calibri"/>
                <w:b/>
                <w:bCs/>
                <w:color w:val="000000"/>
                <w:lang w:eastAsia="pt-BR"/>
              </w:rPr>
            </w:pPr>
          </w:p>
        </w:tc>
        <w:tc>
          <w:tcPr>
            <w:tcW w:w="960" w:type="dxa"/>
            <w:tcBorders>
              <w:top w:val="nil"/>
              <w:left w:val="nil"/>
              <w:bottom w:val="nil"/>
              <w:right w:val="nil"/>
            </w:tcBorders>
            <w:shd w:val="clear" w:color="auto" w:fill="auto"/>
            <w:noWrap/>
            <w:vAlign w:val="bottom"/>
            <w:hideMark/>
          </w:tcPr>
          <w:p w:rsidR="0018407B" w:rsidRPr="009D2F20" w:rsidRDefault="0018407B" w:rsidP="00C843E2">
            <w:pPr>
              <w:spacing w:after="0" w:line="240" w:lineRule="auto"/>
              <w:rPr>
                <w:rFonts w:ascii="Calibri" w:eastAsia="Times New Roman" w:hAnsi="Calibri" w:cs="Calibri"/>
                <w:b/>
                <w:bCs/>
                <w:color w:val="000000"/>
                <w:lang w:eastAsia="pt-BR"/>
              </w:rPr>
            </w:pPr>
          </w:p>
        </w:tc>
        <w:tc>
          <w:tcPr>
            <w:tcW w:w="1300" w:type="dxa"/>
            <w:tcBorders>
              <w:top w:val="nil"/>
              <w:left w:val="nil"/>
              <w:bottom w:val="nil"/>
              <w:right w:val="nil"/>
            </w:tcBorders>
            <w:shd w:val="clear" w:color="auto" w:fill="auto"/>
            <w:noWrap/>
            <w:vAlign w:val="bottom"/>
            <w:hideMark/>
          </w:tcPr>
          <w:p w:rsidR="0018407B" w:rsidRPr="009D2F20" w:rsidRDefault="0018407B" w:rsidP="00C843E2">
            <w:pPr>
              <w:spacing w:after="0" w:line="240" w:lineRule="auto"/>
              <w:rPr>
                <w:rFonts w:ascii="Calibri" w:eastAsia="Times New Roman" w:hAnsi="Calibri" w:cs="Calibri"/>
                <w:b/>
                <w:bCs/>
                <w:color w:val="000000"/>
                <w:lang w:eastAsia="pt-BR"/>
              </w:rPr>
            </w:pPr>
          </w:p>
        </w:tc>
        <w:tc>
          <w:tcPr>
            <w:tcW w:w="1080" w:type="dxa"/>
            <w:tcBorders>
              <w:top w:val="nil"/>
              <w:left w:val="nil"/>
              <w:bottom w:val="nil"/>
              <w:right w:val="nil"/>
            </w:tcBorders>
            <w:shd w:val="clear" w:color="auto" w:fill="auto"/>
            <w:noWrap/>
            <w:vAlign w:val="bottom"/>
          </w:tcPr>
          <w:p w:rsidR="0018407B" w:rsidRPr="009D2F20" w:rsidRDefault="0018407B" w:rsidP="003C6129">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1</w:t>
            </w:r>
            <w:r w:rsidR="003C6129">
              <w:rPr>
                <w:rFonts w:ascii="Calibri" w:eastAsia="Times New Roman" w:hAnsi="Calibri" w:cs="Calibri"/>
                <w:b/>
                <w:bCs/>
                <w:color w:val="000000"/>
                <w:lang w:eastAsia="pt-BR"/>
              </w:rPr>
              <w:t>5</w:t>
            </w:r>
            <w:r>
              <w:rPr>
                <w:rFonts w:ascii="Calibri" w:eastAsia="Times New Roman" w:hAnsi="Calibri" w:cs="Calibri"/>
                <w:b/>
                <w:bCs/>
                <w:color w:val="000000"/>
                <w:lang w:eastAsia="pt-BR"/>
              </w:rPr>
              <w:t>.</w:t>
            </w:r>
            <w:r w:rsidR="003C6129">
              <w:rPr>
                <w:rFonts w:ascii="Calibri" w:eastAsia="Times New Roman" w:hAnsi="Calibri" w:cs="Calibri"/>
                <w:b/>
                <w:bCs/>
                <w:color w:val="000000"/>
                <w:lang w:eastAsia="pt-BR"/>
              </w:rPr>
              <w:t>688</w:t>
            </w:r>
          </w:p>
        </w:tc>
        <w:tc>
          <w:tcPr>
            <w:tcW w:w="1300" w:type="dxa"/>
            <w:tcBorders>
              <w:top w:val="nil"/>
              <w:left w:val="nil"/>
              <w:bottom w:val="nil"/>
              <w:right w:val="nil"/>
            </w:tcBorders>
            <w:shd w:val="clear" w:color="auto" w:fill="auto"/>
            <w:noWrap/>
            <w:vAlign w:val="bottom"/>
            <w:hideMark/>
          </w:tcPr>
          <w:p w:rsidR="0018407B" w:rsidRPr="009D2F20" w:rsidRDefault="0018407B" w:rsidP="00C843E2">
            <w:pPr>
              <w:spacing w:after="0" w:line="240" w:lineRule="auto"/>
              <w:jc w:val="right"/>
              <w:rPr>
                <w:rFonts w:ascii="Calibri" w:eastAsia="Times New Roman" w:hAnsi="Calibri" w:cs="Calibri"/>
                <w:b/>
                <w:bCs/>
                <w:color w:val="000000"/>
                <w:lang w:eastAsia="pt-BR"/>
              </w:rPr>
            </w:pPr>
          </w:p>
        </w:tc>
        <w:tc>
          <w:tcPr>
            <w:tcW w:w="1120" w:type="dxa"/>
            <w:tcBorders>
              <w:top w:val="nil"/>
              <w:left w:val="nil"/>
              <w:bottom w:val="nil"/>
              <w:right w:val="nil"/>
            </w:tcBorders>
            <w:shd w:val="clear" w:color="auto" w:fill="auto"/>
            <w:noWrap/>
            <w:vAlign w:val="bottom"/>
          </w:tcPr>
          <w:p w:rsidR="0018407B" w:rsidRPr="009D2F20" w:rsidRDefault="00622484" w:rsidP="00C843E2">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13.162</w:t>
            </w:r>
          </w:p>
        </w:tc>
      </w:tr>
      <w:tr w:rsidR="0018407B" w:rsidRPr="009D2F20" w:rsidTr="00C843E2">
        <w:trPr>
          <w:trHeight w:val="315"/>
        </w:trPr>
        <w:tc>
          <w:tcPr>
            <w:tcW w:w="1960" w:type="dxa"/>
            <w:gridSpan w:val="2"/>
            <w:tcBorders>
              <w:top w:val="nil"/>
              <w:left w:val="nil"/>
              <w:bottom w:val="nil"/>
              <w:right w:val="nil"/>
            </w:tcBorders>
            <w:shd w:val="clear" w:color="auto" w:fill="auto"/>
            <w:noWrap/>
            <w:vAlign w:val="bottom"/>
            <w:hideMark/>
          </w:tcPr>
          <w:p w:rsidR="0018407B" w:rsidRPr="009D2F20" w:rsidRDefault="0018407B" w:rsidP="00C843E2">
            <w:pPr>
              <w:spacing w:after="0" w:line="240" w:lineRule="auto"/>
              <w:rPr>
                <w:rFonts w:ascii="Calibri" w:eastAsia="Times New Roman" w:hAnsi="Calibri" w:cs="Calibri"/>
                <w:b/>
                <w:bCs/>
                <w:color w:val="000000"/>
                <w:lang w:eastAsia="pt-BR"/>
              </w:rPr>
            </w:pPr>
            <w:r w:rsidRPr="009D2F20">
              <w:rPr>
                <w:rFonts w:ascii="Calibri" w:eastAsia="Times New Roman" w:hAnsi="Calibri" w:cs="Calibri"/>
                <w:b/>
                <w:bCs/>
                <w:color w:val="000000"/>
                <w:lang w:eastAsia="pt-BR"/>
              </w:rPr>
              <w:t>Total Geral</w:t>
            </w:r>
          </w:p>
        </w:tc>
        <w:tc>
          <w:tcPr>
            <w:tcW w:w="960" w:type="dxa"/>
            <w:tcBorders>
              <w:top w:val="nil"/>
              <w:left w:val="nil"/>
              <w:bottom w:val="nil"/>
              <w:right w:val="nil"/>
            </w:tcBorders>
            <w:shd w:val="clear" w:color="auto" w:fill="auto"/>
            <w:noWrap/>
            <w:vAlign w:val="bottom"/>
            <w:hideMark/>
          </w:tcPr>
          <w:p w:rsidR="0018407B" w:rsidRPr="009D2F20" w:rsidRDefault="0018407B" w:rsidP="00C843E2">
            <w:pPr>
              <w:spacing w:after="0" w:line="240" w:lineRule="auto"/>
              <w:rPr>
                <w:rFonts w:ascii="Calibri" w:eastAsia="Times New Roman" w:hAnsi="Calibri" w:cs="Calibri"/>
                <w:b/>
                <w:bCs/>
                <w:color w:val="000000"/>
                <w:lang w:eastAsia="pt-BR"/>
              </w:rPr>
            </w:pPr>
          </w:p>
        </w:tc>
        <w:tc>
          <w:tcPr>
            <w:tcW w:w="1300" w:type="dxa"/>
            <w:tcBorders>
              <w:top w:val="nil"/>
              <w:left w:val="nil"/>
              <w:bottom w:val="nil"/>
              <w:right w:val="nil"/>
            </w:tcBorders>
            <w:shd w:val="clear" w:color="auto" w:fill="auto"/>
            <w:noWrap/>
            <w:vAlign w:val="bottom"/>
            <w:hideMark/>
          </w:tcPr>
          <w:p w:rsidR="0018407B" w:rsidRPr="009D2F20" w:rsidRDefault="0018407B" w:rsidP="00C843E2">
            <w:pPr>
              <w:spacing w:after="0" w:line="240" w:lineRule="auto"/>
              <w:rPr>
                <w:rFonts w:ascii="Calibri" w:eastAsia="Times New Roman" w:hAnsi="Calibri" w:cs="Calibri"/>
                <w:b/>
                <w:bCs/>
                <w:color w:val="000000"/>
                <w:lang w:eastAsia="pt-BR"/>
              </w:rPr>
            </w:pPr>
          </w:p>
        </w:tc>
        <w:tc>
          <w:tcPr>
            <w:tcW w:w="1080" w:type="dxa"/>
            <w:tcBorders>
              <w:top w:val="single" w:sz="4" w:space="0" w:color="auto"/>
              <w:left w:val="nil"/>
              <w:bottom w:val="double" w:sz="6" w:space="0" w:color="auto"/>
              <w:right w:val="nil"/>
            </w:tcBorders>
            <w:shd w:val="clear" w:color="auto" w:fill="auto"/>
            <w:noWrap/>
            <w:vAlign w:val="bottom"/>
          </w:tcPr>
          <w:p w:rsidR="0018407B" w:rsidRPr="009D2F20" w:rsidRDefault="0018407B" w:rsidP="003C6129">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2</w:t>
            </w:r>
            <w:r w:rsidR="003C6129">
              <w:rPr>
                <w:rFonts w:ascii="Calibri" w:eastAsia="Times New Roman" w:hAnsi="Calibri" w:cs="Calibri"/>
                <w:b/>
                <w:bCs/>
                <w:color w:val="000000"/>
                <w:lang w:eastAsia="pt-BR"/>
              </w:rPr>
              <w:t>54</w:t>
            </w:r>
            <w:r>
              <w:rPr>
                <w:rFonts w:ascii="Calibri" w:eastAsia="Times New Roman" w:hAnsi="Calibri" w:cs="Calibri"/>
                <w:b/>
                <w:bCs/>
                <w:color w:val="000000"/>
                <w:lang w:eastAsia="pt-BR"/>
              </w:rPr>
              <w:t>.</w:t>
            </w:r>
            <w:r w:rsidR="003C6129">
              <w:rPr>
                <w:rFonts w:ascii="Calibri" w:eastAsia="Times New Roman" w:hAnsi="Calibri" w:cs="Calibri"/>
                <w:b/>
                <w:bCs/>
                <w:color w:val="000000"/>
                <w:lang w:eastAsia="pt-BR"/>
              </w:rPr>
              <w:t>324</w:t>
            </w:r>
          </w:p>
        </w:tc>
        <w:tc>
          <w:tcPr>
            <w:tcW w:w="1300" w:type="dxa"/>
            <w:tcBorders>
              <w:top w:val="nil"/>
              <w:left w:val="nil"/>
              <w:bottom w:val="nil"/>
              <w:right w:val="nil"/>
            </w:tcBorders>
            <w:shd w:val="clear" w:color="auto" w:fill="auto"/>
            <w:noWrap/>
            <w:vAlign w:val="bottom"/>
            <w:hideMark/>
          </w:tcPr>
          <w:p w:rsidR="0018407B" w:rsidRPr="009D2F20" w:rsidRDefault="0018407B" w:rsidP="00C843E2">
            <w:pPr>
              <w:spacing w:after="0" w:line="240" w:lineRule="auto"/>
              <w:jc w:val="right"/>
              <w:rPr>
                <w:rFonts w:ascii="Calibri" w:eastAsia="Times New Roman" w:hAnsi="Calibri" w:cs="Calibri"/>
                <w:b/>
                <w:bCs/>
                <w:color w:val="000000"/>
                <w:lang w:eastAsia="pt-BR"/>
              </w:rPr>
            </w:pPr>
          </w:p>
        </w:tc>
        <w:tc>
          <w:tcPr>
            <w:tcW w:w="1120" w:type="dxa"/>
            <w:tcBorders>
              <w:top w:val="single" w:sz="4" w:space="0" w:color="auto"/>
              <w:left w:val="nil"/>
              <w:bottom w:val="double" w:sz="6" w:space="0" w:color="auto"/>
              <w:right w:val="nil"/>
            </w:tcBorders>
            <w:shd w:val="clear" w:color="auto" w:fill="auto"/>
            <w:noWrap/>
            <w:vAlign w:val="bottom"/>
          </w:tcPr>
          <w:p w:rsidR="0018407B" w:rsidRPr="009D2F20" w:rsidRDefault="00622484" w:rsidP="00C843E2">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230.792</w:t>
            </w:r>
          </w:p>
        </w:tc>
      </w:tr>
    </w:tbl>
    <w:p w:rsidR="00EA04F0" w:rsidRDefault="00EA04F0" w:rsidP="0018407B">
      <w:pPr>
        <w:spacing w:after="0" w:line="240" w:lineRule="auto"/>
        <w:jc w:val="both"/>
        <w:rPr>
          <w:rFonts w:ascii="Times New Roman" w:eastAsia="Times New Roman" w:hAnsi="Times New Roman" w:cs="Times New Roman"/>
          <w:b/>
          <w:sz w:val="24"/>
          <w:szCs w:val="24"/>
          <w:lang w:eastAsia="pt-BR"/>
        </w:rPr>
      </w:pPr>
    </w:p>
    <w:p w:rsidR="00FF62EC" w:rsidRDefault="00FF62EC" w:rsidP="0018407B">
      <w:pPr>
        <w:spacing w:after="0" w:line="240" w:lineRule="auto"/>
        <w:jc w:val="both"/>
        <w:rPr>
          <w:rFonts w:ascii="Times New Roman" w:eastAsia="Times New Roman" w:hAnsi="Times New Roman" w:cs="Times New Roman"/>
          <w:b/>
          <w:sz w:val="24"/>
          <w:szCs w:val="24"/>
          <w:lang w:eastAsia="pt-BR"/>
        </w:rPr>
      </w:pPr>
    </w:p>
    <w:p w:rsidR="0018407B" w:rsidRDefault="0018407B" w:rsidP="0018407B">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16. Provisões a Longo Prazo</w:t>
      </w:r>
    </w:p>
    <w:p w:rsidR="0018407B" w:rsidRDefault="0018407B" w:rsidP="0018407B">
      <w:pPr>
        <w:spacing w:after="0" w:line="240" w:lineRule="auto"/>
        <w:jc w:val="both"/>
        <w:rPr>
          <w:rFonts w:ascii="Times New Roman" w:eastAsia="Times New Roman" w:hAnsi="Times New Roman" w:cs="Times New Roman"/>
          <w:b/>
          <w:sz w:val="24"/>
          <w:szCs w:val="24"/>
          <w:lang w:eastAsia="pt-BR"/>
        </w:rPr>
      </w:pPr>
    </w:p>
    <w:p w:rsidR="0018407B" w:rsidRPr="00762DC8" w:rsidRDefault="0018407B" w:rsidP="0018407B">
      <w:pPr>
        <w:spacing w:after="0" w:line="240" w:lineRule="auto"/>
        <w:jc w:val="both"/>
        <w:rPr>
          <w:rFonts w:ascii="Times New Roman" w:hAnsi="Times New Roman" w:cs="Times New Roman"/>
          <w:snapToGrid w:val="0"/>
          <w:color w:val="000000"/>
          <w:sz w:val="24"/>
          <w:szCs w:val="24"/>
        </w:rPr>
      </w:pPr>
      <w:r w:rsidRPr="00136A11">
        <w:rPr>
          <w:rFonts w:ascii="Times New Roman" w:hAnsi="Times New Roman" w:cs="Times New Roman"/>
          <w:snapToGrid w:val="0"/>
          <w:color w:val="000000"/>
          <w:sz w:val="24"/>
          <w:szCs w:val="24"/>
        </w:rPr>
        <w:t xml:space="preserve">O CAU BR é parte em determinados processos oriundos do curso normal do seu funcionamento, para os quais foram constituídas provisões baseadas na estimativa de seus consultores legais. As principais informações desses processos, nos exercícios findos em 31 de dezembro de </w:t>
      </w:r>
      <w:r>
        <w:rPr>
          <w:rFonts w:ascii="Times New Roman" w:hAnsi="Times New Roman" w:cs="Times New Roman"/>
          <w:snapToGrid w:val="0"/>
          <w:color w:val="000000"/>
          <w:sz w:val="24"/>
          <w:szCs w:val="24"/>
        </w:rPr>
        <w:t>202</w:t>
      </w:r>
      <w:r w:rsidR="00764780">
        <w:rPr>
          <w:rFonts w:ascii="Times New Roman" w:hAnsi="Times New Roman" w:cs="Times New Roman"/>
          <w:snapToGrid w:val="0"/>
          <w:color w:val="000000"/>
          <w:sz w:val="24"/>
          <w:szCs w:val="24"/>
        </w:rPr>
        <w:t>2</w:t>
      </w:r>
      <w:r w:rsidRPr="00136A11">
        <w:rPr>
          <w:rFonts w:ascii="Times New Roman" w:hAnsi="Times New Roman" w:cs="Times New Roman"/>
          <w:snapToGrid w:val="0"/>
          <w:color w:val="000000"/>
          <w:sz w:val="24"/>
          <w:szCs w:val="24"/>
        </w:rPr>
        <w:t>, estão assim representadas:</w:t>
      </w:r>
    </w:p>
    <w:tbl>
      <w:tblPr>
        <w:tblW w:w="8300" w:type="dxa"/>
        <w:tblInd w:w="55" w:type="dxa"/>
        <w:tblCellMar>
          <w:left w:w="70" w:type="dxa"/>
          <w:right w:w="70" w:type="dxa"/>
        </w:tblCellMar>
        <w:tblLook w:val="04A0" w:firstRow="1" w:lastRow="0" w:firstColumn="1" w:lastColumn="0" w:noHBand="0" w:noVBand="1"/>
      </w:tblPr>
      <w:tblGrid>
        <w:gridCol w:w="960"/>
        <w:gridCol w:w="1000"/>
        <w:gridCol w:w="960"/>
        <w:gridCol w:w="2057"/>
        <w:gridCol w:w="1275"/>
        <w:gridCol w:w="748"/>
        <w:gridCol w:w="1300"/>
      </w:tblGrid>
      <w:tr w:rsidR="0018407B" w:rsidRPr="00136A11" w:rsidTr="00C843E2">
        <w:trPr>
          <w:trHeight w:val="315"/>
        </w:trPr>
        <w:tc>
          <w:tcPr>
            <w:tcW w:w="960" w:type="dxa"/>
            <w:tcBorders>
              <w:top w:val="nil"/>
              <w:left w:val="nil"/>
              <w:bottom w:val="nil"/>
              <w:right w:val="nil"/>
            </w:tcBorders>
            <w:shd w:val="clear" w:color="auto" w:fill="auto"/>
            <w:noWrap/>
            <w:vAlign w:val="bottom"/>
            <w:hideMark/>
          </w:tcPr>
          <w:p w:rsidR="0018407B" w:rsidRPr="00136A11" w:rsidRDefault="0018407B" w:rsidP="00C843E2">
            <w:pPr>
              <w:spacing w:after="0" w:line="240" w:lineRule="auto"/>
              <w:rPr>
                <w:rFonts w:ascii="Times New Roman" w:eastAsia="Times New Roman" w:hAnsi="Times New Roman" w:cs="Times New Roman"/>
                <w:color w:val="000000"/>
                <w:sz w:val="24"/>
                <w:szCs w:val="24"/>
                <w:lang w:eastAsia="pt-BR"/>
              </w:rPr>
            </w:pPr>
          </w:p>
        </w:tc>
        <w:tc>
          <w:tcPr>
            <w:tcW w:w="1000" w:type="dxa"/>
            <w:tcBorders>
              <w:top w:val="nil"/>
              <w:left w:val="nil"/>
              <w:bottom w:val="nil"/>
              <w:right w:val="nil"/>
            </w:tcBorders>
            <w:shd w:val="clear" w:color="auto" w:fill="auto"/>
            <w:noWrap/>
            <w:vAlign w:val="bottom"/>
            <w:hideMark/>
          </w:tcPr>
          <w:p w:rsidR="0018407B" w:rsidRPr="00136A11" w:rsidRDefault="0018407B" w:rsidP="00C843E2">
            <w:pPr>
              <w:spacing w:after="0" w:line="240" w:lineRule="auto"/>
              <w:rPr>
                <w:rFonts w:ascii="Times New Roman" w:eastAsia="Times New Roman" w:hAnsi="Times New Roman" w:cs="Times New Roman"/>
                <w:color w:val="000000"/>
                <w:sz w:val="24"/>
                <w:szCs w:val="24"/>
                <w:lang w:eastAsia="pt-BR"/>
              </w:rPr>
            </w:pPr>
          </w:p>
        </w:tc>
        <w:tc>
          <w:tcPr>
            <w:tcW w:w="960" w:type="dxa"/>
            <w:tcBorders>
              <w:top w:val="nil"/>
              <w:left w:val="nil"/>
              <w:bottom w:val="nil"/>
              <w:right w:val="nil"/>
            </w:tcBorders>
            <w:shd w:val="clear" w:color="auto" w:fill="auto"/>
            <w:noWrap/>
            <w:vAlign w:val="bottom"/>
            <w:hideMark/>
          </w:tcPr>
          <w:p w:rsidR="0018407B" w:rsidRPr="00136A11" w:rsidRDefault="0018407B" w:rsidP="00C843E2">
            <w:pPr>
              <w:spacing w:after="0" w:line="240" w:lineRule="auto"/>
              <w:rPr>
                <w:rFonts w:ascii="Times New Roman" w:eastAsia="Times New Roman" w:hAnsi="Times New Roman" w:cs="Times New Roman"/>
                <w:color w:val="000000"/>
                <w:sz w:val="24"/>
                <w:szCs w:val="24"/>
                <w:lang w:eastAsia="pt-BR"/>
              </w:rPr>
            </w:pPr>
          </w:p>
        </w:tc>
        <w:tc>
          <w:tcPr>
            <w:tcW w:w="2057" w:type="dxa"/>
            <w:tcBorders>
              <w:top w:val="nil"/>
              <w:left w:val="nil"/>
              <w:bottom w:val="nil"/>
              <w:right w:val="nil"/>
            </w:tcBorders>
            <w:shd w:val="clear" w:color="auto" w:fill="auto"/>
            <w:noWrap/>
            <w:vAlign w:val="bottom"/>
            <w:hideMark/>
          </w:tcPr>
          <w:p w:rsidR="0018407B" w:rsidRPr="00136A11" w:rsidRDefault="0018407B" w:rsidP="00C843E2">
            <w:pPr>
              <w:spacing w:after="0" w:line="240" w:lineRule="auto"/>
              <w:rPr>
                <w:rFonts w:ascii="Times New Roman" w:eastAsia="Times New Roman" w:hAnsi="Times New Roman" w:cs="Times New Roman"/>
                <w:b/>
                <w:bCs/>
                <w:color w:val="000000"/>
                <w:sz w:val="24"/>
                <w:szCs w:val="24"/>
                <w:lang w:eastAsia="pt-BR"/>
              </w:rPr>
            </w:pPr>
          </w:p>
        </w:tc>
        <w:tc>
          <w:tcPr>
            <w:tcW w:w="1275" w:type="dxa"/>
            <w:tcBorders>
              <w:top w:val="nil"/>
              <w:left w:val="nil"/>
              <w:bottom w:val="single" w:sz="8" w:space="0" w:color="auto"/>
              <w:right w:val="nil"/>
            </w:tcBorders>
            <w:shd w:val="clear" w:color="auto" w:fill="auto"/>
            <w:noWrap/>
            <w:vAlign w:val="bottom"/>
            <w:hideMark/>
          </w:tcPr>
          <w:p w:rsidR="0018407B" w:rsidRPr="00136A11" w:rsidRDefault="0018407B" w:rsidP="00EA04F0">
            <w:pPr>
              <w:spacing w:after="0" w:line="240" w:lineRule="auto"/>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202</w:t>
            </w:r>
            <w:r w:rsidR="00EA04F0">
              <w:rPr>
                <w:rFonts w:ascii="Times New Roman" w:eastAsia="Times New Roman" w:hAnsi="Times New Roman" w:cs="Times New Roman"/>
                <w:b/>
                <w:bCs/>
                <w:color w:val="000000"/>
                <w:sz w:val="24"/>
                <w:szCs w:val="24"/>
                <w:lang w:eastAsia="pt-BR"/>
              </w:rPr>
              <w:t>2</w:t>
            </w:r>
          </w:p>
        </w:tc>
        <w:tc>
          <w:tcPr>
            <w:tcW w:w="748" w:type="dxa"/>
            <w:tcBorders>
              <w:top w:val="nil"/>
              <w:left w:val="nil"/>
              <w:bottom w:val="nil"/>
              <w:right w:val="nil"/>
            </w:tcBorders>
            <w:shd w:val="clear" w:color="auto" w:fill="auto"/>
            <w:noWrap/>
            <w:vAlign w:val="bottom"/>
            <w:hideMark/>
          </w:tcPr>
          <w:p w:rsidR="0018407B" w:rsidRPr="00136A11" w:rsidRDefault="0018407B" w:rsidP="00C843E2">
            <w:pPr>
              <w:spacing w:after="0" w:line="240" w:lineRule="auto"/>
              <w:rPr>
                <w:rFonts w:ascii="Times New Roman" w:eastAsia="Times New Roman" w:hAnsi="Times New Roman" w:cs="Times New Roman"/>
                <w:b/>
                <w:bCs/>
                <w:color w:val="000000"/>
                <w:sz w:val="24"/>
                <w:szCs w:val="24"/>
                <w:lang w:eastAsia="pt-BR"/>
              </w:rPr>
            </w:pPr>
          </w:p>
        </w:tc>
        <w:tc>
          <w:tcPr>
            <w:tcW w:w="1300" w:type="dxa"/>
            <w:tcBorders>
              <w:top w:val="nil"/>
              <w:left w:val="nil"/>
              <w:bottom w:val="single" w:sz="8" w:space="0" w:color="auto"/>
              <w:right w:val="nil"/>
            </w:tcBorders>
            <w:shd w:val="clear" w:color="auto" w:fill="auto"/>
            <w:noWrap/>
            <w:vAlign w:val="bottom"/>
            <w:hideMark/>
          </w:tcPr>
          <w:p w:rsidR="0018407B" w:rsidRPr="00136A11" w:rsidRDefault="0018407B" w:rsidP="00E66EF4">
            <w:pPr>
              <w:spacing w:after="0" w:line="240" w:lineRule="auto"/>
              <w:jc w:val="center"/>
              <w:rPr>
                <w:rFonts w:ascii="Times New Roman" w:eastAsia="Times New Roman" w:hAnsi="Times New Roman" w:cs="Times New Roman"/>
                <w:b/>
                <w:bCs/>
                <w:color w:val="000000"/>
                <w:sz w:val="24"/>
                <w:szCs w:val="24"/>
                <w:lang w:eastAsia="pt-BR"/>
              </w:rPr>
            </w:pPr>
            <w:r w:rsidRPr="00136A11">
              <w:rPr>
                <w:rFonts w:ascii="Times New Roman" w:eastAsia="Times New Roman" w:hAnsi="Times New Roman" w:cs="Times New Roman"/>
                <w:b/>
                <w:bCs/>
                <w:color w:val="000000"/>
                <w:sz w:val="24"/>
                <w:szCs w:val="24"/>
                <w:lang w:eastAsia="pt-BR"/>
              </w:rPr>
              <w:t>20</w:t>
            </w:r>
            <w:r>
              <w:rPr>
                <w:rFonts w:ascii="Times New Roman" w:eastAsia="Times New Roman" w:hAnsi="Times New Roman" w:cs="Times New Roman"/>
                <w:b/>
                <w:bCs/>
                <w:color w:val="000000"/>
                <w:sz w:val="24"/>
                <w:szCs w:val="24"/>
                <w:lang w:eastAsia="pt-BR"/>
              </w:rPr>
              <w:t>2</w:t>
            </w:r>
            <w:r w:rsidR="00E66EF4">
              <w:rPr>
                <w:rFonts w:ascii="Times New Roman" w:eastAsia="Times New Roman" w:hAnsi="Times New Roman" w:cs="Times New Roman"/>
                <w:b/>
                <w:bCs/>
                <w:color w:val="000000"/>
                <w:sz w:val="24"/>
                <w:szCs w:val="24"/>
                <w:lang w:eastAsia="pt-BR"/>
              </w:rPr>
              <w:t>1</w:t>
            </w:r>
          </w:p>
        </w:tc>
      </w:tr>
      <w:tr w:rsidR="0018407B" w:rsidRPr="00136A11" w:rsidTr="00C843E2">
        <w:trPr>
          <w:trHeight w:val="315"/>
        </w:trPr>
        <w:tc>
          <w:tcPr>
            <w:tcW w:w="4977" w:type="dxa"/>
            <w:gridSpan w:val="4"/>
            <w:tcBorders>
              <w:top w:val="nil"/>
              <w:left w:val="nil"/>
              <w:bottom w:val="nil"/>
              <w:right w:val="nil"/>
            </w:tcBorders>
            <w:shd w:val="clear" w:color="auto" w:fill="auto"/>
            <w:noWrap/>
            <w:vAlign w:val="bottom"/>
            <w:hideMark/>
          </w:tcPr>
          <w:p w:rsidR="0018407B" w:rsidRPr="00136A11" w:rsidRDefault="0018407B" w:rsidP="00C843E2">
            <w:pPr>
              <w:spacing w:after="0" w:line="240" w:lineRule="auto"/>
              <w:rPr>
                <w:rFonts w:ascii="Times New Roman" w:eastAsia="Times New Roman" w:hAnsi="Times New Roman" w:cs="Times New Roman"/>
                <w:color w:val="000000"/>
                <w:sz w:val="24"/>
                <w:szCs w:val="24"/>
                <w:lang w:eastAsia="pt-BR"/>
              </w:rPr>
            </w:pPr>
            <w:r w:rsidRPr="00136A11">
              <w:rPr>
                <w:rFonts w:ascii="Times New Roman" w:eastAsia="Times New Roman" w:hAnsi="Times New Roman" w:cs="Times New Roman"/>
                <w:color w:val="000000"/>
                <w:sz w:val="24"/>
                <w:szCs w:val="24"/>
                <w:lang w:eastAsia="pt-BR"/>
              </w:rPr>
              <w:t>Provisões para ações cíveis a longo prazo</w:t>
            </w:r>
          </w:p>
        </w:tc>
        <w:tc>
          <w:tcPr>
            <w:tcW w:w="1275" w:type="dxa"/>
            <w:tcBorders>
              <w:top w:val="single" w:sz="4" w:space="0" w:color="auto"/>
              <w:left w:val="nil"/>
              <w:bottom w:val="double" w:sz="6" w:space="0" w:color="auto"/>
              <w:right w:val="nil"/>
            </w:tcBorders>
            <w:shd w:val="clear" w:color="auto" w:fill="auto"/>
            <w:noWrap/>
            <w:vAlign w:val="bottom"/>
            <w:hideMark/>
          </w:tcPr>
          <w:p w:rsidR="0018407B" w:rsidRPr="00136A11" w:rsidRDefault="00764780" w:rsidP="00C843E2">
            <w:pPr>
              <w:spacing w:after="0" w:line="240" w:lineRule="auto"/>
              <w:jc w:val="right"/>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182.601</w:t>
            </w:r>
          </w:p>
        </w:tc>
        <w:tc>
          <w:tcPr>
            <w:tcW w:w="748" w:type="dxa"/>
            <w:tcBorders>
              <w:top w:val="nil"/>
              <w:left w:val="nil"/>
              <w:bottom w:val="nil"/>
              <w:right w:val="nil"/>
            </w:tcBorders>
            <w:shd w:val="clear" w:color="auto" w:fill="auto"/>
            <w:noWrap/>
            <w:vAlign w:val="bottom"/>
            <w:hideMark/>
          </w:tcPr>
          <w:p w:rsidR="0018407B" w:rsidRPr="00136A11" w:rsidRDefault="0018407B" w:rsidP="00C843E2">
            <w:pPr>
              <w:spacing w:after="0" w:line="240" w:lineRule="auto"/>
              <w:rPr>
                <w:rFonts w:ascii="Times New Roman" w:eastAsia="Times New Roman" w:hAnsi="Times New Roman" w:cs="Times New Roman"/>
                <w:color w:val="000000"/>
                <w:sz w:val="24"/>
                <w:szCs w:val="24"/>
                <w:lang w:eastAsia="pt-BR"/>
              </w:rPr>
            </w:pPr>
          </w:p>
        </w:tc>
        <w:tc>
          <w:tcPr>
            <w:tcW w:w="1300" w:type="dxa"/>
            <w:tcBorders>
              <w:top w:val="single" w:sz="4" w:space="0" w:color="auto"/>
              <w:left w:val="nil"/>
              <w:bottom w:val="double" w:sz="6" w:space="0" w:color="auto"/>
              <w:right w:val="nil"/>
            </w:tcBorders>
            <w:shd w:val="clear" w:color="auto" w:fill="auto"/>
            <w:noWrap/>
            <w:vAlign w:val="bottom"/>
          </w:tcPr>
          <w:p w:rsidR="0018407B" w:rsidRPr="00136A11" w:rsidRDefault="00764780" w:rsidP="00C843E2">
            <w:pPr>
              <w:spacing w:after="0" w:line="240" w:lineRule="auto"/>
              <w:jc w:val="right"/>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318.041</w:t>
            </w:r>
          </w:p>
        </w:tc>
      </w:tr>
      <w:tr w:rsidR="0018407B" w:rsidRPr="00136A11" w:rsidTr="00C843E2">
        <w:trPr>
          <w:trHeight w:val="315"/>
        </w:trPr>
        <w:tc>
          <w:tcPr>
            <w:tcW w:w="960" w:type="dxa"/>
            <w:tcBorders>
              <w:top w:val="nil"/>
              <w:left w:val="nil"/>
              <w:bottom w:val="nil"/>
              <w:right w:val="nil"/>
            </w:tcBorders>
            <w:shd w:val="clear" w:color="auto" w:fill="auto"/>
            <w:noWrap/>
            <w:vAlign w:val="bottom"/>
            <w:hideMark/>
          </w:tcPr>
          <w:p w:rsidR="0018407B" w:rsidRPr="00136A11" w:rsidRDefault="0018407B" w:rsidP="00C843E2">
            <w:pPr>
              <w:spacing w:after="0" w:line="240" w:lineRule="auto"/>
              <w:rPr>
                <w:rFonts w:ascii="Times New Roman" w:eastAsia="Times New Roman" w:hAnsi="Times New Roman" w:cs="Times New Roman"/>
                <w:b/>
                <w:bCs/>
                <w:color w:val="000000"/>
                <w:sz w:val="24"/>
                <w:szCs w:val="24"/>
                <w:lang w:eastAsia="pt-BR"/>
              </w:rPr>
            </w:pPr>
            <w:r w:rsidRPr="00136A11">
              <w:rPr>
                <w:rFonts w:ascii="Times New Roman" w:eastAsia="Times New Roman" w:hAnsi="Times New Roman" w:cs="Times New Roman"/>
                <w:b/>
                <w:bCs/>
                <w:color w:val="000000"/>
                <w:sz w:val="24"/>
                <w:szCs w:val="24"/>
                <w:lang w:eastAsia="pt-BR"/>
              </w:rPr>
              <w:t>Total</w:t>
            </w:r>
          </w:p>
        </w:tc>
        <w:tc>
          <w:tcPr>
            <w:tcW w:w="1000" w:type="dxa"/>
            <w:tcBorders>
              <w:top w:val="nil"/>
              <w:left w:val="nil"/>
              <w:bottom w:val="nil"/>
              <w:right w:val="nil"/>
            </w:tcBorders>
            <w:shd w:val="clear" w:color="auto" w:fill="auto"/>
            <w:noWrap/>
            <w:vAlign w:val="bottom"/>
            <w:hideMark/>
          </w:tcPr>
          <w:p w:rsidR="0018407B" w:rsidRPr="00136A11" w:rsidRDefault="0018407B" w:rsidP="00C843E2">
            <w:pPr>
              <w:spacing w:after="0" w:line="240" w:lineRule="auto"/>
              <w:rPr>
                <w:rFonts w:ascii="Times New Roman" w:eastAsia="Times New Roman" w:hAnsi="Times New Roman" w:cs="Times New Roman"/>
                <w:b/>
                <w:bCs/>
                <w:color w:val="000000"/>
                <w:sz w:val="24"/>
                <w:szCs w:val="24"/>
                <w:lang w:eastAsia="pt-BR"/>
              </w:rPr>
            </w:pPr>
          </w:p>
        </w:tc>
        <w:tc>
          <w:tcPr>
            <w:tcW w:w="960" w:type="dxa"/>
            <w:tcBorders>
              <w:top w:val="nil"/>
              <w:left w:val="nil"/>
              <w:bottom w:val="nil"/>
              <w:right w:val="nil"/>
            </w:tcBorders>
            <w:shd w:val="clear" w:color="auto" w:fill="auto"/>
            <w:noWrap/>
            <w:vAlign w:val="bottom"/>
            <w:hideMark/>
          </w:tcPr>
          <w:p w:rsidR="0018407B" w:rsidRPr="00136A11" w:rsidRDefault="0018407B" w:rsidP="00C843E2">
            <w:pPr>
              <w:spacing w:after="0" w:line="240" w:lineRule="auto"/>
              <w:rPr>
                <w:rFonts w:ascii="Times New Roman" w:eastAsia="Times New Roman" w:hAnsi="Times New Roman" w:cs="Times New Roman"/>
                <w:b/>
                <w:bCs/>
                <w:color w:val="000000"/>
                <w:sz w:val="24"/>
                <w:szCs w:val="24"/>
                <w:lang w:eastAsia="pt-BR"/>
              </w:rPr>
            </w:pPr>
          </w:p>
        </w:tc>
        <w:tc>
          <w:tcPr>
            <w:tcW w:w="2057" w:type="dxa"/>
            <w:tcBorders>
              <w:top w:val="nil"/>
              <w:left w:val="nil"/>
              <w:bottom w:val="nil"/>
              <w:right w:val="nil"/>
            </w:tcBorders>
            <w:shd w:val="clear" w:color="auto" w:fill="auto"/>
            <w:noWrap/>
            <w:vAlign w:val="bottom"/>
            <w:hideMark/>
          </w:tcPr>
          <w:p w:rsidR="0018407B" w:rsidRPr="00136A11" w:rsidRDefault="0018407B" w:rsidP="00C843E2">
            <w:pPr>
              <w:spacing w:after="0" w:line="240" w:lineRule="auto"/>
              <w:jc w:val="right"/>
              <w:rPr>
                <w:rFonts w:ascii="Times New Roman" w:eastAsia="Times New Roman" w:hAnsi="Times New Roman" w:cs="Times New Roman"/>
                <w:b/>
                <w:bCs/>
                <w:color w:val="000000"/>
                <w:sz w:val="24"/>
                <w:szCs w:val="24"/>
                <w:lang w:eastAsia="pt-BR"/>
              </w:rPr>
            </w:pPr>
          </w:p>
        </w:tc>
        <w:tc>
          <w:tcPr>
            <w:tcW w:w="1275" w:type="dxa"/>
            <w:tcBorders>
              <w:top w:val="nil"/>
              <w:left w:val="nil"/>
              <w:bottom w:val="nil"/>
              <w:right w:val="nil"/>
            </w:tcBorders>
            <w:shd w:val="clear" w:color="auto" w:fill="auto"/>
            <w:noWrap/>
            <w:vAlign w:val="bottom"/>
            <w:hideMark/>
          </w:tcPr>
          <w:p w:rsidR="0018407B" w:rsidRPr="00136A11" w:rsidRDefault="00764780" w:rsidP="00764780">
            <w:pPr>
              <w:spacing w:after="0" w:line="240" w:lineRule="auto"/>
              <w:jc w:val="right"/>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182</w:t>
            </w:r>
            <w:r w:rsidR="0018407B">
              <w:rPr>
                <w:rFonts w:ascii="Times New Roman" w:eastAsia="Times New Roman" w:hAnsi="Times New Roman" w:cs="Times New Roman"/>
                <w:b/>
                <w:bCs/>
                <w:color w:val="000000"/>
                <w:sz w:val="24"/>
                <w:szCs w:val="24"/>
                <w:lang w:eastAsia="pt-BR"/>
              </w:rPr>
              <w:t>.</w:t>
            </w:r>
            <w:r>
              <w:rPr>
                <w:rFonts w:ascii="Times New Roman" w:eastAsia="Times New Roman" w:hAnsi="Times New Roman" w:cs="Times New Roman"/>
                <w:b/>
                <w:bCs/>
                <w:color w:val="000000"/>
                <w:sz w:val="24"/>
                <w:szCs w:val="24"/>
                <w:lang w:eastAsia="pt-BR"/>
              </w:rPr>
              <w:t>601</w:t>
            </w:r>
          </w:p>
        </w:tc>
        <w:tc>
          <w:tcPr>
            <w:tcW w:w="748" w:type="dxa"/>
            <w:tcBorders>
              <w:top w:val="nil"/>
              <w:left w:val="nil"/>
              <w:bottom w:val="nil"/>
              <w:right w:val="nil"/>
            </w:tcBorders>
            <w:shd w:val="clear" w:color="auto" w:fill="auto"/>
            <w:noWrap/>
            <w:vAlign w:val="bottom"/>
            <w:hideMark/>
          </w:tcPr>
          <w:p w:rsidR="0018407B" w:rsidRPr="00136A11" w:rsidRDefault="0018407B" w:rsidP="00C843E2">
            <w:pPr>
              <w:spacing w:after="0" w:line="240" w:lineRule="auto"/>
              <w:rPr>
                <w:rFonts w:ascii="Times New Roman" w:eastAsia="Times New Roman" w:hAnsi="Times New Roman" w:cs="Times New Roman"/>
                <w:b/>
                <w:bCs/>
                <w:color w:val="000000"/>
                <w:sz w:val="24"/>
                <w:szCs w:val="24"/>
                <w:lang w:eastAsia="pt-BR"/>
              </w:rPr>
            </w:pPr>
          </w:p>
        </w:tc>
        <w:tc>
          <w:tcPr>
            <w:tcW w:w="1300" w:type="dxa"/>
            <w:tcBorders>
              <w:top w:val="nil"/>
              <w:left w:val="nil"/>
              <w:bottom w:val="nil"/>
              <w:right w:val="nil"/>
            </w:tcBorders>
            <w:shd w:val="clear" w:color="auto" w:fill="auto"/>
            <w:noWrap/>
            <w:vAlign w:val="bottom"/>
          </w:tcPr>
          <w:p w:rsidR="0018407B" w:rsidRPr="00136A11" w:rsidRDefault="00764780" w:rsidP="00C843E2">
            <w:pPr>
              <w:spacing w:after="0" w:line="240" w:lineRule="auto"/>
              <w:jc w:val="right"/>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318.041</w:t>
            </w:r>
          </w:p>
        </w:tc>
      </w:tr>
    </w:tbl>
    <w:p w:rsidR="0018407B" w:rsidRPr="00EC1D90" w:rsidRDefault="0018407B" w:rsidP="0018407B">
      <w:pPr>
        <w:spacing w:after="0" w:line="240" w:lineRule="auto"/>
        <w:jc w:val="both"/>
        <w:rPr>
          <w:rFonts w:ascii="Times New Roman" w:eastAsia="Times New Roman" w:hAnsi="Times New Roman" w:cs="Times New Roman"/>
          <w:b/>
          <w:sz w:val="24"/>
          <w:szCs w:val="24"/>
          <w:lang w:eastAsia="pt-BR"/>
        </w:rPr>
      </w:pPr>
    </w:p>
    <w:p w:rsidR="0018407B" w:rsidRPr="00CE2B53" w:rsidRDefault="0018407B" w:rsidP="0018407B">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  </w:t>
      </w:r>
      <w:r w:rsidRPr="00EF45CA">
        <w:rPr>
          <w:rFonts w:ascii="Times New Roman" w:eastAsia="Times New Roman" w:hAnsi="Times New Roman" w:cs="Times New Roman"/>
          <w:b/>
          <w:sz w:val="24"/>
          <w:szCs w:val="24"/>
          <w:lang w:eastAsia="pt-BR"/>
        </w:rPr>
        <w:t>Provisões para Ações Cíveis a Longo Prazo</w:t>
      </w:r>
      <w:r>
        <w:rPr>
          <w:rFonts w:ascii="Times New Roman" w:eastAsia="Times New Roman" w:hAnsi="Times New Roman" w:cs="Times New Roman"/>
          <w:sz w:val="24"/>
          <w:szCs w:val="24"/>
          <w:lang w:eastAsia="pt-BR"/>
        </w:rPr>
        <w:t>:</w:t>
      </w:r>
    </w:p>
    <w:p w:rsidR="0018407B" w:rsidRDefault="0018407B" w:rsidP="0018407B">
      <w:pPr>
        <w:spacing w:after="0" w:line="240" w:lineRule="auto"/>
        <w:jc w:val="both"/>
        <w:rPr>
          <w:rFonts w:ascii="Times New Roman" w:eastAsia="Times New Roman" w:hAnsi="Times New Roman" w:cs="Times New Roman"/>
          <w:sz w:val="24"/>
          <w:szCs w:val="24"/>
          <w:lang w:eastAsia="pt-BR"/>
        </w:rPr>
      </w:pPr>
    </w:p>
    <w:p w:rsidR="0018407B"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xml:space="preserve">Estão registrados, pelo valor de R$ </w:t>
      </w:r>
      <w:r w:rsidR="00914FC5">
        <w:rPr>
          <w:rFonts w:ascii="Times New Roman" w:eastAsia="Times New Roman" w:hAnsi="Times New Roman" w:cs="Times New Roman"/>
          <w:sz w:val="24"/>
          <w:szCs w:val="24"/>
          <w:lang w:eastAsia="pt-BR"/>
        </w:rPr>
        <w:t>182</w:t>
      </w:r>
      <w:r>
        <w:rPr>
          <w:rFonts w:ascii="Times New Roman" w:eastAsia="Times New Roman" w:hAnsi="Times New Roman" w:cs="Times New Roman"/>
          <w:sz w:val="24"/>
          <w:szCs w:val="24"/>
          <w:lang w:eastAsia="pt-BR"/>
        </w:rPr>
        <w:t>.</w:t>
      </w:r>
      <w:r w:rsidR="00914FC5">
        <w:rPr>
          <w:rFonts w:ascii="Times New Roman" w:eastAsia="Times New Roman" w:hAnsi="Times New Roman" w:cs="Times New Roman"/>
          <w:sz w:val="24"/>
          <w:szCs w:val="24"/>
          <w:lang w:eastAsia="pt-BR"/>
        </w:rPr>
        <w:t>601</w:t>
      </w:r>
      <w:r w:rsidRPr="00CE2B53">
        <w:rPr>
          <w:rFonts w:ascii="Times New Roman" w:eastAsia="Times New Roman" w:hAnsi="Times New Roman" w:cs="Times New Roman"/>
          <w:sz w:val="24"/>
          <w:szCs w:val="24"/>
          <w:lang w:eastAsia="pt-BR"/>
        </w:rPr>
        <w:t xml:space="preserve"> (</w:t>
      </w:r>
      <w:r w:rsidR="00914FC5">
        <w:rPr>
          <w:rFonts w:ascii="Times New Roman" w:eastAsia="Times New Roman" w:hAnsi="Times New Roman" w:cs="Times New Roman"/>
          <w:sz w:val="24"/>
          <w:szCs w:val="24"/>
          <w:lang w:eastAsia="pt-BR"/>
        </w:rPr>
        <w:t xml:space="preserve">cento e oitenta e dois </w:t>
      </w:r>
      <w:r>
        <w:rPr>
          <w:rFonts w:ascii="Times New Roman" w:eastAsia="Times New Roman" w:hAnsi="Times New Roman" w:cs="Times New Roman"/>
          <w:sz w:val="24"/>
          <w:szCs w:val="24"/>
          <w:lang w:eastAsia="pt-BR"/>
        </w:rPr>
        <w:t xml:space="preserve">mil, </w:t>
      </w:r>
      <w:r w:rsidR="00914FC5">
        <w:rPr>
          <w:rFonts w:ascii="Times New Roman" w:eastAsia="Times New Roman" w:hAnsi="Times New Roman" w:cs="Times New Roman"/>
          <w:sz w:val="24"/>
          <w:szCs w:val="24"/>
          <w:lang w:eastAsia="pt-BR"/>
        </w:rPr>
        <w:t xml:space="preserve">seiscentos e </w:t>
      </w:r>
      <w:r>
        <w:rPr>
          <w:rFonts w:ascii="Times New Roman" w:eastAsia="Times New Roman" w:hAnsi="Times New Roman" w:cs="Times New Roman"/>
          <w:sz w:val="24"/>
          <w:szCs w:val="24"/>
          <w:lang w:eastAsia="pt-BR"/>
        </w:rPr>
        <w:t>um reais</w:t>
      </w:r>
      <w:r w:rsidRPr="00CE2B53">
        <w:rPr>
          <w:rFonts w:ascii="Times New Roman" w:eastAsia="Times New Roman" w:hAnsi="Times New Roman" w:cs="Times New Roman"/>
          <w:sz w:val="24"/>
          <w:szCs w:val="24"/>
          <w:lang w:eastAsia="pt-BR"/>
        </w:rPr>
        <w:t>) diversas ações ordinárias, ma</w:t>
      </w:r>
      <w:r>
        <w:rPr>
          <w:rFonts w:ascii="Times New Roman" w:eastAsia="Times New Roman" w:hAnsi="Times New Roman" w:cs="Times New Roman"/>
          <w:sz w:val="24"/>
          <w:szCs w:val="24"/>
          <w:lang w:eastAsia="pt-BR"/>
        </w:rPr>
        <w:t>ndados de segurança, ações cíveis</w:t>
      </w:r>
      <w:r w:rsidRPr="00CE2B53">
        <w:rPr>
          <w:rFonts w:ascii="Times New Roman" w:eastAsia="Times New Roman" w:hAnsi="Times New Roman" w:cs="Times New Roman"/>
          <w:sz w:val="24"/>
          <w:szCs w:val="24"/>
          <w:lang w:eastAsia="pt-BR"/>
        </w:rPr>
        <w:t xml:space="preserve"> públicas, entre outros, contra o CAU</w:t>
      </w:r>
      <w:r>
        <w:rPr>
          <w:rFonts w:ascii="Times New Roman" w:eastAsia="Times New Roman" w:hAnsi="Times New Roman" w:cs="Times New Roman"/>
          <w:sz w:val="24"/>
          <w:szCs w:val="24"/>
          <w:lang w:eastAsia="pt-BR"/>
        </w:rPr>
        <w:t>/BR e demais réus</w:t>
      </w:r>
      <w:r w:rsidRPr="00CE2B53">
        <w:rPr>
          <w:rFonts w:ascii="Times New Roman" w:eastAsia="Times New Roman" w:hAnsi="Times New Roman" w:cs="Times New Roman"/>
          <w:sz w:val="24"/>
          <w:szCs w:val="24"/>
          <w:lang w:eastAsia="pt-BR"/>
        </w:rPr>
        <w:t xml:space="preserve"> (valor de perda efetiva ou estimada)</w:t>
      </w:r>
      <w:r>
        <w:rPr>
          <w:rFonts w:ascii="Times New Roman" w:eastAsia="Times New Roman" w:hAnsi="Times New Roman" w:cs="Times New Roman"/>
          <w:sz w:val="24"/>
          <w:szCs w:val="24"/>
          <w:lang w:eastAsia="pt-BR"/>
        </w:rPr>
        <w:t>.</w:t>
      </w:r>
    </w:p>
    <w:p w:rsidR="0018407B" w:rsidRDefault="0018407B" w:rsidP="0018407B">
      <w:pPr>
        <w:spacing w:after="0" w:line="240" w:lineRule="auto"/>
        <w:jc w:val="both"/>
        <w:rPr>
          <w:rFonts w:ascii="Times New Roman" w:eastAsia="Times New Roman" w:hAnsi="Times New Roman" w:cs="Times New Roman"/>
          <w:sz w:val="24"/>
          <w:szCs w:val="24"/>
          <w:lang w:eastAsia="pt-BR"/>
        </w:rPr>
      </w:pPr>
    </w:p>
    <w:p w:rsidR="00FF62EC" w:rsidRDefault="00FF62EC" w:rsidP="0018407B">
      <w:pPr>
        <w:widowControl w:val="0"/>
        <w:rPr>
          <w:rFonts w:ascii="Times New Roman" w:hAnsi="Times New Roman" w:cs="Times New Roman"/>
          <w:b/>
          <w:color w:val="000000"/>
          <w:sz w:val="24"/>
          <w:szCs w:val="24"/>
        </w:rPr>
      </w:pPr>
    </w:p>
    <w:p w:rsidR="0018407B" w:rsidRPr="00252ADA" w:rsidRDefault="00C32DA3" w:rsidP="0018407B">
      <w:pPr>
        <w:widowControl w:val="0"/>
        <w:rPr>
          <w:rFonts w:ascii="Times New Roman" w:hAnsi="Times New Roman" w:cs="Times New Roman"/>
          <w:b/>
          <w:color w:val="000000"/>
          <w:sz w:val="24"/>
          <w:szCs w:val="24"/>
        </w:rPr>
      </w:pPr>
      <w:r>
        <w:rPr>
          <w:rFonts w:ascii="Times New Roman" w:hAnsi="Times New Roman" w:cs="Times New Roman"/>
          <w:b/>
          <w:color w:val="000000"/>
          <w:sz w:val="24"/>
          <w:szCs w:val="24"/>
        </w:rPr>
        <w:t>16.1</w:t>
      </w:r>
      <w:r w:rsidR="0018407B">
        <w:rPr>
          <w:rFonts w:ascii="Times New Roman" w:hAnsi="Times New Roman" w:cs="Times New Roman"/>
          <w:b/>
          <w:color w:val="000000"/>
          <w:sz w:val="24"/>
          <w:szCs w:val="24"/>
        </w:rPr>
        <w:t>.</w:t>
      </w:r>
      <w:r w:rsidR="0018407B">
        <w:rPr>
          <w:rFonts w:ascii="Times New Roman" w:hAnsi="Times New Roman" w:cs="Times New Roman"/>
          <w:b/>
          <w:color w:val="000000"/>
          <w:sz w:val="24"/>
          <w:szCs w:val="24"/>
        </w:rPr>
        <w:tab/>
      </w:r>
      <w:r w:rsidR="0018407B" w:rsidRPr="00252ADA">
        <w:rPr>
          <w:rFonts w:ascii="Times New Roman" w:hAnsi="Times New Roman" w:cs="Times New Roman"/>
          <w:b/>
          <w:color w:val="000000"/>
          <w:sz w:val="24"/>
          <w:szCs w:val="24"/>
        </w:rPr>
        <w:t>Natureza das contingências</w:t>
      </w:r>
    </w:p>
    <w:p w:rsidR="0018407B" w:rsidRPr="00A81AAF" w:rsidRDefault="0018407B" w:rsidP="0018407B">
      <w:pPr>
        <w:spacing w:after="0" w:line="240" w:lineRule="auto"/>
        <w:jc w:val="both"/>
        <w:rPr>
          <w:rFonts w:ascii="Times New Roman" w:eastAsia="Times New Roman" w:hAnsi="Times New Roman" w:cs="Times New Roman"/>
          <w:color w:val="000000" w:themeColor="text1"/>
          <w:sz w:val="24"/>
          <w:szCs w:val="24"/>
          <w:lang w:eastAsia="pt-BR"/>
        </w:rPr>
      </w:pPr>
      <w:r w:rsidRPr="00A81AAF">
        <w:rPr>
          <w:rFonts w:ascii="Times New Roman" w:hAnsi="Times New Roman" w:cs="Times New Roman"/>
          <w:color w:val="000000" w:themeColor="text1"/>
          <w:sz w:val="24"/>
          <w:szCs w:val="24"/>
        </w:rPr>
        <w:t>A Entidade é parte envolvida em processos trabalhistas e cíveis, e está discutindo essas questões tanto na esfera administrativa como na judicial. As respectivas provisões para riscos judiciais foram constituídas considerando a estimativa feita pelos assessores jurídicos, para os processos cuja probabilidade de perda nos respectivos desfechos foi avaliada como provável. A Administração acredita que a resolução destas questões não produzirá efeito significativamente diferente do montante provisionado.</w:t>
      </w:r>
      <w:r w:rsidRPr="00A81AAF">
        <w:rPr>
          <w:rFonts w:ascii="Times New Roman" w:eastAsia="Times New Roman" w:hAnsi="Times New Roman" w:cs="Times New Roman"/>
          <w:color w:val="000000" w:themeColor="text1"/>
          <w:sz w:val="24"/>
          <w:szCs w:val="24"/>
          <w:lang w:eastAsia="pt-BR"/>
        </w:rPr>
        <w:t> </w:t>
      </w:r>
    </w:p>
    <w:p w:rsidR="0018407B" w:rsidRPr="006E72DA" w:rsidRDefault="0018407B" w:rsidP="0018407B">
      <w:pPr>
        <w:spacing w:after="0" w:line="240" w:lineRule="auto"/>
        <w:jc w:val="both"/>
        <w:rPr>
          <w:rFonts w:ascii="Times New Roman" w:eastAsia="Times New Roman" w:hAnsi="Times New Roman" w:cs="Times New Roman"/>
          <w:color w:val="FF0000"/>
          <w:sz w:val="24"/>
          <w:szCs w:val="24"/>
          <w:lang w:eastAsia="pt-BR"/>
        </w:rPr>
      </w:pPr>
    </w:p>
    <w:p w:rsidR="0018407B" w:rsidRPr="00A81AAF" w:rsidRDefault="0018407B" w:rsidP="0018407B">
      <w:pPr>
        <w:spacing w:after="0" w:line="240" w:lineRule="auto"/>
        <w:jc w:val="both"/>
        <w:rPr>
          <w:rFonts w:ascii="Times New Roman" w:eastAsia="Times New Roman" w:hAnsi="Times New Roman" w:cs="Times New Roman"/>
          <w:color w:val="000000" w:themeColor="text1"/>
          <w:sz w:val="24"/>
          <w:szCs w:val="24"/>
          <w:lang w:eastAsia="pt-BR"/>
        </w:rPr>
      </w:pPr>
      <w:r w:rsidRPr="00A81AAF">
        <w:rPr>
          <w:rFonts w:ascii="Times New Roman" w:eastAsia="Times New Roman" w:hAnsi="Times New Roman" w:cs="Times New Roman"/>
          <w:color w:val="000000" w:themeColor="text1"/>
          <w:sz w:val="24"/>
          <w:szCs w:val="24"/>
          <w:lang w:eastAsia="pt-BR"/>
        </w:rPr>
        <w:t>O Conselho possui ações que não estão provisionadas, pois envolvem risco de perda classificado pela Assessoria Jurídica como possível. Até 31 de dezembro de 202</w:t>
      </w:r>
      <w:r w:rsidR="00C32DA3">
        <w:rPr>
          <w:rFonts w:ascii="Times New Roman" w:eastAsia="Times New Roman" w:hAnsi="Times New Roman" w:cs="Times New Roman"/>
          <w:color w:val="000000" w:themeColor="text1"/>
          <w:sz w:val="24"/>
          <w:szCs w:val="24"/>
          <w:lang w:eastAsia="pt-BR"/>
        </w:rPr>
        <w:t>2</w:t>
      </w:r>
      <w:r w:rsidRPr="00A81AAF">
        <w:rPr>
          <w:rFonts w:ascii="Times New Roman" w:eastAsia="Times New Roman" w:hAnsi="Times New Roman" w:cs="Times New Roman"/>
          <w:color w:val="000000" w:themeColor="text1"/>
          <w:sz w:val="24"/>
          <w:szCs w:val="24"/>
          <w:lang w:eastAsia="pt-BR"/>
        </w:rPr>
        <w:t xml:space="preserve">, o passivo contingente classificado com risco de perda possível é representado por </w:t>
      </w:r>
      <w:r w:rsidR="00C32DA3">
        <w:rPr>
          <w:rFonts w:ascii="Times New Roman" w:eastAsia="Times New Roman" w:hAnsi="Times New Roman" w:cs="Times New Roman"/>
          <w:color w:val="000000" w:themeColor="text1"/>
          <w:sz w:val="24"/>
          <w:szCs w:val="24"/>
          <w:lang w:eastAsia="pt-BR"/>
        </w:rPr>
        <w:t>7</w:t>
      </w:r>
      <w:r w:rsidRPr="00A81AAF">
        <w:rPr>
          <w:rFonts w:ascii="Times New Roman" w:eastAsia="Times New Roman" w:hAnsi="Times New Roman" w:cs="Times New Roman"/>
          <w:color w:val="000000" w:themeColor="text1"/>
          <w:sz w:val="24"/>
          <w:szCs w:val="24"/>
          <w:lang w:eastAsia="pt-BR"/>
        </w:rPr>
        <w:t xml:space="preserve"> processos, conforme demonstrado na tabela abaixo:</w:t>
      </w:r>
    </w:p>
    <w:p w:rsidR="0018407B" w:rsidRPr="00A81AAF" w:rsidRDefault="0018407B" w:rsidP="0018407B">
      <w:pPr>
        <w:spacing w:after="0" w:line="240" w:lineRule="auto"/>
        <w:jc w:val="both"/>
        <w:rPr>
          <w:rFonts w:ascii="Times New Roman" w:eastAsia="Times New Roman" w:hAnsi="Times New Roman" w:cs="Times New Roman"/>
          <w:color w:val="000000" w:themeColor="text1"/>
          <w:sz w:val="24"/>
          <w:szCs w:val="24"/>
          <w:lang w:eastAsia="pt-BR"/>
        </w:rPr>
      </w:pPr>
    </w:p>
    <w:tbl>
      <w:tblPr>
        <w:tblW w:w="8653" w:type="dxa"/>
        <w:tblInd w:w="55" w:type="dxa"/>
        <w:tblCellMar>
          <w:left w:w="70" w:type="dxa"/>
          <w:right w:w="70" w:type="dxa"/>
        </w:tblCellMar>
        <w:tblLook w:val="04A0" w:firstRow="1" w:lastRow="0" w:firstColumn="1" w:lastColumn="0" w:noHBand="0" w:noVBand="1"/>
      </w:tblPr>
      <w:tblGrid>
        <w:gridCol w:w="1930"/>
        <w:gridCol w:w="304"/>
        <w:gridCol w:w="960"/>
        <w:gridCol w:w="2057"/>
        <w:gridCol w:w="1354"/>
        <w:gridCol w:w="748"/>
        <w:gridCol w:w="1300"/>
      </w:tblGrid>
      <w:tr w:rsidR="0018407B" w:rsidRPr="00A81AAF" w:rsidTr="00C843E2">
        <w:trPr>
          <w:trHeight w:val="315"/>
        </w:trPr>
        <w:tc>
          <w:tcPr>
            <w:tcW w:w="1930" w:type="dxa"/>
            <w:tcBorders>
              <w:top w:val="nil"/>
              <w:left w:val="nil"/>
              <w:bottom w:val="single" w:sz="4" w:space="0" w:color="auto"/>
              <w:right w:val="nil"/>
            </w:tcBorders>
            <w:shd w:val="clear" w:color="auto" w:fill="auto"/>
            <w:noWrap/>
            <w:vAlign w:val="bottom"/>
            <w:hideMark/>
          </w:tcPr>
          <w:p w:rsidR="0018407B" w:rsidRPr="00A81AAF" w:rsidRDefault="0018407B" w:rsidP="00C97D6A">
            <w:pPr>
              <w:spacing w:after="0" w:line="240" w:lineRule="auto"/>
              <w:rPr>
                <w:rFonts w:ascii="Times New Roman" w:eastAsia="Times New Roman" w:hAnsi="Times New Roman" w:cs="Times New Roman"/>
                <w:b/>
                <w:color w:val="000000" w:themeColor="text1"/>
                <w:sz w:val="24"/>
                <w:szCs w:val="24"/>
                <w:lang w:eastAsia="pt-BR"/>
              </w:rPr>
            </w:pPr>
            <w:r w:rsidRPr="00A81AAF">
              <w:rPr>
                <w:rFonts w:ascii="Times New Roman" w:eastAsia="Times New Roman" w:hAnsi="Times New Roman" w:cs="Times New Roman"/>
                <w:b/>
                <w:color w:val="000000" w:themeColor="text1"/>
                <w:sz w:val="24"/>
                <w:szCs w:val="24"/>
                <w:lang w:eastAsia="pt-BR"/>
              </w:rPr>
              <w:t>Em 31/12/202</w:t>
            </w:r>
            <w:r w:rsidR="00C97D6A">
              <w:rPr>
                <w:rFonts w:ascii="Times New Roman" w:eastAsia="Times New Roman" w:hAnsi="Times New Roman" w:cs="Times New Roman"/>
                <w:b/>
                <w:color w:val="000000" w:themeColor="text1"/>
                <w:sz w:val="24"/>
                <w:szCs w:val="24"/>
                <w:lang w:eastAsia="pt-BR"/>
              </w:rPr>
              <w:t>2</w:t>
            </w:r>
          </w:p>
        </w:tc>
        <w:tc>
          <w:tcPr>
            <w:tcW w:w="304" w:type="dxa"/>
            <w:tcBorders>
              <w:top w:val="nil"/>
              <w:left w:val="nil"/>
              <w:bottom w:val="nil"/>
              <w:right w:val="nil"/>
            </w:tcBorders>
            <w:shd w:val="clear" w:color="auto" w:fill="auto"/>
            <w:noWrap/>
            <w:vAlign w:val="bottom"/>
            <w:hideMark/>
          </w:tcPr>
          <w:p w:rsidR="0018407B" w:rsidRPr="00A81AAF" w:rsidRDefault="0018407B" w:rsidP="00C843E2">
            <w:pPr>
              <w:spacing w:after="0" w:line="240" w:lineRule="auto"/>
              <w:rPr>
                <w:rFonts w:ascii="Times New Roman" w:eastAsia="Times New Roman" w:hAnsi="Times New Roman" w:cs="Times New Roman"/>
                <w:color w:val="000000" w:themeColor="text1"/>
                <w:sz w:val="24"/>
                <w:szCs w:val="24"/>
                <w:lang w:eastAsia="pt-BR"/>
              </w:rPr>
            </w:pPr>
          </w:p>
        </w:tc>
        <w:tc>
          <w:tcPr>
            <w:tcW w:w="960" w:type="dxa"/>
            <w:tcBorders>
              <w:top w:val="nil"/>
              <w:left w:val="nil"/>
              <w:bottom w:val="nil"/>
              <w:right w:val="nil"/>
            </w:tcBorders>
            <w:shd w:val="clear" w:color="auto" w:fill="auto"/>
            <w:noWrap/>
            <w:vAlign w:val="bottom"/>
            <w:hideMark/>
          </w:tcPr>
          <w:p w:rsidR="0018407B" w:rsidRPr="00A81AAF" w:rsidRDefault="0018407B" w:rsidP="00C843E2">
            <w:pPr>
              <w:spacing w:after="0" w:line="240" w:lineRule="auto"/>
              <w:rPr>
                <w:rFonts w:ascii="Times New Roman" w:eastAsia="Times New Roman" w:hAnsi="Times New Roman" w:cs="Times New Roman"/>
                <w:color w:val="000000" w:themeColor="text1"/>
                <w:sz w:val="24"/>
                <w:szCs w:val="24"/>
                <w:lang w:eastAsia="pt-BR"/>
              </w:rPr>
            </w:pPr>
          </w:p>
        </w:tc>
        <w:tc>
          <w:tcPr>
            <w:tcW w:w="2057" w:type="dxa"/>
            <w:tcBorders>
              <w:top w:val="nil"/>
              <w:left w:val="nil"/>
              <w:bottom w:val="nil"/>
              <w:right w:val="nil"/>
            </w:tcBorders>
            <w:shd w:val="clear" w:color="auto" w:fill="auto"/>
            <w:noWrap/>
            <w:vAlign w:val="bottom"/>
            <w:hideMark/>
          </w:tcPr>
          <w:p w:rsidR="0018407B" w:rsidRPr="00A81AAF" w:rsidRDefault="0018407B" w:rsidP="00C843E2">
            <w:pPr>
              <w:spacing w:after="0" w:line="240" w:lineRule="auto"/>
              <w:rPr>
                <w:rFonts w:ascii="Times New Roman" w:eastAsia="Times New Roman" w:hAnsi="Times New Roman" w:cs="Times New Roman"/>
                <w:b/>
                <w:bCs/>
                <w:color w:val="000000" w:themeColor="text1"/>
                <w:sz w:val="24"/>
                <w:szCs w:val="24"/>
                <w:lang w:eastAsia="pt-BR"/>
              </w:rPr>
            </w:pPr>
          </w:p>
        </w:tc>
        <w:tc>
          <w:tcPr>
            <w:tcW w:w="1354" w:type="dxa"/>
            <w:tcBorders>
              <w:top w:val="nil"/>
              <w:left w:val="nil"/>
              <w:bottom w:val="single" w:sz="4" w:space="0" w:color="auto"/>
              <w:right w:val="nil"/>
            </w:tcBorders>
            <w:shd w:val="clear" w:color="auto" w:fill="auto"/>
            <w:noWrap/>
            <w:vAlign w:val="bottom"/>
            <w:hideMark/>
          </w:tcPr>
          <w:p w:rsidR="0018407B" w:rsidRPr="00A81AAF" w:rsidRDefault="0018407B" w:rsidP="00C843E2">
            <w:pPr>
              <w:spacing w:after="0" w:line="240" w:lineRule="auto"/>
              <w:jc w:val="center"/>
              <w:rPr>
                <w:rFonts w:ascii="Times New Roman" w:eastAsia="Times New Roman" w:hAnsi="Times New Roman" w:cs="Times New Roman"/>
                <w:b/>
                <w:bCs/>
                <w:color w:val="000000" w:themeColor="text1"/>
                <w:sz w:val="24"/>
                <w:szCs w:val="24"/>
                <w:lang w:eastAsia="pt-BR"/>
              </w:rPr>
            </w:pPr>
            <w:r w:rsidRPr="00A81AAF">
              <w:rPr>
                <w:rFonts w:ascii="Times New Roman" w:eastAsia="Times New Roman" w:hAnsi="Times New Roman" w:cs="Times New Roman"/>
                <w:b/>
                <w:bCs/>
                <w:color w:val="000000" w:themeColor="text1"/>
                <w:sz w:val="24"/>
                <w:szCs w:val="24"/>
                <w:lang w:eastAsia="pt-BR"/>
              </w:rPr>
              <w:t>Quantidade</w:t>
            </w:r>
          </w:p>
        </w:tc>
        <w:tc>
          <w:tcPr>
            <w:tcW w:w="748" w:type="dxa"/>
            <w:tcBorders>
              <w:top w:val="nil"/>
              <w:left w:val="nil"/>
              <w:right w:val="nil"/>
            </w:tcBorders>
            <w:shd w:val="clear" w:color="auto" w:fill="auto"/>
            <w:noWrap/>
            <w:vAlign w:val="bottom"/>
            <w:hideMark/>
          </w:tcPr>
          <w:p w:rsidR="0018407B" w:rsidRPr="00A81AAF" w:rsidRDefault="0018407B" w:rsidP="00C843E2">
            <w:pPr>
              <w:spacing w:after="0" w:line="240" w:lineRule="auto"/>
              <w:rPr>
                <w:rFonts w:ascii="Times New Roman" w:eastAsia="Times New Roman" w:hAnsi="Times New Roman" w:cs="Times New Roman"/>
                <w:b/>
                <w:bCs/>
                <w:color w:val="000000" w:themeColor="text1"/>
                <w:sz w:val="24"/>
                <w:szCs w:val="24"/>
                <w:lang w:eastAsia="pt-BR"/>
              </w:rPr>
            </w:pPr>
          </w:p>
        </w:tc>
        <w:tc>
          <w:tcPr>
            <w:tcW w:w="1300" w:type="dxa"/>
            <w:tcBorders>
              <w:top w:val="nil"/>
              <w:left w:val="nil"/>
              <w:bottom w:val="single" w:sz="4" w:space="0" w:color="auto"/>
              <w:right w:val="nil"/>
            </w:tcBorders>
            <w:shd w:val="clear" w:color="auto" w:fill="auto"/>
            <w:noWrap/>
            <w:vAlign w:val="bottom"/>
          </w:tcPr>
          <w:p w:rsidR="0018407B" w:rsidRPr="00A81AAF" w:rsidRDefault="0018407B" w:rsidP="00C843E2">
            <w:pPr>
              <w:spacing w:after="0" w:line="240" w:lineRule="auto"/>
              <w:jc w:val="center"/>
              <w:rPr>
                <w:rFonts w:ascii="Times New Roman" w:eastAsia="Times New Roman" w:hAnsi="Times New Roman" w:cs="Times New Roman"/>
                <w:b/>
                <w:bCs/>
                <w:color w:val="000000" w:themeColor="text1"/>
                <w:sz w:val="24"/>
                <w:szCs w:val="24"/>
                <w:lang w:eastAsia="pt-BR"/>
              </w:rPr>
            </w:pPr>
            <w:r w:rsidRPr="00A81AAF">
              <w:rPr>
                <w:rFonts w:ascii="Times New Roman" w:eastAsia="Times New Roman" w:hAnsi="Times New Roman" w:cs="Times New Roman"/>
                <w:b/>
                <w:bCs/>
                <w:color w:val="000000" w:themeColor="text1"/>
                <w:sz w:val="24"/>
                <w:szCs w:val="24"/>
                <w:lang w:eastAsia="pt-BR"/>
              </w:rPr>
              <w:t>Valor</w:t>
            </w:r>
          </w:p>
        </w:tc>
      </w:tr>
      <w:tr w:rsidR="0018407B" w:rsidRPr="00A81AAF" w:rsidTr="00C843E2">
        <w:trPr>
          <w:trHeight w:val="175"/>
        </w:trPr>
        <w:tc>
          <w:tcPr>
            <w:tcW w:w="1930" w:type="dxa"/>
            <w:tcBorders>
              <w:top w:val="single" w:sz="4" w:space="0" w:color="auto"/>
              <w:left w:val="nil"/>
              <w:bottom w:val="nil"/>
              <w:right w:val="nil"/>
            </w:tcBorders>
            <w:shd w:val="clear" w:color="auto" w:fill="auto"/>
            <w:noWrap/>
            <w:vAlign w:val="bottom"/>
          </w:tcPr>
          <w:p w:rsidR="0018407B" w:rsidRPr="00A81AAF" w:rsidRDefault="0018407B" w:rsidP="00C843E2">
            <w:pPr>
              <w:spacing w:after="0" w:line="240" w:lineRule="auto"/>
              <w:rPr>
                <w:rFonts w:ascii="Times New Roman" w:eastAsia="Times New Roman" w:hAnsi="Times New Roman" w:cs="Times New Roman"/>
                <w:b/>
                <w:color w:val="000000" w:themeColor="text1"/>
                <w:sz w:val="10"/>
                <w:szCs w:val="24"/>
                <w:lang w:eastAsia="pt-BR"/>
              </w:rPr>
            </w:pPr>
          </w:p>
        </w:tc>
        <w:tc>
          <w:tcPr>
            <w:tcW w:w="304" w:type="dxa"/>
            <w:tcBorders>
              <w:top w:val="nil"/>
              <w:left w:val="nil"/>
              <w:bottom w:val="nil"/>
              <w:right w:val="nil"/>
            </w:tcBorders>
            <w:shd w:val="clear" w:color="auto" w:fill="auto"/>
            <w:noWrap/>
            <w:vAlign w:val="bottom"/>
          </w:tcPr>
          <w:p w:rsidR="0018407B" w:rsidRPr="00A81AAF" w:rsidRDefault="0018407B" w:rsidP="00C843E2">
            <w:pPr>
              <w:spacing w:after="0" w:line="240" w:lineRule="auto"/>
              <w:rPr>
                <w:rFonts w:ascii="Times New Roman" w:eastAsia="Times New Roman" w:hAnsi="Times New Roman" w:cs="Times New Roman"/>
                <w:color w:val="000000" w:themeColor="text1"/>
                <w:sz w:val="10"/>
                <w:szCs w:val="24"/>
                <w:lang w:eastAsia="pt-BR"/>
              </w:rPr>
            </w:pPr>
          </w:p>
        </w:tc>
        <w:tc>
          <w:tcPr>
            <w:tcW w:w="960" w:type="dxa"/>
            <w:tcBorders>
              <w:top w:val="nil"/>
              <w:left w:val="nil"/>
              <w:bottom w:val="nil"/>
              <w:right w:val="nil"/>
            </w:tcBorders>
            <w:shd w:val="clear" w:color="auto" w:fill="auto"/>
            <w:noWrap/>
            <w:vAlign w:val="bottom"/>
          </w:tcPr>
          <w:p w:rsidR="0018407B" w:rsidRPr="00A81AAF" w:rsidRDefault="0018407B" w:rsidP="00C843E2">
            <w:pPr>
              <w:spacing w:after="0" w:line="240" w:lineRule="auto"/>
              <w:rPr>
                <w:rFonts w:ascii="Times New Roman" w:eastAsia="Times New Roman" w:hAnsi="Times New Roman" w:cs="Times New Roman"/>
                <w:color w:val="000000" w:themeColor="text1"/>
                <w:sz w:val="10"/>
                <w:szCs w:val="24"/>
                <w:lang w:eastAsia="pt-BR"/>
              </w:rPr>
            </w:pPr>
          </w:p>
        </w:tc>
        <w:tc>
          <w:tcPr>
            <w:tcW w:w="2057" w:type="dxa"/>
            <w:tcBorders>
              <w:top w:val="nil"/>
              <w:left w:val="nil"/>
              <w:bottom w:val="nil"/>
              <w:right w:val="nil"/>
            </w:tcBorders>
            <w:shd w:val="clear" w:color="auto" w:fill="auto"/>
            <w:noWrap/>
            <w:vAlign w:val="bottom"/>
          </w:tcPr>
          <w:p w:rsidR="0018407B" w:rsidRPr="00A81AAF" w:rsidRDefault="0018407B" w:rsidP="00C843E2">
            <w:pPr>
              <w:spacing w:after="0" w:line="240" w:lineRule="auto"/>
              <w:rPr>
                <w:rFonts w:ascii="Times New Roman" w:eastAsia="Times New Roman" w:hAnsi="Times New Roman" w:cs="Times New Roman"/>
                <w:b/>
                <w:bCs/>
                <w:color w:val="000000" w:themeColor="text1"/>
                <w:sz w:val="10"/>
                <w:szCs w:val="24"/>
                <w:lang w:eastAsia="pt-BR"/>
              </w:rPr>
            </w:pPr>
          </w:p>
        </w:tc>
        <w:tc>
          <w:tcPr>
            <w:tcW w:w="1354" w:type="dxa"/>
            <w:tcBorders>
              <w:top w:val="single" w:sz="4" w:space="0" w:color="auto"/>
              <w:left w:val="nil"/>
              <w:right w:val="nil"/>
            </w:tcBorders>
            <w:shd w:val="clear" w:color="auto" w:fill="auto"/>
            <w:noWrap/>
            <w:vAlign w:val="bottom"/>
          </w:tcPr>
          <w:p w:rsidR="0018407B" w:rsidRPr="00A81AAF" w:rsidRDefault="0018407B" w:rsidP="00C843E2">
            <w:pPr>
              <w:spacing w:after="0" w:line="240" w:lineRule="auto"/>
              <w:jc w:val="center"/>
              <w:rPr>
                <w:rFonts w:ascii="Times New Roman" w:eastAsia="Times New Roman" w:hAnsi="Times New Roman" w:cs="Times New Roman"/>
                <w:b/>
                <w:bCs/>
                <w:color w:val="000000" w:themeColor="text1"/>
                <w:sz w:val="10"/>
                <w:szCs w:val="24"/>
                <w:lang w:eastAsia="pt-BR"/>
              </w:rPr>
            </w:pPr>
          </w:p>
        </w:tc>
        <w:tc>
          <w:tcPr>
            <w:tcW w:w="748" w:type="dxa"/>
            <w:tcBorders>
              <w:top w:val="nil"/>
              <w:left w:val="nil"/>
              <w:right w:val="nil"/>
            </w:tcBorders>
            <w:shd w:val="clear" w:color="auto" w:fill="auto"/>
            <w:noWrap/>
            <w:vAlign w:val="bottom"/>
          </w:tcPr>
          <w:p w:rsidR="0018407B" w:rsidRPr="00A81AAF" w:rsidRDefault="0018407B" w:rsidP="00C843E2">
            <w:pPr>
              <w:spacing w:after="0" w:line="240" w:lineRule="auto"/>
              <w:rPr>
                <w:rFonts w:ascii="Times New Roman" w:eastAsia="Times New Roman" w:hAnsi="Times New Roman" w:cs="Times New Roman"/>
                <w:b/>
                <w:bCs/>
                <w:color w:val="000000" w:themeColor="text1"/>
                <w:sz w:val="10"/>
                <w:szCs w:val="24"/>
                <w:lang w:eastAsia="pt-BR"/>
              </w:rPr>
            </w:pPr>
          </w:p>
        </w:tc>
        <w:tc>
          <w:tcPr>
            <w:tcW w:w="1300" w:type="dxa"/>
            <w:tcBorders>
              <w:top w:val="single" w:sz="4" w:space="0" w:color="auto"/>
              <w:left w:val="nil"/>
              <w:right w:val="nil"/>
            </w:tcBorders>
            <w:shd w:val="clear" w:color="auto" w:fill="auto"/>
            <w:noWrap/>
            <w:vAlign w:val="bottom"/>
          </w:tcPr>
          <w:p w:rsidR="0018407B" w:rsidRPr="00A81AAF" w:rsidRDefault="0018407B" w:rsidP="00C843E2">
            <w:pPr>
              <w:spacing w:after="0" w:line="240" w:lineRule="auto"/>
              <w:jc w:val="center"/>
              <w:rPr>
                <w:rFonts w:ascii="Times New Roman" w:eastAsia="Times New Roman" w:hAnsi="Times New Roman" w:cs="Times New Roman"/>
                <w:b/>
                <w:bCs/>
                <w:color w:val="000000" w:themeColor="text1"/>
                <w:sz w:val="10"/>
                <w:szCs w:val="24"/>
                <w:lang w:eastAsia="pt-BR"/>
              </w:rPr>
            </w:pPr>
          </w:p>
        </w:tc>
      </w:tr>
      <w:tr w:rsidR="0018407B" w:rsidRPr="00A81AAF" w:rsidTr="00C843E2">
        <w:trPr>
          <w:trHeight w:val="300"/>
        </w:trPr>
        <w:tc>
          <w:tcPr>
            <w:tcW w:w="5251" w:type="dxa"/>
            <w:gridSpan w:val="4"/>
            <w:tcBorders>
              <w:top w:val="nil"/>
              <w:left w:val="nil"/>
              <w:bottom w:val="nil"/>
              <w:right w:val="nil"/>
            </w:tcBorders>
            <w:shd w:val="clear" w:color="auto" w:fill="auto"/>
            <w:noWrap/>
            <w:vAlign w:val="bottom"/>
            <w:hideMark/>
          </w:tcPr>
          <w:p w:rsidR="0018407B" w:rsidRPr="00A81AAF" w:rsidRDefault="0018407B" w:rsidP="00C843E2">
            <w:pPr>
              <w:spacing w:after="0" w:line="240" w:lineRule="auto"/>
              <w:rPr>
                <w:rFonts w:ascii="Times New Roman" w:eastAsia="Times New Roman" w:hAnsi="Times New Roman" w:cs="Times New Roman"/>
                <w:color w:val="000000" w:themeColor="text1"/>
                <w:sz w:val="24"/>
                <w:szCs w:val="24"/>
                <w:lang w:eastAsia="pt-BR"/>
              </w:rPr>
            </w:pPr>
            <w:r w:rsidRPr="00A81AAF">
              <w:rPr>
                <w:rFonts w:ascii="Times New Roman" w:eastAsia="Times New Roman" w:hAnsi="Times New Roman" w:cs="Times New Roman"/>
                <w:color w:val="000000" w:themeColor="text1"/>
                <w:sz w:val="24"/>
                <w:szCs w:val="24"/>
                <w:lang w:eastAsia="pt-BR"/>
              </w:rPr>
              <w:t>Processos Trabalhistas</w:t>
            </w:r>
          </w:p>
        </w:tc>
        <w:tc>
          <w:tcPr>
            <w:tcW w:w="1354" w:type="dxa"/>
            <w:tcBorders>
              <w:top w:val="nil"/>
              <w:left w:val="nil"/>
              <w:right w:val="nil"/>
            </w:tcBorders>
            <w:shd w:val="clear" w:color="auto" w:fill="auto"/>
            <w:noWrap/>
            <w:vAlign w:val="bottom"/>
            <w:hideMark/>
          </w:tcPr>
          <w:p w:rsidR="0018407B" w:rsidRPr="00A81AAF" w:rsidRDefault="0018407B" w:rsidP="00C843E2">
            <w:pPr>
              <w:spacing w:after="0" w:line="240" w:lineRule="auto"/>
              <w:jc w:val="center"/>
              <w:rPr>
                <w:rFonts w:ascii="Times New Roman" w:eastAsia="Times New Roman" w:hAnsi="Times New Roman" w:cs="Times New Roman"/>
                <w:color w:val="000000" w:themeColor="text1"/>
                <w:sz w:val="24"/>
                <w:szCs w:val="24"/>
                <w:lang w:eastAsia="pt-BR"/>
              </w:rPr>
            </w:pPr>
            <w:r w:rsidRPr="00A81AAF">
              <w:rPr>
                <w:rFonts w:ascii="Times New Roman" w:eastAsia="Times New Roman" w:hAnsi="Times New Roman" w:cs="Times New Roman"/>
                <w:color w:val="000000" w:themeColor="text1"/>
                <w:sz w:val="24"/>
                <w:szCs w:val="24"/>
                <w:lang w:eastAsia="pt-BR"/>
              </w:rPr>
              <w:t>-</w:t>
            </w:r>
          </w:p>
        </w:tc>
        <w:tc>
          <w:tcPr>
            <w:tcW w:w="748" w:type="dxa"/>
            <w:tcBorders>
              <w:top w:val="nil"/>
              <w:left w:val="nil"/>
              <w:bottom w:val="nil"/>
              <w:right w:val="nil"/>
            </w:tcBorders>
            <w:shd w:val="clear" w:color="auto" w:fill="auto"/>
            <w:noWrap/>
            <w:vAlign w:val="bottom"/>
            <w:hideMark/>
          </w:tcPr>
          <w:p w:rsidR="0018407B" w:rsidRPr="00A81AAF" w:rsidRDefault="0018407B" w:rsidP="00C843E2">
            <w:pPr>
              <w:spacing w:after="0" w:line="240" w:lineRule="auto"/>
              <w:rPr>
                <w:rFonts w:ascii="Times New Roman" w:eastAsia="Times New Roman" w:hAnsi="Times New Roman" w:cs="Times New Roman"/>
                <w:color w:val="000000" w:themeColor="text1"/>
                <w:sz w:val="24"/>
                <w:szCs w:val="24"/>
                <w:lang w:eastAsia="pt-BR"/>
              </w:rPr>
            </w:pPr>
          </w:p>
        </w:tc>
        <w:tc>
          <w:tcPr>
            <w:tcW w:w="1300" w:type="dxa"/>
            <w:tcBorders>
              <w:top w:val="nil"/>
              <w:left w:val="nil"/>
              <w:right w:val="nil"/>
            </w:tcBorders>
            <w:shd w:val="clear" w:color="auto" w:fill="auto"/>
            <w:noWrap/>
            <w:vAlign w:val="bottom"/>
          </w:tcPr>
          <w:p w:rsidR="0018407B" w:rsidRPr="00A81AAF" w:rsidRDefault="0018407B" w:rsidP="00C843E2">
            <w:pPr>
              <w:spacing w:after="0" w:line="240" w:lineRule="auto"/>
              <w:jc w:val="center"/>
              <w:rPr>
                <w:rFonts w:ascii="Times New Roman" w:eastAsia="Times New Roman" w:hAnsi="Times New Roman" w:cs="Times New Roman"/>
                <w:color w:val="000000" w:themeColor="text1"/>
                <w:sz w:val="24"/>
                <w:szCs w:val="24"/>
                <w:lang w:eastAsia="pt-BR"/>
              </w:rPr>
            </w:pPr>
            <w:r w:rsidRPr="00A81AAF">
              <w:rPr>
                <w:rFonts w:ascii="Times New Roman" w:eastAsia="Times New Roman" w:hAnsi="Times New Roman" w:cs="Times New Roman"/>
                <w:color w:val="000000" w:themeColor="text1"/>
                <w:sz w:val="24"/>
                <w:szCs w:val="24"/>
                <w:lang w:eastAsia="pt-BR"/>
              </w:rPr>
              <w:t>-</w:t>
            </w:r>
          </w:p>
        </w:tc>
      </w:tr>
      <w:tr w:rsidR="0018407B" w:rsidRPr="00A81AAF" w:rsidTr="00C843E2">
        <w:trPr>
          <w:trHeight w:val="315"/>
        </w:trPr>
        <w:tc>
          <w:tcPr>
            <w:tcW w:w="5251" w:type="dxa"/>
            <w:gridSpan w:val="4"/>
            <w:tcBorders>
              <w:top w:val="nil"/>
              <w:left w:val="nil"/>
              <w:bottom w:val="nil"/>
              <w:right w:val="nil"/>
            </w:tcBorders>
            <w:shd w:val="clear" w:color="auto" w:fill="auto"/>
            <w:noWrap/>
            <w:vAlign w:val="bottom"/>
            <w:hideMark/>
          </w:tcPr>
          <w:p w:rsidR="0018407B" w:rsidRPr="00A81AAF" w:rsidRDefault="0018407B" w:rsidP="00C843E2">
            <w:pPr>
              <w:spacing w:after="0" w:line="240" w:lineRule="auto"/>
              <w:rPr>
                <w:rFonts w:ascii="Times New Roman" w:eastAsia="Times New Roman" w:hAnsi="Times New Roman" w:cs="Times New Roman"/>
                <w:color w:val="000000" w:themeColor="text1"/>
                <w:sz w:val="24"/>
                <w:szCs w:val="24"/>
                <w:lang w:eastAsia="pt-BR"/>
              </w:rPr>
            </w:pPr>
            <w:r w:rsidRPr="00A81AAF">
              <w:rPr>
                <w:rFonts w:ascii="Times New Roman" w:eastAsia="Times New Roman" w:hAnsi="Times New Roman" w:cs="Times New Roman"/>
                <w:color w:val="000000" w:themeColor="text1"/>
                <w:sz w:val="24"/>
                <w:szCs w:val="24"/>
                <w:lang w:eastAsia="pt-BR"/>
              </w:rPr>
              <w:t>Processos Cíveis</w:t>
            </w:r>
          </w:p>
        </w:tc>
        <w:tc>
          <w:tcPr>
            <w:tcW w:w="1354" w:type="dxa"/>
            <w:tcBorders>
              <w:left w:val="nil"/>
              <w:bottom w:val="double" w:sz="4" w:space="0" w:color="auto"/>
              <w:right w:val="nil"/>
            </w:tcBorders>
            <w:shd w:val="clear" w:color="auto" w:fill="auto"/>
            <w:noWrap/>
            <w:vAlign w:val="bottom"/>
            <w:hideMark/>
          </w:tcPr>
          <w:p w:rsidR="0018407B" w:rsidRPr="00A81AAF" w:rsidRDefault="00C32DA3" w:rsidP="00C32DA3">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7</w:t>
            </w:r>
          </w:p>
        </w:tc>
        <w:tc>
          <w:tcPr>
            <w:tcW w:w="748" w:type="dxa"/>
            <w:tcBorders>
              <w:left w:val="nil"/>
              <w:right w:val="nil"/>
            </w:tcBorders>
            <w:shd w:val="clear" w:color="auto" w:fill="auto"/>
            <w:noWrap/>
            <w:vAlign w:val="bottom"/>
            <w:hideMark/>
          </w:tcPr>
          <w:p w:rsidR="0018407B" w:rsidRPr="00A81AAF" w:rsidRDefault="0018407B" w:rsidP="00C843E2">
            <w:pPr>
              <w:spacing w:after="0" w:line="240" w:lineRule="auto"/>
              <w:rPr>
                <w:rFonts w:ascii="Times New Roman" w:eastAsia="Times New Roman" w:hAnsi="Times New Roman" w:cs="Times New Roman"/>
                <w:color w:val="000000" w:themeColor="text1"/>
                <w:sz w:val="24"/>
                <w:szCs w:val="24"/>
                <w:lang w:eastAsia="pt-BR"/>
              </w:rPr>
            </w:pPr>
          </w:p>
        </w:tc>
        <w:tc>
          <w:tcPr>
            <w:tcW w:w="1300" w:type="dxa"/>
            <w:tcBorders>
              <w:left w:val="nil"/>
              <w:bottom w:val="double" w:sz="4" w:space="0" w:color="auto"/>
              <w:right w:val="nil"/>
            </w:tcBorders>
            <w:shd w:val="clear" w:color="auto" w:fill="auto"/>
            <w:noWrap/>
            <w:vAlign w:val="bottom"/>
          </w:tcPr>
          <w:p w:rsidR="0018407B" w:rsidRPr="00A81AAF" w:rsidRDefault="00C32DA3" w:rsidP="00C32DA3">
            <w:pPr>
              <w:spacing w:after="0" w:line="240" w:lineRule="auto"/>
              <w:jc w:val="right"/>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58</w:t>
            </w:r>
            <w:r w:rsidR="0018407B" w:rsidRPr="00A81AAF">
              <w:rPr>
                <w:rFonts w:ascii="Times New Roman" w:eastAsia="Times New Roman" w:hAnsi="Times New Roman" w:cs="Times New Roman"/>
                <w:color w:val="000000" w:themeColor="text1"/>
                <w:sz w:val="24"/>
                <w:szCs w:val="24"/>
                <w:lang w:eastAsia="pt-BR"/>
              </w:rPr>
              <w:t>.</w:t>
            </w:r>
            <w:r>
              <w:rPr>
                <w:rFonts w:ascii="Times New Roman" w:eastAsia="Times New Roman" w:hAnsi="Times New Roman" w:cs="Times New Roman"/>
                <w:color w:val="000000" w:themeColor="text1"/>
                <w:sz w:val="24"/>
                <w:szCs w:val="24"/>
                <w:lang w:eastAsia="pt-BR"/>
              </w:rPr>
              <w:t>802</w:t>
            </w:r>
          </w:p>
        </w:tc>
      </w:tr>
      <w:tr w:rsidR="0018407B" w:rsidRPr="00A81AAF" w:rsidTr="00C843E2">
        <w:trPr>
          <w:trHeight w:val="351"/>
        </w:trPr>
        <w:tc>
          <w:tcPr>
            <w:tcW w:w="1930" w:type="dxa"/>
            <w:tcBorders>
              <w:top w:val="double" w:sz="4" w:space="0" w:color="auto"/>
              <w:left w:val="nil"/>
              <w:bottom w:val="nil"/>
              <w:right w:val="nil"/>
            </w:tcBorders>
            <w:shd w:val="clear" w:color="auto" w:fill="auto"/>
            <w:noWrap/>
            <w:vAlign w:val="bottom"/>
            <w:hideMark/>
          </w:tcPr>
          <w:p w:rsidR="0018407B" w:rsidRPr="00A81AAF" w:rsidRDefault="0018407B" w:rsidP="00C843E2">
            <w:pPr>
              <w:spacing w:after="0" w:line="240" w:lineRule="auto"/>
              <w:rPr>
                <w:rFonts w:ascii="Times New Roman" w:eastAsia="Times New Roman" w:hAnsi="Times New Roman" w:cs="Times New Roman"/>
                <w:b/>
                <w:bCs/>
                <w:color w:val="000000" w:themeColor="text1"/>
                <w:sz w:val="24"/>
                <w:szCs w:val="24"/>
                <w:lang w:eastAsia="pt-BR"/>
              </w:rPr>
            </w:pPr>
            <w:r w:rsidRPr="00A81AAF">
              <w:rPr>
                <w:rFonts w:ascii="Times New Roman" w:eastAsia="Times New Roman" w:hAnsi="Times New Roman" w:cs="Times New Roman"/>
                <w:b/>
                <w:bCs/>
                <w:color w:val="000000" w:themeColor="text1"/>
                <w:sz w:val="24"/>
                <w:szCs w:val="24"/>
                <w:lang w:eastAsia="pt-BR"/>
              </w:rPr>
              <w:t>Total</w:t>
            </w:r>
          </w:p>
        </w:tc>
        <w:tc>
          <w:tcPr>
            <w:tcW w:w="304" w:type="dxa"/>
            <w:tcBorders>
              <w:top w:val="nil"/>
              <w:left w:val="nil"/>
              <w:bottom w:val="nil"/>
              <w:right w:val="nil"/>
            </w:tcBorders>
            <w:shd w:val="clear" w:color="auto" w:fill="auto"/>
            <w:noWrap/>
            <w:vAlign w:val="bottom"/>
            <w:hideMark/>
          </w:tcPr>
          <w:p w:rsidR="0018407B" w:rsidRPr="00A81AAF" w:rsidRDefault="0018407B" w:rsidP="00C843E2">
            <w:pPr>
              <w:spacing w:after="0" w:line="240" w:lineRule="auto"/>
              <w:rPr>
                <w:rFonts w:ascii="Times New Roman" w:eastAsia="Times New Roman" w:hAnsi="Times New Roman" w:cs="Times New Roman"/>
                <w:b/>
                <w:bCs/>
                <w:color w:val="000000" w:themeColor="text1"/>
                <w:sz w:val="24"/>
                <w:szCs w:val="24"/>
                <w:lang w:eastAsia="pt-BR"/>
              </w:rPr>
            </w:pPr>
          </w:p>
        </w:tc>
        <w:tc>
          <w:tcPr>
            <w:tcW w:w="960" w:type="dxa"/>
            <w:tcBorders>
              <w:top w:val="nil"/>
              <w:left w:val="nil"/>
              <w:bottom w:val="nil"/>
              <w:right w:val="nil"/>
            </w:tcBorders>
            <w:shd w:val="clear" w:color="auto" w:fill="auto"/>
            <w:noWrap/>
            <w:vAlign w:val="bottom"/>
            <w:hideMark/>
          </w:tcPr>
          <w:p w:rsidR="0018407B" w:rsidRPr="00A81AAF" w:rsidRDefault="0018407B" w:rsidP="00C843E2">
            <w:pPr>
              <w:spacing w:after="0" w:line="240" w:lineRule="auto"/>
              <w:rPr>
                <w:rFonts w:ascii="Times New Roman" w:eastAsia="Times New Roman" w:hAnsi="Times New Roman" w:cs="Times New Roman"/>
                <w:b/>
                <w:bCs/>
                <w:color w:val="000000" w:themeColor="text1"/>
                <w:sz w:val="24"/>
                <w:szCs w:val="24"/>
                <w:lang w:eastAsia="pt-BR"/>
              </w:rPr>
            </w:pPr>
          </w:p>
        </w:tc>
        <w:tc>
          <w:tcPr>
            <w:tcW w:w="2057" w:type="dxa"/>
            <w:tcBorders>
              <w:top w:val="nil"/>
              <w:left w:val="nil"/>
              <w:bottom w:val="nil"/>
              <w:right w:val="nil"/>
            </w:tcBorders>
            <w:shd w:val="clear" w:color="auto" w:fill="auto"/>
            <w:noWrap/>
            <w:vAlign w:val="bottom"/>
            <w:hideMark/>
          </w:tcPr>
          <w:p w:rsidR="0018407B" w:rsidRPr="00A81AAF" w:rsidRDefault="0018407B" w:rsidP="00C843E2">
            <w:pPr>
              <w:spacing w:after="0" w:line="240" w:lineRule="auto"/>
              <w:jc w:val="right"/>
              <w:rPr>
                <w:rFonts w:ascii="Times New Roman" w:eastAsia="Times New Roman" w:hAnsi="Times New Roman" w:cs="Times New Roman"/>
                <w:b/>
                <w:bCs/>
                <w:color w:val="000000" w:themeColor="text1"/>
                <w:sz w:val="24"/>
                <w:szCs w:val="24"/>
                <w:lang w:eastAsia="pt-BR"/>
              </w:rPr>
            </w:pPr>
          </w:p>
        </w:tc>
        <w:tc>
          <w:tcPr>
            <w:tcW w:w="1354" w:type="dxa"/>
            <w:tcBorders>
              <w:top w:val="double" w:sz="4" w:space="0" w:color="auto"/>
              <w:left w:val="nil"/>
              <w:bottom w:val="nil"/>
              <w:right w:val="nil"/>
            </w:tcBorders>
            <w:shd w:val="clear" w:color="auto" w:fill="auto"/>
            <w:noWrap/>
            <w:vAlign w:val="bottom"/>
            <w:hideMark/>
          </w:tcPr>
          <w:p w:rsidR="0018407B" w:rsidRPr="00A81AAF" w:rsidRDefault="00C32DA3" w:rsidP="00C32DA3">
            <w:pPr>
              <w:spacing w:after="0" w:line="240" w:lineRule="auto"/>
              <w:jc w:val="center"/>
              <w:rPr>
                <w:rFonts w:ascii="Times New Roman" w:eastAsia="Times New Roman" w:hAnsi="Times New Roman" w:cs="Times New Roman"/>
                <w:b/>
                <w:bCs/>
                <w:color w:val="000000" w:themeColor="text1"/>
                <w:sz w:val="24"/>
                <w:szCs w:val="24"/>
                <w:lang w:eastAsia="pt-BR"/>
              </w:rPr>
            </w:pPr>
            <w:r>
              <w:rPr>
                <w:rFonts w:ascii="Times New Roman" w:eastAsia="Times New Roman" w:hAnsi="Times New Roman" w:cs="Times New Roman"/>
                <w:b/>
                <w:bCs/>
                <w:color w:val="000000" w:themeColor="text1"/>
                <w:sz w:val="24"/>
                <w:szCs w:val="24"/>
                <w:lang w:eastAsia="pt-BR"/>
              </w:rPr>
              <w:t>7</w:t>
            </w:r>
          </w:p>
        </w:tc>
        <w:tc>
          <w:tcPr>
            <w:tcW w:w="748" w:type="dxa"/>
            <w:tcBorders>
              <w:left w:val="nil"/>
              <w:bottom w:val="nil"/>
              <w:right w:val="nil"/>
            </w:tcBorders>
            <w:shd w:val="clear" w:color="auto" w:fill="auto"/>
            <w:noWrap/>
            <w:vAlign w:val="bottom"/>
            <w:hideMark/>
          </w:tcPr>
          <w:p w:rsidR="0018407B" w:rsidRPr="00A81AAF" w:rsidRDefault="0018407B" w:rsidP="00C843E2">
            <w:pPr>
              <w:spacing w:after="0" w:line="240" w:lineRule="auto"/>
              <w:rPr>
                <w:rFonts w:ascii="Times New Roman" w:eastAsia="Times New Roman" w:hAnsi="Times New Roman" w:cs="Times New Roman"/>
                <w:b/>
                <w:bCs/>
                <w:color w:val="000000" w:themeColor="text1"/>
                <w:sz w:val="24"/>
                <w:szCs w:val="24"/>
                <w:lang w:eastAsia="pt-BR"/>
              </w:rPr>
            </w:pPr>
          </w:p>
        </w:tc>
        <w:tc>
          <w:tcPr>
            <w:tcW w:w="1300" w:type="dxa"/>
            <w:tcBorders>
              <w:top w:val="double" w:sz="4" w:space="0" w:color="auto"/>
              <w:left w:val="nil"/>
              <w:bottom w:val="nil"/>
              <w:right w:val="nil"/>
            </w:tcBorders>
            <w:shd w:val="clear" w:color="auto" w:fill="auto"/>
            <w:noWrap/>
            <w:vAlign w:val="bottom"/>
          </w:tcPr>
          <w:p w:rsidR="0018407B" w:rsidRPr="00A81AAF" w:rsidRDefault="00C32DA3" w:rsidP="00C32DA3">
            <w:pPr>
              <w:spacing w:after="0" w:line="240" w:lineRule="auto"/>
              <w:jc w:val="right"/>
              <w:rPr>
                <w:rFonts w:ascii="Times New Roman" w:eastAsia="Times New Roman" w:hAnsi="Times New Roman" w:cs="Times New Roman"/>
                <w:b/>
                <w:bCs/>
                <w:color w:val="000000" w:themeColor="text1"/>
                <w:sz w:val="24"/>
                <w:szCs w:val="24"/>
                <w:lang w:eastAsia="pt-BR"/>
              </w:rPr>
            </w:pPr>
            <w:r>
              <w:rPr>
                <w:rFonts w:ascii="Times New Roman" w:eastAsia="Times New Roman" w:hAnsi="Times New Roman" w:cs="Times New Roman"/>
                <w:b/>
                <w:bCs/>
                <w:color w:val="000000" w:themeColor="text1"/>
                <w:sz w:val="24"/>
                <w:szCs w:val="24"/>
                <w:lang w:eastAsia="pt-BR"/>
              </w:rPr>
              <w:t>58</w:t>
            </w:r>
            <w:r w:rsidR="0018407B" w:rsidRPr="00A81AAF">
              <w:rPr>
                <w:rFonts w:ascii="Times New Roman" w:eastAsia="Times New Roman" w:hAnsi="Times New Roman" w:cs="Times New Roman"/>
                <w:b/>
                <w:bCs/>
                <w:color w:val="000000" w:themeColor="text1"/>
                <w:sz w:val="24"/>
                <w:szCs w:val="24"/>
                <w:lang w:eastAsia="pt-BR"/>
              </w:rPr>
              <w:t>.</w:t>
            </w:r>
            <w:r>
              <w:rPr>
                <w:rFonts w:ascii="Times New Roman" w:eastAsia="Times New Roman" w:hAnsi="Times New Roman" w:cs="Times New Roman"/>
                <w:b/>
                <w:bCs/>
                <w:color w:val="000000" w:themeColor="text1"/>
                <w:sz w:val="24"/>
                <w:szCs w:val="24"/>
                <w:lang w:eastAsia="pt-BR"/>
              </w:rPr>
              <w:t>802</w:t>
            </w:r>
          </w:p>
        </w:tc>
      </w:tr>
    </w:tbl>
    <w:p w:rsidR="0018407B" w:rsidRDefault="0018407B" w:rsidP="0018407B">
      <w:pPr>
        <w:spacing w:after="0" w:line="240" w:lineRule="auto"/>
        <w:jc w:val="both"/>
        <w:rPr>
          <w:rFonts w:ascii="Times New Roman" w:eastAsia="Times New Roman" w:hAnsi="Times New Roman" w:cs="Times New Roman"/>
          <w:sz w:val="24"/>
          <w:szCs w:val="24"/>
          <w:lang w:eastAsia="pt-BR"/>
        </w:rPr>
      </w:pPr>
    </w:p>
    <w:p w:rsidR="0018407B" w:rsidRDefault="0018407B" w:rsidP="0018407B">
      <w:pPr>
        <w:spacing w:after="0" w:line="240" w:lineRule="auto"/>
        <w:jc w:val="both"/>
        <w:rPr>
          <w:rFonts w:ascii="Times New Roman" w:eastAsia="Times New Roman" w:hAnsi="Times New Roman" w:cs="Times New Roman"/>
          <w:sz w:val="24"/>
          <w:szCs w:val="24"/>
          <w:lang w:eastAsia="pt-BR"/>
        </w:rPr>
      </w:pPr>
    </w:p>
    <w:p w:rsidR="0018407B" w:rsidRDefault="0018407B" w:rsidP="0018407B">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17. </w:t>
      </w:r>
      <w:r w:rsidRPr="00EC1D90">
        <w:rPr>
          <w:rFonts w:ascii="Times New Roman" w:eastAsia="Times New Roman" w:hAnsi="Times New Roman" w:cs="Times New Roman"/>
          <w:b/>
          <w:sz w:val="24"/>
          <w:szCs w:val="24"/>
          <w:lang w:eastAsia="pt-BR"/>
        </w:rPr>
        <w:t>Patrimônio Líquido</w:t>
      </w:r>
    </w:p>
    <w:tbl>
      <w:tblPr>
        <w:tblW w:w="8450" w:type="dxa"/>
        <w:tblInd w:w="55" w:type="dxa"/>
        <w:tblCellMar>
          <w:left w:w="70" w:type="dxa"/>
          <w:right w:w="70" w:type="dxa"/>
        </w:tblCellMar>
        <w:tblLook w:val="04A0" w:firstRow="1" w:lastRow="0" w:firstColumn="1" w:lastColumn="0" w:noHBand="0" w:noVBand="1"/>
      </w:tblPr>
      <w:tblGrid>
        <w:gridCol w:w="960"/>
        <w:gridCol w:w="1000"/>
        <w:gridCol w:w="960"/>
        <w:gridCol w:w="1703"/>
        <w:gridCol w:w="1629"/>
        <w:gridCol w:w="748"/>
        <w:gridCol w:w="1450"/>
      </w:tblGrid>
      <w:tr w:rsidR="0018407B" w:rsidRPr="00136A11" w:rsidTr="00C843E2">
        <w:trPr>
          <w:trHeight w:val="340"/>
        </w:trPr>
        <w:tc>
          <w:tcPr>
            <w:tcW w:w="960" w:type="dxa"/>
            <w:tcBorders>
              <w:top w:val="nil"/>
              <w:left w:val="nil"/>
              <w:bottom w:val="nil"/>
              <w:right w:val="nil"/>
            </w:tcBorders>
            <w:shd w:val="clear" w:color="auto" w:fill="auto"/>
            <w:noWrap/>
            <w:vAlign w:val="bottom"/>
            <w:hideMark/>
          </w:tcPr>
          <w:p w:rsidR="0018407B" w:rsidRPr="00136A11" w:rsidRDefault="0018407B" w:rsidP="00C843E2">
            <w:pPr>
              <w:spacing w:after="0" w:line="240" w:lineRule="auto"/>
              <w:rPr>
                <w:rFonts w:ascii="Times New Roman" w:eastAsia="Times New Roman" w:hAnsi="Times New Roman" w:cs="Times New Roman"/>
                <w:color w:val="000000"/>
                <w:sz w:val="24"/>
                <w:szCs w:val="24"/>
                <w:lang w:eastAsia="pt-BR"/>
              </w:rPr>
            </w:pPr>
          </w:p>
        </w:tc>
        <w:tc>
          <w:tcPr>
            <w:tcW w:w="1000" w:type="dxa"/>
            <w:tcBorders>
              <w:top w:val="nil"/>
              <w:left w:val="nil"/>
              <w:bottom w:val="nil"/>
              <w:right w:val="nil"/>
            </w:tcBorders>
            <w:shd w:val="clear" w:color="auto" w:fill="auto"/>
            <w:noWrap/>
            <w:vAlign w:val="bottom"/>
            <w:hideMark/>
          </w:tcPr>
          <w:p w:rsidR="0018407B" w:rsidRPr="00136A11" w:rsidRDefault="0018407B" w:rsidP="00C843E2">
            <w:pPr>
              <w:spacing w:after="0" w:line="360" w:lineRule="auto"/>
              <w:rPr>
                <w:rFonts w:ascii="Times New Roman" w:eastAsia="Times New Roman" w:hAnsi="Times New Roman" w:cs="Times New Roman"/>
                <w:color w:val="000000"/>
                <w:sz w:val="24"/>
                <w:szCs w:val="24"/>
                <w:lang w:eastAsia="pt-BR"/>
              </w:rPr>
            </w:pPr>
          </w:p>
        </w:tc>
        <w:tc>
          <w:tcPr>
            <w:tcW w:w="960" w:type="dxa"/>
            <w:tcBorders>
              <w:top w:val="nil"/>
              <w:left w:val="nil"/>
              <w:bottom w:val="nil"/>
              <w:right w:val="nil"/>
            </w:tcBorders>
            <w:shd w:val="clear" w:color="auto" w:fill="auto"/>
            <w:noWrap/>
            <w:vAlign w:val="bottom"/>
            <w:hideMark/>
          </w:tcPr>
          <w:p w:rsidR="0018407B" w:rsidRPr="00136A11" w:rsidRDefault="0018407B" w:rsidP="00C843E2">
            <w:pPr>
              <w:spacing w:after="0" w:line="360" w:lineRule="auto"/>
              <w:rPr>
                <w:rFonts w:ascii="Times New Roman" w:eastAsia="Times New Roman" w:hAnsi="Times New Roman" w:cs="Times New Roman"/>
                <w:color w:val="000000"/>
                <w:sz w:val="24"/>
                <w:szCs w:val="24"/>
                <w:lang w:eastAsia="pt-BR"/>
              </w:rPr>
            </w:pPr>
          </w:p>
        </w:tc>
        <w:tc>
          <w:tcPr>
            <w:tcW w:w="1703" w:type="dxa"/>
            <w:tcBorders>
              <w:top w:val="nil"/>
              <w:left w:val="nil"/>
              <w:bottom w:val="nil"/>
              <w:right w:val="nil"/>
            </w:tcBorders>
            <w:shd w:val="clear" w:color="auto" w:fill="auto"/>
            <w:noWrap/>
            <w:vAlign w:val="bottom"/>
            <w:hideMark/>
          </w:tcPr>
          <w:p w:rsidR="0018407B" w:rsidRPr="00136A11" w:rsidRDefault="0018407B" w:rsidP="00C843E2">
            <w:pPr>
              <w:spacing w:after="0" w:line="360" w:lineRule="auto"/>
              <w:rPr>
                <w:rFonts w:ascii="Times New Roman" w:eastAsia="Times New Roman" w:hAnsi="Times New Roman" w:cs="Times New Roman"/>
                <w:b/>
                <w:bCs/>
                <w:color w:val="000000"/>
                <w:sz w:val="24"/>
                <w:szCs w:val="24"/>
                <w:lang w:eastAsia="pt-BR"/>
              </w:rPr>
            </w:pPr>
          </w:p>
        </w:tc>
        <w:tc>
          <w:tcPr>
            <w:tcW w:w="1629" w:type="dxa"/>
            <w:tcBorders>
              <w:top w:val="nil"/>
              <w:left w:val="nil"/>
              <w:bottom w:val="single" w:sz="4" w:space="0" w:color="auto"/>
              <w:right w:val="nil"/>
            </w:tcBorders>
            <w:shd w:val="clear" w:color="auto" w:fill="auto"/>
            <w:noWrap/>
            <w:vAlign w:val="bottom"/>
            <w:hideMark/>
          </w:tcPr>
          <w:p w:rsidR="0018407B" w:rsidRPr="00136A11" w:rsidRDefault="0018407B" w:rsidP="00C97D6A">
            <w:pPr>
              <w:spacing w:after="0" w:line="360" w:lineRule="auto"/>
              <w:jc w:val="center"/>
              <w:rPr>
                <w:rFonts w:ascii="Times New Roman" w:eastAsia="Times New Roman" w:hAnsi="Times New Roman" w:cs="Times New Roman"/>
                <w:b/>
                <w:bCs/>
                <w:color w:val="000000"/>
                <w:sz w:val="24"/>
                <w:szCs w:val="24"/>
                <w:lang w:eastAsia="pt-BR"/>
              </w:rPr>
            </w:pPr>
            <w:r w:rsidRPr="00136A11">
              <w:rPr>
                <w:rFonts w:ascii="Times New Roman" w:eastAsia="Times New Roman" w:hAnsi="Times New Roman" w:cs="Times New Roman"/>
                <w:b/>
                <w:bCs/>
                <w:color w:val="000000"/>
                <w:sz w:val="24"/>
                <w:szCs w:val="24"/>
                <w:lang w:eastAsia="pt-BR"/>
              </w:rPr>
              <w:t>20</w:t>
            </w:r>
            <w:r>
              <w:rPr>
                <w:rFonts w:ascii="Times New Roman" w:eastAsia="Times New Roman" w:hAnsi="Times New Roman" w:cs="Times New Roman"/>
                <w:b/>
                <w:bCs/>
                <w:color w:val="000000"/>
                <w:sz w:val="24"/>
                <w:szCs w:val="24"/>
                <w:lang w:eastAsia="pt-BR"/>
              </w:rPr>
              <w:t>2</w:t>
            </w:r>
            <w:r w:rsidR="00C97D6A">
              <w:rPr>
                <w:rFonts w:ascii="Times New Roman" w:eastAsia="Times New Roman" w:hAnsi="Times New Roman" w:cs="Times New Roman"/>
                <w:b/>
                <w:bCs/>
                <w:color w:val="000000"/>
                <w:sz w:val="24"/>
                <w:szCs w:val="24"/>
                <w:lang w:eastAsia="pt-BR"/>
              </w:rPr>
              <w:t>2</w:t>
            </w:r>
          </w:p>
        </w:tc>
        <w:tc>
          <w:tcPr>
            <w:tcW w:w="748" w:type="dxa"/>
            <w:tcBorders>
              <w:top w:val="nil"/>
              <w:left w:val="nil"/>
              <w:right w:val="nil"/>
            </w:tcBorders>
            <w:shd w:val="clear" w:color="auto" w:fill="auto"/>
            <w:noWrap/>
            <w:vAlign w:val="bottom"/>
            <w:hideMark/>
          </w:tcPr>
          <w:p w:rsidR="0018407B" w:rsidRPr="00136A11" w:rsidRDefault="0018407B" w:rsidP="00C843E2">
            <w:pPr>
              <w:spacing w:after="0" w:line="360" w:lineRule="auto"/>
              <w:rPr>
                <w:rFonts w:ascii="Times New Roman" w:eastAsia="Times New Roman" w:hAnsi="Times New Roman" w:cs="Times New Roman"/>
                <w:b/>
                <w:bCs/>
                <w:color w:val="000000"/>
                <w:sz w:val="24"/>
                <w:szCs w:val="24"/>
                <w:lang w:eastAsia="pt-BR"/>
              </w:rPr>
            </w:pPr>
          </w:p>
        </w:tc>
        <w:tc>
          <w:tcPr>
            <w:tcW w:w="1450" w:type="dxa"/>
            <w:tcBorders>
              <w:top w:val="nil"/>
              <w:left w:val="nil"/>
              <w:bottom w:val="single" w:sz="4" w:space="0" w:color="auto"/>
              <w:right w:val="nil"/>
            </w:tcBorders>
            <w:shd w:val="clear" w:color="auto" w:fill="auto"/>
            <w:noWrap/>
            <w:vAlign w:val="bottom"/>
            <w:hideMark/>
          </w:tcPr>
          <w:p w:rsidR="0018407B" w:rsidRPr="00136A11" w:rsidRDefault="0018407B" w:rsidP="00EA73E7">
            <w:pPr>
              <w:spacing w:after="0" w:line="360" w:lineRule="auto"/>
              <w:jc w:val="center"/>
              <w:rPr>
                <w:rFonts w:ascii="Times New Roman" w:eastAsia="Times New Roman" w:hAnsi="Times New Roman" w:cs="Times New Roman"/>
                <w:b/>
                <w:bCs/>
                <w:color w:val="000000"/>
                <w:sz w:val="24"/>
                <w:szCs w:val="24"/>
                <w:lang w:eastAsia="pt-BR"/>
              </w:rPr>
            </w:pPr>
            <w:r w:rsidRPr="00136A11">
              <w:rPr>
                <w:rFonts w:ascii="Times New Roman" w:eastAsia="Times New Roman" w:hAnsi="Times New Roman" w:cs="Times New Roman"/>
                <w:b/>
                <w:bCs/>
                <w:color w:val="000000"/>
                <w:sz w:val="24"/>
                <w:szCs w:val="24"/>
                <w:lang w:eastAsia="pt-BR"/>
              </w:rPr>
              <w:t>20</w:t>
            </w:r>
            <w:r>
              <w:rPr>
                <w:rFonts w:ascii="Times New Roman" w:eastAsia="Times New Roman" w:hAnsi="Times New Roman" w:cs="Times New Roman"/>
                <w:b/>
                <w:bCs/>
                <w:color w:val="000000"/>
                <w:sz w:val="24"/>
                <w:szCs w:val="24"/>
                <w:lang w:eastAsia="pt-BR"/>
              </w:rPr>
              <w:t>2</w:t>
            </w:r>
            <w:r w:rsidR="00EA73E7">
              <w:rPr>
                <w:rFonts w:ascii="Times New Roman" w:eastAsia="Times New Roman" w:hAnsi="Times New Roman" w:cs="Times New Roman"/>
                <w:b/>
                <w:bCs/>
                <w:color w:val="000000"/>
                <w:sz w:val="24"/>
                <w:szCs w:val="24"/>
                <w:lang w:eastAsia="pt-BR"/>
              </w:rPr>
              <w:t>1</w:t>
            </w:r>
          </w:p>
        </w:tc>
      </w:tr>
      <w:tr w:rsidR="0018407B" w:rsidRPr="00136A11" w:rsidTr="00C843E2">
        <w:trPr>
          <w:trHeight w:val="207"/>
        </w:trPr>
        <w:tc>
          <w:tcPr>
            <w:tcW w:w="4623" w:type="dxa"/>
            <w:gridSpan w:val="4"/>
            <w:tcBorders>
              <w:top w:val="nil"/>
              <w:left w:val="nil"/>
              <w:bottom w:val="nil"/>
              <w:right w:val="nil"/>
            </w:tcBorders>
            <w:shd w:val="clear" w:color="auto" w:fill="auto"/>
            <w:noWrap/>
            <w:vAlign w:val="bottom"/>
            <w:hideMark/>
          </w:tcPr>
          <w:p w:rsidR="0018407B" w:rsidRPr="00136A11" w:rsidRDefault="0018407B" w:rsidP="00C843E2">
            <w:pPr>
              <w:spacing w:after="0" w:line="36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Superávit ou Déficit do Exercício</w:t>
            </w:r>
          </w:p>
        </w:tc>
        <w:tc>
          <w:tcPr>
            <w:tcW w:w="1629" w:type="dxa"/>
            <w:tcBorders>
              <w:top w:val="single" w:sz="4" w:space="0" w:color="auto"/>
              <w:left w:val="nil"/>
              <w:right w:val="nil"/>
            </w:tcBorders>
            <w:shd w:val="clear" w:color="auto" w:fill="auto"/>
            <w:noWrap/>
            <w:vAlign w:val="bottom"/>
            <w:hideMark/>
          </w:tcPr>
          <w:p w:rsidR="0018407B" w:rsidRPr="00136A11" w:rsidRDefault="0018407B" w:rsidP="00EA73E7">
            <w:pPr>
              <w:spacing w:after="0" w:line="36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EA73E7">
              <w:rPr>
                <w:rFonts w:ascii="Times New Roman" w:eastAsia="Times New Roman" w:hAnsi="Times New Roman" w:cs="Times New Roman"/>
                <w:color w:val="000000"/>
                <w:sz w:val="24"/>
                <w:szCs w:val="24"/>
                <w:lang w:eastAsia="pt-BR"/>
              </w:rPr>
              <w:t>10</w:t>
            </w:r>
            <w:r>
              <w:rPr>
                <w:rFonts w:ascii="Times New Roman" w:eastAsia="Times New Roman" w:hAnsi="Times New Roman" w:cs="Times New Roman"/>
                <w:color w:val="000000"/>
                <w:sz w:val="24"/>
                <w:szCs w:val="24"/>
                <w:lang w:eastAsia="pt-BR"/>
              </w:rPr>
              <w:t>.</w:t>
            </w:r>
            <w:r w:rsidR="00EA73E7">
              <w:rPr>
                <w:rFonts w:ascii="Times New Roman" w:eastAsia="Times New Roman" w:hAnsi="Times New Roman" w:cs="Times New Roman"/>
                <w:color w:val="000000"/>
                <w:sz w:val="24"/>
                <w:szCs w:val="24"/>
                <w:lang w:eastAsia="pt-BR"/>
              </w:rPr>
              <w:t>742</w:t>
            </w:r>
            <w:r>
              <w:rPr>
                <w:rFonts w:ascii="Times New Roman" w:eastAsia="Times New Roman" w:hAnsi="Times New Roman" w:cs="Times New Roman"/>
                <w:color w:val="000000"/>
                <w:sz w:val="24"/>
                <w:szCs w:val="24"/>
                <w:lang w:eastAsia="pt-BR"/>
              </w:rPr>
              <w:t>.</w:t>
            </w:r>
            <w:r w:rsidR="00EA73E7">
              <w:rPr>
                <w:rFonts w:ascii="Times New Roman" w:eastAsia="Times New Roman" w:hAnsi="Times New Roman" w:cs="Times New Roman"/>
                <w:color w:val="000000"/>
                <w:sz w:val="24"/>
                <w:szCs w:val="24"/>
                <w:lang w:eastAsia="pt-BR"/>
              </w:rPr>
              <w:t>858</w:t>
            </w:r>
          </w:p>
        </w:tc>
        <w:tc>
          <w:tcPr>
            <w:tcW w:w="748" w:type="dxa"/>
            <w:tcBorders>
              <w:top w:val="nil"/>
              <w:left w:val="nil"/>
              <w:right w:val="nil"/>
            </w:tcBorders>
            <w:shd w:val="clear" w:color="auto" w:fill="auto"/>
            <w:noWrap/>
            <w:vAlign w:val="bottom"/>
            <w:hideMark/>
          </w:tcPr>
          <w:p w:rsidR="0018407B" w:rsidRPr="00136A11" w:rsidRDefault="0018407B" w:rsidP="00C843E2">
            <w:pPr>
              <w:spacing w:after="0" w:line="360" w:lineRule="auto"/>
              <w:rPr>
                <w:rFonts w:ascii="Times New Roman" w:eastAsia="Times New Roman" w:hAnsi="Times New Roman" w:cs="Times New Roman"/>
                <w:color w:val="000000"/>
                <w:sz w:val="24"/>
                <w:szCs w:val="24"/>
                <w:lang w:eastAsia="pt-BR"/>
              </w:rPr>
            </w:pPr>
          </w:p>
        </w:tc>
        <w:tc>
          <w:tcPr>
            <w:tcW w:w="1450" w:type="dxa"/>
            <w:tcBorders>
              <w:top w:val="single" w:sz="4" w:space="0" w:color="auto"/>
              <w:left w:val="nil"/>
              <w:right w:val="nil"/>
            </w:tcBorders>
            <w:shd w:val="clear" w:color="auto" w:fill="auto"/>
            <w:noWrap/>
            <w:vAlign w:val="bottom"/>
          </w:tcPr>
          <w:p w:rsidR="0018407B" w:rsidRPr="00136A11" w:rsidRDefault="00EA58B3" w:rsidP="00C843E2">
            <w:pPr>
              <w:spacing w:after="0" w:line="36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9.441.442</w:t>
            </w:r>
          </w:p>
        </w:tc>
      </w:tr>
      <w:tr w:rsidR="0018407B" w:rsidRPr="00136A11" w:rsidTr="00C843E2">
        <w:trPr>
          <w:trHeight w:val="315"/>
        </w:trPr>
        <w:tc>
          <w:tcPr>
            <w:tcW w:w="4623" w:type="dxa"/>
            <w:gridSpan w:val="4"/>
            <w:tcBorders>
              <w:top w:val="nil"/>
              <w:left w:val="nil"/>
              <w:bottom w:val="nil"/>
              <w:right w:val="nil"/>
            </w:tcBorders>
            <w:shd w:val="clear" w:color="auto" w:fill="auto"/>
            <w:noWrap/>
            <w:vAlign w:val="bottom"/>
            <w:hideMark/>
          </w:tcPr>
          <w:p w:rsidR="0018407B" w:rsidRDefault="0018407B" w:rsidP="00C843E2">
            <w:pPr>
              <w:spacing w:after="0" w:line="240" w:lineRule="auto"/>
              <w:rPr>
                <w:rFonts w:ascii="Times New Roman" w:eastAsia="Times New Roman" w:hAnsi="Times New Roman" w:cs="Times New Roman"/>
                <w:color w:val="000000"/>
                <w:sz w:val="24"/>
                <w:szCs w:val="24"/>
                <w:lang w:eastAsia="pt-BR"/>
              </w:rPr>
            </w:pPr>
            <w:r w:rsidRPr="00C222F1">
              <w:rPr>
                <w:rFonts w:ascii="Times New Roman" w:eastAsia="Times New Roman" w:hAnsi="Times New Roman" w:cs="Times New Roman"/>
                <w:color w:val="000000"/>
                <w:sz w:val="24"/>
                <w:szCs w:val="24"/>
                <w:lang w:eastAsia="pt-BR"/>
              </w:rPr>
              <w:t>Superávit ou Déficit Acumulado</w:t>
            </w:r>
            <w:r>
              <w:rPr>
                <w:rFonts w:ascii="Times New Roman" w:eastAsia="Times New Roman" w:hAnsi="Times New Roman" w:cs="Times New Roman"/>
                <w:color w:val="000000"/>
                <w:sz w:val="24"/>
                <w:szCs w:val="24"/>
                <w:lang w:eastAsia="pt-BR"/>
              </w:rPr>
              <w:t>s</w:t>
            </w:r>
            <w:r w:rsidRPr="00C222F1">
              <w:rPr>
                <w:rFonts w:ascii="Times New Roman" w:eastAsia="Times New Roman" w:hAnsi="Times New Roman" w:cs="Times New Roman"/>
                <w:color w:val="000000"/>
                <w:sz w:val="24"/>
                <w:szCs w:val="24"/>
                <w:lang w:eastAsia="pt-BR"/>
              </w:rPr>
              <w:t xml:space="preserve"> de Exercícios Anteriores</w:t>
            </w:r>
          </w:p>
          <w:p w:rsidR="0018407B" w:rsidRPr="00136A11" w:rsidRDefault="0018407B" w:rsidP="00C843E2">
            <w:pPr>
              <w:spacing w:after="0" w:line="240" w:lineRule="auto"/>
              <w:rPr>
                <w:rFonts w:ascii="Times New Roman" w:eastAsia="Times New Roman" w:hAnsi="Times New Roman" w:cs="Times New Roman"/>
                <w:color w:val="000000"/>
                <w:sz w:val="24"/>
                <w:szCs w:val="24"/>
                <w:lang w:eastAsia="pt-BR"/>
              </w:rPr>
            </w:pPr>
          </w:p>
        </w:tc>
        <w:tc>
          <w:tcPr>
            <w:tcW w:w="1629" w:type="dxa"/>
            <w:tcBorders>
              <w:left w:val="nil"/>
              <w:right w:val="nil"/>
            </w:tcBorders>
            <w:shd w:val="clear" w:color="auto" w:fill="auto"/>
            <w:noWrap/>
            <w:vAlign w:val="center"/>
            <w:hideMark/>
          </w:tcPr>
          <w:p w:rsidR="0018407B" w:rsidRPr="00136A11" w:rsidRDefault="00EA73E7" w:rsidP="00EA73E7">
            <w:pPr>
              <w:spacing w:after="0" w:line="36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56</w:t>
            </w:r>
            <w:r w:rsidR="0018407B">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258</w:t>
            </w:r>
            <w:r w:rsidR="0018407B">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889</w:t>
            </w:r>
          </w:p>
        </w:tc>
        <w:tc>
          <w:tcPr>
            <w:tcW w:w="748" w:type="dxa"/>
            <w:tcBorders>
              <w:left w:val="nil"/>
              <w:right w:val="nil"/>
            </w:tcBorders>
            <w:shd w:val="clear" w:color="auto" w:fill="auto"/>
            <w:noWrap/>
            <w:vAlign w:val="bottom"/>
            <w:hideMark/>
          </w:tcPr>
          <w:p w:rsidR="0018407B" w:rsidRPr="00136A11" w:rsidRDefault="0018407B" w:rsidP="00C843E2">
            <w:pPr>
              <w:spacing w:after="0" w:line="360" w:lineRule="auto"/>
              <w:jc w:val="center"/>
              <w:rPr>
                <w:rFonts w:ascii="Times New Roman" w:eastAsia="Times New Roman" w:hAnsi="Times New Roman" w:cs="Times New Roman"/>
                <w:color w:val="000000"/>
                <w:sz w:val="24"/>
                <w:szCs w:val="24"/>
                <w:lang w:eastAsia="pt-BR"/>
              </w:rPr>
            </w:pPr>
          </w:p>
        </w:tc>
        <w:tc>
          <w:tcPr>
            <w:tcW w:w="1450" w:type="dxa"/>
            <w:tcBorders>
              <w:left w:val="nil"/>
              <w:right w:val="nil"/>
            </w:tcBorders>
            <w:shd w:val="clear" w:color="auto" w:fill="auto"/>
            <w:noWrap/>
            <w:vAlign w:val="center"/>
          </w:tcPr>
          <w:p w:rsidR="0018407B" w:rsidRPr="00136A11" w:rsidRDefault="00EA73E7" w:rsidP="00C843E2">
            <w:pPr>
              <w:spacing w:after="0" w:line="36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46.817.447</w:t>
            </w:r>
          </w:p>
        </w:tc>
      </w:tr>
      <w:tr w:rsidR="0018407B" w:rsidRPr="00125DD6" w:rsidTr="00C843E2">
        <w:trPr>
          <w:trHeight w:val="315"/>
        </w:trPr>
        <w:tc>
          <w:tcPr>
            <w:tcW w:w="4623" w:type="dxa"/>
            <w:gridSpan w:val="4"/>
            <w:tcBorders>
              <w:top w:val="nil"/>
              <w:left w:val="nil"/>
              <w:bottom w:val="nil"/>
              <w:right w:val="nil"/>
            </w:tcBorders>
            <w:shd w:val="clear" w:color="auto" w:fill="auto"/>
            <w:noWrap/>
            <w:vAlign w:val="bottom"/>
          </w:tcPr>
          <w:p w:rsidR="0018407B" w:rsidRPr="00C222F1" w:rsidRDefault="0018407B" w:rsidP="00C843E2">
            <w:pPr>
              <w:spacing w:after="0" w:line="36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bCs/>
                <w:color w:val="000000"/>
                <w:sz w:val="24"/>
                <w:szCs w:val="24"/>
                <w:lang w:eastAsia="pt-BR"/>
              </w:rPr>
              <w:t>Patrimônio Líquido</w:t>
            </w:r>
            <w:r w:rsidR="00EA73E7">
              <w:rPr>
                <w:rFonts w:ascii="Times New Roman" w:eastAsia="Times New Roman" w:hAnsi="Times New Roman" w:cs="Times New Roman"/>
                <w:b/>
                <w:bCs/>
                <w:color w:val="000000"/>
                <w:sz w:val="24"/>
                <w:szCs w:val="24"/>
                <w:lang w:eastAsia="pt-BR"/>
              </w:rPr>
              <w:t xml:space="preserve"> </w:t>
            </w:r>
          </w:p>
        </w:tc>
        <w:tc>
          <w:tcPr>
            <w:tcW w:w="1629" w:type="dxa"/>
            <w:tcBorders>
              <w:top w:val="double" w:sz="4" w:space="0" w:color="auto"/>
              <w:left w:val="nil"/>
              <w:bottom w:val="nil"/>
              <w:right w:val="nil"/>
            </w:tcBorders>
            <w:shd w:val="clear" w:color="auto" w:fill="auto"/>
            <w:noWrap/>
            <w:vAlign w:val="bottom"/>
          </w:tcPr>
          <w:p w:rsidR="0018407B" w:rsidRPr="00125DD6" w:rsidRDefault="00EA73E7" w:rsidP="00EA73E7">
            <w:pPr>
              <w:spacing w:after="0" w:line="36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  67</w:t>
            </w:r>
            <w:r w:rsidR="0018407B">
              <w:rPr>
                <w:rFonts w:ascii="Times New Roman" w:eastAsia="Times New Roman" w:hAnsi="Times New Roman" w:cs="Times New Roman"/>
                <w:b/>
                <w:color w:val="000000"/>
                <w:sz w:val="24"/>
                <w:szCs w:val="24"/>
                <w:lang w:eastAsia="pt-BR"/>
              </w:rPr>
              <w:t>.</w:t>
            </w:r>
            <w:r>
              <w:rPr>
                <w:rFonts w:ascii="Times New Roman" w:eastAsia="Times New Roman" w:hAnsi="Times New Roman" w:cs="Times New Roman"/>
                <w:b/>
                <w:color w:val="000000"/>
                <w:sz w:val="24"/>
                <w:szCs w:val="24"/>
                <w:lang w:eastAsia="pt-BR"/>
              </w:rPr>
              <w:t>001</w:t>
            </w:r>
            <w:r w:rsidR="0018407B">
              <w:rPr>
                <w:rFonts w:ascii="Times New Roman" w:eastAsia="Times New Roman" w:hAnsi="Times New Roman" w:cs="Times New Roman"/>
                <w:b/>
                <w:color w:val="000000"/>
                <w:sz w:val="24"/>
                <w:szCs w:val="24"/>
                <w:lang w:eastAsia="pt-BR"/>
              </w:rPr>
              <w:t>.</w:t>
            </w:r>
            <w:r>
              <w:rPr>
                <w:rFonts w:ascii="Times New Roman" w:eastAsia="Times New Roman" w:hAnsi="Times New Roman" w:cs="Times New Roman"/>
                <w:b/>
                <w:color w:val="000000"/>
                <w:sz w:val="24"/>
                <w:szCs w:val="24"/>
                <w:lang w:eastAsia="pt-BR"/>
              </w:rPr>
              <w:t>747</w:t>
            </w:r>
          </w:p>
        </w:tc>
        <w:tc>
          <w:tcPr>
            <w:tcW w:w="748" w:type="dxa"/>
            <w:tcBorders>
              <w:left w:val="nil"/>
              <w:bottom w:val="nil"/>
              <w:right w:val="nil"/>
            </w:tcBorders>
            <w:shd w:val="clear" w:color="auto" w:fill="auto"/>
            <w:noWrap/>
            <w:vAlign w:val="bottom"/>
          </w:tcPr>
          <w:p w:rsidR="0018407B" w:rsidRPr="00125DD6" w:rsidRDefault="0018407B" w:rsidP="00C843E2">
            <w:pPr>
              <w:spacing w:after="0" w:line="360" w:lineRule="auto"/>
              <w:jc w:val="center"/>
              <w:rPr>
                <w:rFonts w:ascii="Times New Roman" w:eastAsia="Times New Roman" w:hAnsi="Times New Roman" w:cs="Times New Roman"/>
                <w:b/>
                <w:color w:val="000000"/>
                <w:sz w:val="24"/>
                <w:szCs w:val="24"/>
                <w:lang w:eastAsia="pt-BR"/>
              </w:rPr>
            </w:pPr>
          </w:p>
        </w:tc>
        <w:tc>
          <w:tcPr>
            <w:tcW w:w="1450" w:type="dxa"/>
            <w:tcBorders>
              <w:top w:val="double" w:sz="4" w:space="0" w:color="auto"/>
              <w:left w:val="nil"/>
              <w:bottom w:val="nil"/>
              <w:right w:val="nil"/>
            </w:tcBorders>
            <w:shd w:val="clear" w:color="auto" w:fill="auto"/>
            <w:noWrap/>
            <w:vAlign w:val="bottom"/>
          </w:tcPr>
          <w:p w:rsidR="0018407B" w:rsidRPr="00125DD6" w:rsidRDefault="00EA73E7" w:rsidP="00C843E2">
            <w:pPr>
              <w:spacing w:after="0" w:line="36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56.258.889</w:t>
            </w:r>
          </w:p>
        </w:tc>
      </w:tr>
      <w:tr w:rsidR="0018407B" w:rsidRPr="00136A11" w:rsidTr="00C843E2">
        <w:trPr>
          <w:trHeight w:val="315"/>
        </w:trPr>
        <w:tc>
          <w:tcPr>
            <w:tcW w:w="960" w:type="dxa"/>
            <w:tcBorders>
              <w:top w:val="nil"/>
              <w:left w:val="nil"/>
              <w:bottom w:val="nil"/>
              <w:right w:val="nil"/>
            </w:tcBorders>
            <w:shd w:val="clear" w:color="auto" w:fill="auto"/>
            <w:noWrap/>
            <w:vAlign w:val="bottom"/>
          </w:tcPr>
          <w:p w:rsidR="0018407B" w:rsidRPr="00136A11" w:rsidRDefault="0018407B" w:rsidP="00C843E2">
            <w:pPr>
              <w:spacing w:after="0" w:line="240" w:lineRule="auto"/>
              <w:rPr>
                <w:rFonts w:ascii="Times New Roman" w:eastAsia="Times New Roman" w:hAnsi="Times New Roman" w:cs="Times New Roman"/>
                <w:b/>
                <w:bCs/>
                <w:color w:val="000000"/>
                <w:sz w:val="24"/>
                <w:szCs w:val="24"/>
                <w:lang w:eastAsia="pt-BR"/>
              </w:rPr>
            </w:pPr>
          </w:p>
        </w:tc>
        <w:tc>
          <w:tcPr>
            <w:tcW w:w="1000" w:type="dxa"/>
            <w:tcBorders>
              <w:top w:val="nil"/>
              <w:left w:val="nil"/>
              <w:bottom w:val="nil"/>
              <w:right w:val="nil"/>
            </w:tcBorders>
            <w:shd w:val="clear" w:color="auto" w:fill="auto"/>
            <w:noWrap/>
            <w:vAlign w:val="bottom"/>
          </w:tcPr>
          <w:p w:rsidR="0018407B" w:rsidRPr="00136A11" w:rsidRDefault="0018407B" w:rsidP="00C843E2">
            <w:pPr>
              <w:spacing w:after="0" w:line="240" w:lineRule="auto"/>
              <w:rPr>
                <w:rFonts w:ascii="Times New Roman" w:eastAsia="Times New Roman" w:hAnsi="Times New Roman" w:cs="Times New Roman"/>
                <w:b/>
                <w:bCs/>
                <w:color w:val="000000"/>
                <w:sz w:val="24"/>
                <w:szCs w:val="24"/>
                <w:lang w:eastAsia="pt-BR"/>
              </w:rPr>
            </w:pPr>
          </w:p>
        </w:tc>
        <w:tc>
          <w:tcPr>
            <w:tcW w:w="960" w:type="dxa"/>
            <w:tcBorders>
              <w:top w:val="nil"/>
              <w:left w:val="nil"/>
              <w:bottom w:val="nil"/>
              <w:right w:val="nil"/>
            </w:tcBorders>
            <w:shd w:val="clear" w:color="auto" w:fill="auto"/>
            <w:noWrap/>
            <w:vAlign w:val="bottom"/>
          </w:tcPr>
          <w:p w:rsidR="0018407B" w:rsidRPr="00136A11" w:rsidRDefault="0018407B" w:rsidP="00C843E2">
            <w:pPr>
              <w:spacing w:after="0" w:line="240" w:lineRule="auto"/>
              <w:rPr>
                <w:rFonts w:ascii="Times New Roman" w:eastAsia="Times New Roman" w:hAnsi="Times New Roman" w:cs="Times New Roman"/>
                <w:b/>
                <w:bCs/>
                <w:color w:val="000000"/>
                <w:sz w:val="24"/>
                <w:szCs w:val="24"/>
                <w:lang w:eastAsia="pt-BR"/>
              </w:rPr>
            </w:pPr>
          </w:p>
        </w:tc>
        <w:tc>
          <w:tcPr>
            <w:tcW w:w="1703" w:type="dxa"/>
            <w:tcBorders>
              <w:top w:val="nil"/>
              <w:left w:val="nil"/>
              <w:bottom w:val="nil"/>
              <w:right w:val="nil"/>
            </w:tcBorders>
            <w:shd w:val="clear" w:color="auto" w:fill="auto"/>
            <w:noWrap/>
            <w:vAlign w:val="bottom"/>
          </w:tcPr>
          <w:p w:rsidR="0018407B" w:rsidRPr="00136A11" w:rsidRDefault="0018407B" w:rsidP="00C843E2">
            <w:pPr>
              <w:spacing w:after="0" w:line="240" w:lineRule="auto"/>
              <w:jc w:val="right"/>
              <w:rPr>
                <w:rFonts w:ascii="Times New Roman" w:eastAsia="Times New Roman" w:hAnsi="Times New Roman" w:cs="Times New Roman"/>
                <w:b/>
                <w:bCs/>
                <w:color w:val="000000"/>
                <w:sz w:val="24"/>
                <w:szCs w:val="24"/>
                <w:lang w:eastAsia="pt-BR"/>
              </w:rPr>
            </w:pPr>
          </w:p>
        </w:tc>
        <w:tc>
          <w:tcPr>
            <w:tcW w:w="1629" w:type="dxa"/>
            <w:tcBorders>
              <w:top w:val="nil"/>
              <w:left w:val="nil"/>
              <w:bottom w:val="nil"/>
              <w:right w:val="nil"/>
            </w:tcBorders>
            <w:shd w:val="clear" w:color="auto" w:fill="auto"/>
            <w:noWrap/>
            <w:vAlign w:val="bottom"/>
          </w:tcPr>
          <w:p w:rsidR="0018407B" w:rsidRPr="00136A11" w:rsidRDefault="0018407B" w:rsidP="00C843E2">
            <w:pPr>
              <w:spacing w:after="0" w:line="240" w:lineRule="auto"/>
              <w:jc w:val="right"/>
              <w:rPr>
                <w:rFonts w:ascii="Times New Roman" w:eastAsia="Times New Roman" w:hAnsi="Times New Roman" w:cs="Times New Roman"/>
                <w:b/>
                <w:bCs/>
                <w:color w:val="000000"/>
                <w:sz w:val="24"/>
                <w:szCs w:val="24"/>
                <w:lang w:eastAsia="pt-BR"/>
              </w:rPr>
            </w:pPr>
          </w:p>
        </w:tc>
        <w:tc>
          <w:tcPr>
            <w:tcW w:w="748" w:type="dxa"/>
            <w:tcBorders>
              <w:top w:val="nil"/>
              <w:left w:val="nil"/>
              <w:bottom w:val="nil"/>
              <w:right w:val="nil"/>
            </w:tcBorders>
            <w:shd w:val="clear" w:color="auto" w:fill="auto"/>
            <w:noWrap/>
            <w:vAlign w:val="bottom"/>
          </w:tcPr>
          <w:p w:rsidR="0018407B" w:rsidRPr="00136A11" w:rsidRDefault="0018407B" w:rsidP="00C843E2">
            <w:pPr>
              <w:spacing w:after="0" w:line="240" w:lineRule="auto"/>
              <w:rPr>
                <w:rFonts w:ascii="Times New Roman" w:eastAsia="Times New Roman" w:hAnsi="Times New Roman" w:cs="Times New Roman"/>
                <w:b/>
                <w:bCs/>
                <w:color w:val="000000"/>
                <w:sz w:val="24"/>
                <w:szCs w:val="24"/>
                <w:lang w:eastAsia="pt-BR"/>
              </w:rPr>
            </w:pPr>
          </w:p>
        </w:tc>
        <w:tc>
          <w:tcPr>
            <w:tcW w:w="1450" w:type="dxa"/>
            <w:tcBorders>
              <w:top w:val="nil"/>
              <w:left w:val="nil"/>
              <w:bottom w:val="nil"/>
              <w:right w:val="nil"/>
            </w:tcBorders>
            <w:shd w:val="clear" w:color="auto" w:fill="auto"/>
            <w:noWrap/>
            <w:vAlign w:val="bottom"/>
          </w:tcPr>
          <w:p w:rsidR="0018407B" w:rsidRPr="00136A11" w:rsidRDefault="0018407B" w:rsidP="00C843E2">
            <w:pPr>
              <w:spacing w:after="0" w:line="240" w:lineRule="auto"/>
              <w:jc w:val="right"/>
              <w:rPr>
                <w:rFonts w:ascii="Times New Roman" w:eastAsia="Times New Roman" w:hAnsi="Times New Roman" w:cs="Times New Roman"/>
                <w:b/>
                <w:bCs/>
                <w:color w:val="000000"/>
                <w:sz w:val="24"/>
                <w:szCs w:val="24"/>
                <w:lang w:eastAsia="pt-BR"/>
              </w:rPr>
            </w:pPr>
          </w:p>
        </w:tc>
      </w:tr>
    </w:tbl>
    <w:p w:rsidR="0018407B" w:rsidRPr="00CE2B53"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xml:space="preserve">Até o Exercício de </w:t>
      </w:r>
      <w:r>
        <w:rPr>
          <w:rFonts w:ascii="Times New Roman" w:eastAsia="Times New Roman" w:hAnsi="Times New Roman" w:cs="Times New Roman"/>
          <w:sz w:val="24"/>
          <w:szCs w:val="24"/>
          <w:lang w:eastAsia="pt-BR"/>
        </w:rPr>
        <w:t>202</w:t>
      </w:r>
      <w:r w:rsidR="00CF3214">
        <w:rPr>
          <w:rFonts w:ascii="Times New Roman" w:eastAsia="Times New Roman" w:hAnsi="Times New Roman" w:cs="Times New Roman"/>
          <w:sz w:val="24"/>
          <w:szCs w:val="24"/>
          <w:lang w:eastAsia="pt-BR"/>
        </w:rPr>
        <w:t>2</w:t>
      </w:r>
      <w:r w:rsidRPr="00CE2B53">
        <w:rPr>
          <w:rFonts w:ascii="Times New Roman" w:eastAsia="Times New Roman" w:hAnsi="Times New Roman" w:cs="Times New Roman"/>
          <w:sz w:val="24"/>
          <w:szCs w:val="24"/>
          <w:lang w:eastAsia="pt-BR"/>
        </w:rPr>
        <w:t>, o Conselho de Arquitetura e Urbanismo do Brasil apresentou um Superávit Acumulado no valor de R$</w:t>
      </w:r>
      <w:r>
        <w:rPr>
          <w:rFonts w:ascii="Times New Roman" w:eastAsia="Times New Roman" w:hAnsi="Times New Roman" w:cs="Times New Roman"/>
          <w:sz w:val="24"/>
          <w:szCs w:val="24"/>
          <w:lang w:eastAsia="pt-BR"/>
        </w:rPr>
        <w:t xml:space="preserve"> 6</w:t>
      </w:r>
      <w:r w:rsidR="00CF3214">
        <w:rPr>
          <w:rFonts w:ascii="Times New Roman" w:eastAsia="Times New Roman" w:hAnsi="Times New Roman" w:cs="Times New Roman"/>
          <w:sz w:val="24"/>
          <w:szCs w:val="24"/>
          <w:lang w:eastAsia="pt-BR"/>
        </w:rPr>
        <w:t>7</w:t>
      </w:r>
      <w:r>
        <w:rPr>
          <w:rFonts w:ascii="Times New Roman" w:eastAsia="Times New Roman" w:hAnsi="Times New Roman" w:cs="Times New Roman"/>
          <w:sz w:val="24"/>
          <w:szCs w:val="24"/>
          <w:lang w:eastAsia="pt-BR"/>
        </w:rPr>
        <w:t>.</w:t>
      </w:r>
      <w:r w:rsidR="00CF3214">
        <w:rPr>
          <w:rFonts w:ascii="Times New Roman" w:eastAsia="Times New Roman" w:hAnsi="Times New Roman" w:cs="Times New Roman"/>
          <w:sz w:val="24"/>
          <w:szCs w:val="24"/>
          <w:lang w:eastAsia="pt-BR"/>
        </w:rPr>
        <w:t>001</w:t>
      </w:r>
      <w:r>
        <w:rPr>
          <w:rFonts w:ascii="Times New Roman" w:eastAsia="Times New Roman" w:hAnsi="Times New Roman" w:cs="Times New Roman"/>
          <w:sz w:val="24"/>
          <w:szCs w:val="24"/>
          <w:lang w:eastAsia="pt-BR"/>
        </w:rPr>
        <w:t>.</w:t>
      </w:r>
      <w:r w:rsidR="00CF3214">
        <w:rPr>
          <w:rFonts w:ascii="Times New Roman" w:eastAsia="Times New Roman" w:hAnsi="Times New Roman" w:cs="Times New Roman"/>
          <w:sz w:val="24"/>
          <w:szCs w:val="24"/>
          <w:lang w:eastAsia="pt-BR"/>
        </w:rPr>
        <w:t>747</w:t>
      </w:r>
      <w:r w:rsidRPr="00CE2B53">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cinquenta e seis milhões, duzentos e cinquenta e oito mil, oitocentos e oitenta e nove reais</w:t>
      </w:r>
      <w:r w:rsidRPr="00CE2B53">
        <w:rPr>
          <w:rFonts w:ascii="Times New Roman" w:eastAsia="Times New Roman" w:hAnsi="Times New Roman" w:cs="Times New Roman"/>
          <w:sz w:val="24"/>
          <w:szCs w:val="24"/>
          <w:lang w:eastAsia="pt-BR"/>
        </w:rPr>
        <w:t>).</w:t>
      </w:r>
    </w:p>
    <w:p w:rsidR="0018407B" w:rsidRDefault="0018407B" w:rsidP="0018407B">
      <w:pPr>
        <w:spacing w:after="0" w:line="240" w:lineRule="auto"/>
        <w:jc w:val="both"/>
        <w:rPr>
          <w:rFonts w:ascii="Times New Roman" w:eastAsia="Times New Roman" w:hAnsi="Times New Roman" w:cs="Times New Roman"/>
          <w:sz w:val="24"/>
          <w:szCs w:val="24"/>
          <w:lang w:eastAsia="pt-BR"/>
        </w:rPr>
      </w:pPr>
    </w:p>
    <w:p w:rsidR="0018407B"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xml:space="preserve">O Patrimônio </w:t>
      </w:r>
      <w:r>
        <w:rPr>
          <w:rFonts w:ascii="Times New Roman" w:eastAsia="Times New Roman" w:hAnsi="Times New Roman" w:cs="Times New Roman"/>
          <w:sz w:val="24"/>
          <w:szCs w:val="24"/>
          <w:lang w:eastAsia="pt-BR"/>
        </w:rPr>
        <w:t xml:space="preserve">Líquido teve um acréscimo de R$ </w:t>
      </w:r>
      <w:r w:rsidR="00CF3214">
        <w:rPr>
          <w:rFonts w:ascii="Times New Roman" w:eastAsia="Times New Roman" w:hAnsi="Times New Roman" w:cs="Times New Roman"/>
          <w:sz w:val="24"/>
          <w:szCs w:val="24"/>
          <w:lang w:eastAsia="pt-BR"/>
        </w:rPr>
        <w:t>10</w:t>
      </w:r>
      <w:r>
        <w:rPr>
          <w:rFonts w:ascii="Times New Roman" w:eastAsia="Times New Roman" w:hAnsi="Times New Roman" w:cs="Times New Roman"/>
          <w:sz w:val="24"/>
          <w:szCs w:val="24"/>
          <w:lang w:eastAsia="pt-BR"/>
        </w:rPr>
        <w:t>.</w:t>
      </w:r>
      <w:r w:rsidR="00CF3214">
        <w:rPr>
          <w:rFonts w:ascii="Times New Roman" w:eastAsia="Times New Roman" w:hAnsi="Times New Roman" w:cs="Times New Roman"/>
          <w:sz w:val="24"/>
          <w:szCs w:val="24"/>
          <w:lang w:eastAsia="pt-BR"/>
        </w:rPr>
        <w:t>742</w:t>
      </w:r>
      <w:r>
        <w:rPr>
          <w:rFonts w:ascii="Times New Roman" w:eastAsia="Times New Roman" w:hAnsi="Times New Roman" w:cs="Times New Roman"/>
          <w:sz w:val="24"/>
          <w:szCs w:val="24"/>
          <w:lang w:eastAsia="pt-BR"/>
        </w:rPr>
        <w:t>.</w:t>
      </w:r>
      <w:r w:rsidR="00CF3214">
        <w:rPr>
          <w:rFonts w:ascii="Times New Roman" w:eastAsia="Times New Roman" w:hAnsi="Times New Roman" w:cs="Times New Roman"/>
          <w:sz w:val="24"/>
          <w:szCs w:val="24"/>
          <w:lang w:eastAsia="pt-BR"/>
        </w:rPr>
        <w:t xml:space="preserve">858 </w:t>
      </w:r>
      <w:r w:rsidRPr="00CE2B53">
        <w:rPr>
          <w:rFonts w:ascii="Times New Roman" w:eastAsia="Times New Roman" w:hAnsi="Times New Roman" w:cs="Times New Roman"/>
          <w:sz w:val="24"/>
          <w:szCs w:val="24"/>
          <w:lang w:eastAsia="pt-BR"/>
        </w:rPr>
        <w:t>(</w:t>
      </w:r>
      <w:r w:rsidR="00CF3214">
        <w:rPr>
          <w:rFonts w:ascii="Times New Roman" w:eastAsia="Times New Roman" w:hAnsi="Times New Roman" w:cs="Times New Roman"/>
          <w:sz w:val="24"/>
          <w:szCs w:val="24"/>
          <w:lang w:eastAsia="pt-BR"/>
        </w:rPr>
        <w:t xml:space="preserve">dez </w:t>
      </w:r>
      <w:r>
        <w:rPr>
          <w:rFonts w:ascii="Times New Roman" w:eastAsia="Times New Roman" w:hAnsi="Times New Roman" w:cs="Times New Roman"/>
          <w:sz w:val="24"/>
          <w:szCs w:val="24"/>
          <w:lang w:eastAsia="pt-BR"/>
        </w:rPr>
        <w:t xml:space="preserve">milhões, </w:t>
      </w:r>
      <w:r w:rsidR="00CF3214">
        <w:rPr>
          <w:rFonts w:ascii="Times New Roman" w:eastAsia="Times New Roman" w:hAnsi="Times New Roman" w:cs="Times New Roman"/>
          <w:sz w:val="24"/>
          <w:szCs w:val="24"/>
          <w:lang w:eastAsia="pt-BR"/>
        </w:rPr>
        <w:t xml:space="preserve">setecentos </w:t>
      </w:r>
      <w:r>
        <w:rPr>
          <w:rFonts w:ascii="Times New Roman" w:eastAsia="Times New Roman" w:hAnsi="Times New Roman" w:cs="Times New Roman"/>
          <w:sz w:val="24"/>
          <w:szCs w:val="24"/>
          <w:lang w:eastAsia="pt-BR"/>
        </w:rPr>
        <w:t xml:space="preserve">e quarenta e </w:t>
      </w:r>
      <w:r w:rsidR="00CF3214">
        <w:rPr>
          <w:rFonts w:ascii="Times New Roman" w:eastAsia="Times New Roman" w:hAnsi="Times New Roman" w:cs="Times New Roman"/>
          <w:sz w:val="24"/>
          <w:szCs w:val="24"/>
          <w:lang w:eastAsia="pt-BR"/>
        </w:rPr>
        <w:t xml:space="preserve">dois </w:t>
      </w:r>
      <w:r>
        <w:rPr>
          <w:rFonts w:ascii="Times New Roman" w:eastAsia="Times New Roman" w:hAnsi="Times New Roman" w:cs="Times New Roman"/>
          <w:sz w:val="24"/>
          <w:szCs w:val="24"/>
          <w:lang w:eastAsia="pt-BR"/>
        </w:rPr>
        <w:t xml:space="preserve">mil, </w:t>
      </w:r>
      <w:r w:rsidR="00CF3214">
        <w:rPr>
          <w:rFonts w:ascii="Times New Roman" w:eastAsia="Times New Roman" w:hAnsi="Times New Roman" w:cs="Times New Roman"/>
          <w:sz w:val="24"/>
          <w:szCs w:val="24"/>
          <w:lang w:eastAsia="pt-BR"/>
        </w:rPr>
        <w:t xml:space="preserve">oitocentos </w:t>
      </w:r>
      <w:r>
        <w:rPr>
          <w:rFonts w:ascii="Times New Roman" w:eastAsia="Times New Roman" w:hAnsi="Times New Roman" w:cs="Times New Roman"/>
          <w:sz w:val="24"/>
          <w:szCs w:val="24"/>
          <w:lang w:eastAsia="pt-BR"/>
        </w:rPr>
        <w:t xml:space="preserve">e </w:t>
      </w:r>
      <w:r w:rsidR="00CF3214">
        <w:rPr>
          <w:rFonts w:ascii="Times New Roman" w:eastAsia="Times New Roman" w:hAnsi="Times New Roman" w:cs="Times New Roman"/>
          <w:sz w:val="24"/>
          <w:szCs w:val="24"/>
          <w:lang w:eastAsia="pt-BR"/>
        </w:rPr>
        <w:t xml:space="preserve">cinquenta </w:t>
      </w:r>
      <w:r>
        <w:rPr>
          <w:rFonts w:ascii="Times New Roman" w:eastAsia="Times New Roman" w:hAnsi="Times New Roman" w:cs="Times New Roman"/>
          <w:sz w:val="24"/>
          <w:szCs w:val="24"/>
          <w:lang w:eastAsia="pt-BR"/>
        </w:rPr>
        <w:t xml:space="preserve">e </w:t>
      </w:r>
      <w:r w:rsidR="00CF3214">
        <w:rPr>
          <w:rFonts w:ascii="Times New Roman" w:eastAsia="Times New Roman" w:hAnsi="Times New Roman" w:cs="Times New Roman"/>
          <w:sz w:val="24"/>
          <w:szCs w:val="24"/>
          <w:lang w:eastAsia="pt-BR"/>
        </w:rPr>
        <w:t>oito r</w:t>
      </w:r>
      <w:r>
        <w:rPr>
          <w:rFonts w:ascii="Times New Roman" w:eastAsia="Times New Roman" w:hAnsi="Times New Roman" w:cs="Times New Roman"/>
          <w:sz w:val="24"/>
          <w:szCs w:val="24"/>
          <w:lang w:eastAsia="pt-BR"/>
        </w:rPr>
        <w:t>eais</w:t>
      </w:r>
      <w:r w:rsidRPr="00CE2B53">
        <w:rPr>
          <w:rFonts w:ascii="Times New Roman" w:eastAsia="Times New Roman" w:hAnsi="Times New Roman" w:cs="Times New Roman"/>
          <w:sz w:val="24"/>
          <w:szCs w:val="24"/>
          <w:lang w:eastAsia="pt-BR"/>
        </w:rPr>
        <w:t xml:space="preserve">), correspondente ao superávit patrimonial do exercício de </w:t>
      </w:r>
      <w:r>
        <w:rPr>
          <w:rFonts w:ascii="Times New Roman" w:eastAsia="Times New Roman" w:hAnsi="Times New Roman" w:cs="Times New Roman"/>
          <w:sz w:val="24"/>
          <w:szCs w:val="24"/>
          <w:lang w:eastAsia="pt-BR"/>
        </w:rPr>
        <w:t>202</w:t>
      </w:r>
      <w:r w:rsidR="00CF3214">
        <w:rPr>
          <w:rFonts w:ascii="Times New Roman" w:eastAsia="Times New Roman" w:hAnsi="Times New Roman" w:cs="Times New Roman"/>
          <w:sz w:val="24"/>
          <w:szCs w:val="24"/>
          <w:lang w:eastAsia="pt-BR"/>
        </w:rPr>
        <w:t>2</w:t>
      </w:r>
      <w:r w:rsidRPr="00CE2B53">
        <w:rPr>
          <w:rFonts w:ascii="Times New Roman" w:eastAsia="Times New Roman" w:hAnsi="Times New Roman" w:cs="Times New Roman"/>
          <w:sz w:val="24"/>
          <w:szCs w:val="24"/>
          <w:lang w:eastAsia="pt-BR"/>
        </w:rPr>
        <w:t>.</w:t>
      </w:r>
    </w:p>
    <w:p w:rsidR="0018407B" w:rsidRDefault="0018407B" w:rsidP="0018407B">
      <w:pPr>
        <w:spacing w:after="0" w:line="240" w:lineRule="auto"/>
        <w:jc w:val="both"/>
        <w:rPr>
          <w:rFonts w:ascii="Times New Roman" w:eastAsia="Times New Roman" w:hAnsi="Times New Roman" w:cs="Times New Roman"/>
          <w:sz w:val="24"/>
          <w:szCs w:val="24"/>
          <w:lang w:eastAsia="pt-BR"/>
        </w:rPr>
      </w:pPr>
    </w:p>
    <w:p w:rsidR="0018407B" w:rsidRDefault="0018407B" w:rsidP="0018407B">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18</w:t>
      </w:r>
      <w:r w:rsidRPr="00967CFC">
        <w:rPr>
          <w:rFonts w:ascii="Times New Roman" w:eastAsia="Times New Roman" w:hAnsi="Times New Roman" w:cs="Times New Roman"/>
          <w:b/>
          <w:sz w:val="24"/>
          <w:szCs w:val="24"/>
          <w:lang w:eastAsia="pt-BR"/>
        </w:rPr>
        <w:t>.  Partes relacionadas</w:t>
      </w:r>
    </w:p>
    <w:p w:rsidR="0018407B" w:rsidRPr="00967CFC" w:rsidRDefault="0018407B" w:rsidP="0018407B">
      <w:pPr>
        <w:spacing w:after="0" w:line="240" w:lineRule="auto"/>
        <w:jc w:val="both"/>
        <w:rPr>
          <w:rFonts w:ascii="Times New Roman" w:eastAsia="Times New Roman" w:hAnsi="Times New Roman" w:cs="Times New Roman"/>
          <w:b/>
          <w:sz w:val="24"/>
          <w:szCs w:val="24"/>
          <w:lang w:eastAsia="pt-BR"/>
        </w:rPr>
      </w:pPr>
    </w:p>
    <w:p w:rsidR="0018407B"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xml:space="preserve"> A entidade em </w:t>
      </w:r>
      <w:r>
        <w:rPr>
          <w:rFonts w:ascii="Times New Roman" w:eastAsia="Times New Roman" w:hAnsi="Times New Roman" w:cs="Times New Roman"/>
          <w:sz w:val="24"/>
          <w:szCs w:val="24"/>
          <w:lang w:eastAsia="pt-BR"/>
        </w:rPr>
        <w:t>31 de dezembro de 202</w:t>
      </w:r>
      <w:r w:rsidR="0083681D">
        <w:rPr>
          <w:rFonts w:ascii="Times New Roman" w:eastAsia="Times New Roman" w:hAnsi="Times New Roman" w:cs="Times New Roman"/>
          <w:sz w:val="24"/>
          <w:szCs w:val="24"/>
          <w:lang w:eastAsia="pt-BR"/>
        </w:rPr>
        <w:t>2</w:t>
      </w:r>
      <w:r w:rsidRPr="00CE2B53">
        <w:rPr>
          <w:rFonts w:ascii="Times New Roman" w:eastAsia="Times New Roman" w:hAnsi="Times New Roman" w:cs="Times New Roman"/>
          <w:sz w:val="24"/>
          <w:szCs w:val="24"/>
          <w:lang w:eastAsia="pt-BR"/>
        </w:rPr>
        <w:t xml:space="preserve"> não possui coligadas, controladas ou subsidiárias integrais, </w:t>
      </w:r>
      <w:r>
        <w:rPr>
          <w:rFonts w:ascii="Times New Roman" w:eastAsia="Times New Roman" w:hAnsi="Times New Roman" w:cs="Times New Roman"/>
          <w:sz w:val="24"/>
          <w:szCs w:val="24"/>
          <w:lang w:eastAsia="pt-BR"/>
        </w:rPr>
        <w:t>portanto</w:t>
      </w:r>
      <w:r w:rsidRPr="00CE2B53">
        <w:rPr>
          <w:rFonts w:ascii="Times New Roman" w:eastAsia="Times New Roman" w:hAnsi="Times New Roman" w:cs="Times New Roman"/>
          <w:sz w:val="24"/>
          <w:szCs w:val="24"/>
          <w:lang w:eastAsia="pt-BR"/>
        </w:rPr>
        <w:t xml:space="preserve"> não há transações com partes relacionadas dessa natureza.</w:t>
      </w:r>
    </w:p>
    <w:p w:rsidR="0018407B" w:rsidRDefault="0018407B" w:rsidP="0018407B">
      <w:pPr>
        <w:spacing w:after="0" w:line="240" w:lineRule="auto"/>
        <w:jc w:val="both"/>
        <w:rPr>
          <w:rFonts w:ascii="Times New Roman" w:eastAsia="Times New Roman" w:hAnsi="Times New Roman" w:cs="Times New Roman"/>
          <w:sz w:val="24"/>
          <w:szCs w:val="24"/>
          <w:lang w:eastAsia="pt-BR"/>
        </w:rPr>
      </w:pPr>
    </w:p>
    <w:p w:rsidR="0018407B"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Não há qualquer remuneração ou contraprestação aos Conselheiros e Dirigentes do CAU/BR, tratando-se de cargos honoríficos, em conformidade com o artigo 40, da Lei nº 12.378/2010.</w:t>
      </w:r>
    </w:p>
    <w:p w:rsidR="0018407B" w:rsidRPr="00CE2B53" w:rsidRDefault="0018407B" w:rsidP="0018407B">
      <w:pPr>
        <w:spacing w:after="0" w:line="240" w:lineRule="auto"/>
        <w:jc w:val="both"/>
        <w:rPr>
          <w:rFonts w:ascii="Times New Roman" w:eastAsia="Times New Roman" w:hAnsi="Times New Roman" w:cs="Times New Roman"/>
          <w:sz w:val="24"/>
          <w:szCs w:val="24"/>
          <w:lang w:eastAsia="pt-BR"/>
        </w:rPr>
      </w:pPr>
    </w:p>
    <w:p w:rsidR="0018407B" w:rsidRPr="00EC1D90" w:rsidRDefault="0018407B" w:rsidP="0018407B">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19</w:t>
      </w:r>
      <w:r w:rsidRPr="00EC1D90">
        <w:rPr>
          <w:rFonts w:ascii="Times New Roman" w:eastAsia="Times New Roman" w:hAnsi="Times New Roman" w:cs="Times New Roman"/>
          <w:b/>
          <w:sz w:val="24"/>
          <w:szCs w:val="24"/>
          <w:lang w:eastAsia="pt-BR"/>
        </w:rPr>
        <w:t>.</w:t>
      </w:r>
      <w:r>
        <w:rPr>
          <w:rFonts w:ascii="Times New Roman" w:eastAsia="Times New Roman" w:hAnsi="Times New Roman" w:cs="Times New Roman"/>
          <w:b/>
          <w:sz w:val="24"/>
          <w:szCs w:val="24"/>
          <w:lang w:eastAsia="pt-BR"/>
        </w:rPr>
        <w:t xml:space="preserve"> Resultado Patrimonial</w:t>
      </w:r>
    </w:p>
    <w:p w:rsidR="0018407B" w:rsidRDefault="0018407B" w:rsidP="0018407B">
      <w:pPr>
        <w:spacing w:after="0" w:line="240" w:lineRule="auto"/>
        <w:jc w:val="both"/>
        <w:rPr>
          <w:rFonts w:ascii="Times New Roman" w:eastAsia="Times New Roman" w:hAnsi="Times New Roman" w:cs="Times New Roman"/>
          <w:sz w:val="24"/>
          <w:szCs w:val="24"/>
          <w:lang w:eastAsia="pt-BR"/>
        </w:rPr>
      </w:pPr>
    </w:p>
    <w:p w:rsidR="0018407B" w:rsidRPr="00CE2B53"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xml:space="preserve">O Conselho de Arquitetura e Urbanismo do Brasil – CAU BR apresentou no exercício de </w:t>
      </w:r>
      <w:r>
        <w:rPr>
          <w:rFonts w:ascii="Times New Roman" w:eastAsia="Times New Roman" w:hAnsi="Times New Roman" w:cs="Times New Roman"/>
          <w:sz w:val="24"/>
          <w:szCs w:val="24"/>
          <w:lang w:eastAsia="pt-BR"/>
        </w:rPr>
        <w:t>202</w:t>
      </w:r>
      <w:r w:rsidR="0083681D">
        <w:rPr>
          <w:rFonts w:ascii="Times New Roman" w:eastAsia="Times New Roman" w:hAnsi="Times New Roman" w:cs="Times New Roman"/>
          <w:sz w:val="24"/>
          <w:szCs w:val="24"/>
          <w:lang w:eastAsia="pt-BR"/>
        </w:rPr>
        <w:t>2</w:t>
      </w:r>
      <w:r w:rsidRPr="00CE2B53">
        <w:rPr>
          <w:rFonts w:ascii="Times New Roman" w:eastAsia="Times New Roman" w:hAnsi="Times New Roman" w:cs="Times New Roman"/>
          <w:sz w:val="24"/>
          <w:szCs w:val="24"/>
          <w:lang w:eastAsia="pt-BR"/>
        </w:rPr>
        <w:t xml:space="preserve"> um Super</w:t>
      </w:r>
      <w:r>
        <w:rPr>
          <w:rFonts w:ascii="Times New Roman" w:eastAsia="Times New Roman" w:hAnsi="Times New Roman" w:cs="Times New Roman"/>
          <w:sz w:val="24"/>
          <w:szCs w:val="24"/>
          <w:lang w:eastAsia="pt-BR"/>
        </w:rPr>
        <w:t xml:space="preserve">ávit Patrimonial no valor de </w:t>
      </w:r>
      <w:r w:rsidRPr="00EC6062">
        <w:rPr>
          <w:rFonts w:ascii="Times New Roman" w:eastAsia="Times New Roman" w:hAnsi="Times New Roman" w:cs="Times New Roman"/>
          <w:b/>
          <w:sz w:val="24"/>
          <w:szCs w:val="24"/>
          <w:lang w:eastAsia="pt-BR"/>
        </w:rPr>
        <w:t>R$</w:t>
      </w:r>
      <w:r>
        <w:rPr>
          <w:rFonts w:ascii="Times New Roman" w:eastAsia="Times New Roman" w:hAnsi="Times New Roman" w:cs="Times New Roman"/>
          <w:b/>
          <w:sz w:val="24"/>
          <w:szCs w:val="24"/>
          <w:lang w:eastAsia="pt-BR"/>
        </w:rPr>
        <w:t xml:space="preserve"> </w:t>
      </w:r>
      <w:r w:rsidR="0083681D">
        <w:rPr>
          <w:rFonts w:ascii="Times New Roman" w:eastAsia="Times New Roman" w:hAnsi="Times New Roman" w:cs="Times New Roman"/>
          <w:b/>
          <w:sz w:val="24"/>
          <w:szCs w:val="24"/>
          <w:lang w:eastAsia="pt-BR"/>
        </w:rPr>
        <w:t>10</w:t>
      </w:r>
      <w:r>
        <w:rPr>
          <w:rFonts w:ascii="Times New Roman" w:eastAsia="Times New Roman" w:hAnsi="Times New Roman" w:cs="Times New Roman"/>
          <w:b/>
          <w:sz w:val="24"/>
          <w:szCs w:val="24"/>
          <w:lang w:eastAsia="pt-BR"/>
        </w:rPr>
        <w:t>.</w:t>
      </w:r>
      <w:r w:rsidR="0083681D">
        <w:rPr>
          <w:rFonts w:ascii="Times New Roman" w:eastAsia="Times New Roman" w:hAnsi="Times New Roman" w:cs="Times New Roman"/>
          <w:b/>
          <w:sz w:val="24"/>
          <w:szCs w:val="24"/>
          <w:lang w:eastAsia="pt-BR"/>
        </w:rPr>
        <w:t>742</w:t>
      </w:r>
      <w:r>
        <w:rPr>
          <w:rFonts w:ascii="Times New Roman" w:eastAsia="Times New Roman" w:hAnsi="Times New Roman" w:cs="Times New Roman"/>
          <w:b/>
          <w:sz w:val="24"/>
          <w:szCs w:val="24"/>
          <w:lang w:eastAsia="pt-BR"/>
        </w:rPr>
        <w:t>.</w:t>
      </w:r>
      <w:r w:rsidR="0083681D">
        <w:rPr>
          <w:rFonts w:ascii="Times New Roman" w:eastAsia="Times New Roman" w:hAnsi="Times New Roman" w:cs="Times New Roman"/>
          <w:b/>
          <w:sz w:val="24"/>
          <w:szCs w:val="24"/>
          <w:lang w:eastAsia="pt-BR"/>
        </w:rPr>
        <w:t>858</w:t>
      </w:r>
      <w:r w:rsidRPr="00CE2B53">
        <w:rPr>
          <w:rFonts w:ascii="Times New Roman" w:eastAsia="Times New Roman" w:hAnsi="Times New Roman" w:cs="Times New Roman"/>
          <w:sz w:val="24"/>
          <w:szCs w:val="24"/>
          <w:lang w:eastAsia="pt-BR"/>
        </w:rPr>
        <w:t xml:space="preserve"> (</w:t>
      </w:r>
      <w:r w:rsidR="0083681D">
        <w:rPr>
          <w:rFonts w:ascii="Times New Roman" w:eastAsia="Times New Roman" w:hAnsi="Times New Roman" w:cs="Times New Roman"/>
          <w:sz w:val="24"/>
          <w:szCs w:val="24"/>
          <w:lang w:eastAsia="pt-BR"/>
        </w:rPr>
        <w:t>dez milhões, setecentos e quarenta e dois mil, oitocentos e cinquenta e oito reais</w:t>
      </w:r>
      <w:r w:rsidRPr="00CE2B53">
        <w:rPr>
          <w:rFonts w:ascii="Times New Roman" w:eastAsia="Times New Roman" w:hAnsi="Times New Roman" w:cs="Times New Roman"/>
          <w:sz w:val="24"/>
          <w:szCs w:val="24"/>
          <w:lang w:eastAsia="pt-BR"/>
        </w:rPr>
        <w:t xml:space="preserve">).  A composição do Superávit Patrimonial em </w:t>
      </w:r>
      <w:r>
        <w:rPr>
          <w:rFonts w:ascii="Times New Roman" w:eastAsia="Times New Roman" w:hAnsi="Times New Roman" w:cs="Times New Roman"/>
          <w:sz w:val="24"/>
          <w:szCs w:val="24"/>
          <w:lang w:eastAsia="pt-BR"/>
        </w:rPr>
        <w:t>202</w:t>
      </w:r>
      <w:r w:rsidR="0083681D">
        <w:rPr>
          <w:rFonts w:ascii="Times New Roman" w:eastAsia="Times New Roman" w:hAnsi="Times New Roman" w:cs="Times New Roman"/>
          <w:sz w:val="24"/>
          <w:szCs w:val="24"/>
          <w:lang w:eastAsia="pt-BR"/>
        </w:rPr>
        <w:t>2</w:t>
      </w:r>
      <w:r w:rsidRPr="00CE2B53">
        <w:rPr>
          <w:rFonts w:ascii="Times New Roman" w:eastAsia="Times New Roman" w:hAnsi="Times New Roman" w:cs="Times New Roman"/>
          <w:sz w:val="24"/>
          <w:szCs w:val="24"/>
          <w:lang w:eastAsia="pt-BR"/>
        </w:rPr>
        <w:t xml:space="preserve"> foi a seguinte:</w:t>
      </w:r>
    </w:p>
    <w:p w:rsidR="0018407B" w:rsidRPr="00CE2B53"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w:t>
      </w:r>
    </w:p>
    <w:p w:rsidR="0018407B" w:rsidRPr="00301B97" w:rsidRDefault="0018407B" w:rsidP="0018407B">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Resultado Patrimonial 202</w:t>
      </w:r>
      <w:r w:rsidR="0083681D">
        <w:rPr>
          <w:rFonts w:ascii="Times New Roman" w:eastAsia="Times New Roman" w:hAnsi="Times New Roman" w:cs="Times New Roman"/>
          <w:b/>
          <w:sz w:val="24"/>
          <w:szCs w:val="24"/>
          <w:lang w:eastAsia="pt-BR"/>
        </w:rPr>
        <w:t>2</w:t>
      </w:r>
    </w:p>
    <w:p w:rsidR="0018407B" w:rsidRPr="00CE2B53"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a)    Variação Patrimonial Aumentativa (Recei</w:t>
      </w:r>
      <w:r>
        <w:rPr>
          <w:rFonts w:ascii="Times New Roman" w:eastAsia="Times New Roman" w:hAnsi="Times New Roman" w:cs="Times New Roman"/>
          <w:sz w:val="24"/>
          <w:szCs w:val="24"/>
          <w:lang w:eastAsia="pt-BR"/>
        </w:rPr>
        <w:t>ta) ............................................................</w:t>
      </w:r>
      <w:r w:rsidRPr="00CE2B53">
        <w:rPr>
          <w:rFonts w:ascii="Times New Roman" w:eastAsia="Times New Roman" w:hAnsi="Times New Roman" w:cs="Times New Roman"/>
          <w:sz w:val="24"/>
          <w:szCs w:val="24"/>
          <w:lang w:eastAsia="pt-BR"/>
        </w:rPr>
        <w:t>R</w:t>
      </w:r>
      <w:proofErr w:type="gramStart"/>
      <w:r w:rsidRPr="00CE2B53">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w:t>
      </w:r>
      <w:r w:rsidR="0083681D">
        <w:rPr>
          <w:rFonts w:ascii="Times New Roman" w:eastAsia="Times New Roman" w:hAnsi="Times New Roman" w:cs="Times New Roman"/>
          <w:sz w:val="24"/>
          <w:szCs w:val="24"/>
          <w:lang w:eastAsia="pt-BR"/>
        </w:rPr>
        <w:t>63</w:t>
      </w:r>
      <w:r>
        <w:rPr>
          <w:rFonts w:ascii="Times New Roman" w:eastAsia="Times New Roman" w:hAnsi="Times New Roman" w:cs="Times New Roman"/>
          <w:sz w:val="24"/>
          <w:szCs w:val="24"/>
          <w:lang w:eastAsia="pt-BR"/>
        </w:rPr>
        <w:t>.</w:t>
      </w:r>
      <w:r w:rsidR="0083681D">
        <w:rPr>
          <w:rFonts w:ascii="Times New Roman" w:eastAsia="Times New Roman" w:hAnsi="Times New Roman" w:cs="Times New Roman"/>
          <w:sz w:val="24"/>
          <w:szCs w:val="24"/>
          <w:lang w:eastAsia="pt-BR"/>
        </w:rPr>
        <w:t>724</w:t>
      </w:r>
      <w:r>
        <w:rPr>
          <w:rFonts w:ascii="Times New Roman" w:eastAsia="Times New Roman" w:hAnsi="Times New Roman" w:cs="Times New Roman"/>
          <w:sz w:val="24"/>
          <w:szCs w:val="24"/>
          <w:lang w:eastAsia="pt-BR"/>
        </w:rPr>
        <w:t>.</w:t>
      </w:r>
      <w:r w:rsidR="0083681D">
        <w:rPr>
          <w:rFonts w:ascii="Times New Roman" w:eastAsia="Times New Roman" w:hAnsi="Times New Roman" w:cs="Times New Roman"/>
          <w:sz w:val="24"/>
          <w:szCs w:val="24"/>
          <w:lang w:eastAsia="pt-BR"/>
        </w:rPr>
        <w:t>331</w:t>
      </w:r>
      <w:proofErr w:type="gramEnd"/>
    </w:p>
    <w:p w:rsidR="0018407B" w:rsidRPr="00CE2B53"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b) </w:t>
      </w:r>
      <w:proofErr w:type="gramStart"/>
      <w:r w:rsidRPr="00CE2B53">
        <w:rPr>
          <w:rFonts w:ascii="Times New Roman" w:eastAsia="Times New Roman" w:hAnsi="Times New Roman" w:cs="Times New Roman"/>
          <w:sz w:val="24"/>
          <w:szCs w:val="24"/>
          <w:lang w:eastAsia="pt-BR"/>
        </w:rPr>
        <w:t>   (</w:t>
      </w:r>
      <w:proofErr w:type="gramEnd"/>
      <w:r w:rsidRPr="00CE2B53">
        <w:rPr>
          <w:rFonts w:ascii="Times New Roman" w:eastAsia="Times New Roman" w:hAnsi="Times New Roman" w:cs="Times New Roman"/>
          <w:sz w:val="24"/>
          <w:szCs w:val="24"/>
          <w:lang w:eastAsia="pt-BR"/>
        </w:rPr>
        <w:t xml:space="preserve">-) Variação Patrimonial Diminutiva </w:t>
      </w:r>
      <w:r>
        <w:rPr>
          <w:rFonts w:ascii="Times New Roman" w:eastAsia="Times New Roman" w:hAnsi="Times New Roman" w:cs="Times New Roman"/>
          <w:sz w:val="24"/>
          <w:szCs w:val="24"/>
          <w:lang w:eastAsia="pt-BR"/>
        </w:rPr>
        <w:t>(Despesa) ........................................................</w:t>
      </w:r>
      <w:r w:rsidRPr="00CE2B53">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 xml:space="preserve"> (</w:t>
      </w:r>
      <w:r w:rsidR="0083681D">
        <w:rPr>
          <w:rFonts w:ascii="Times New Roman" w:eastAsia="Times New Roman" w:hAnsi="Times New Roman" w:cs="Times New Roman"/>
          <w:sz w:val="24"/>
          <w:szCs w:val="24"/>
          <w:lang w:eastAsia="pt-BR"/>
        </w:rPr>
        <w:t>52</w:t>
      </w:r>
      <w:r>
        <w:rPr>
          <w:rFonts w:ascii="Times New Roman" w:eastAsia="Times New Roman" w:hAnsi="Times New Roman" w:cs="Times New Roman"/>
          <w:sz w:val="24"/>
          <w:szCs w:val="24"/>
          <w:lang w:eastAsia="pt-BR"/>
        </w:rPr>
        <w:t>.</w:t>
      </w:r>
      <w:r w:rsidR="0083681D">
        <w:rPr>
          <w:rFonts w:ascii="Times New Roman" w:eastAsia="Times New Roman" w:hAnsi="Times New Roman" w:cs="Times New Roman"/>
          <w:sz w:val="24"/>
          <w:szCs w:val="24"/>
          <w:lang w:eastAsia="pt-BR"/>
        </w:rPr>
        <w:t>981</w:t>
      </w:r>
      <w:r>
        <w:rPr>
          <w:rFonts w:ascii="Times New Roman" w:eastAsia="Times New Roman" w:hAnsi="Times New Roman" w:cs="Times New Roman"/>
          <w:sz w:val="24"/>
          <w:szCs w:val="24"/>
          <w:lang w:eastAsia="pt-BR"/>
        </w:rPr>
        <w:t>.</w:t>
      </w:r>
      <w:r w:rsidR="0083681D">
        <w:rPr>
          <w:rFonts w:ascii="Times New Roman" w:eastAsia="Times New Roman" w:hAnsi="Times New Roman" w:cs="Times New Roman"/>
          <w:sz w:val="24"/>
          <w:szCs w:val="24"/>
          <w:lang w:eastAsia="pt-BR"/>
        </w:rPr>
        <w:t>473</w:t>
      </w:r>
      <w:r>
        <w:rPr>
          <w:rFonts w:ascii="Times New Roman" w:eastAsia="Times New Roman" w:hAnsi="Times New Roman" w:cs="Times New Roman"/>
          <w:sz w:val="24"/>
          <w:szCs w:val="24"/>
          <w:lang w:eastAsia="pt-BR"/>
        </w:rPr>
        <w:t>)</w:t>
      </w:r>
    </w:p>
    <w:p w:rsidR="0018407B" w:rsidRDefault="0018407B" w:rsidP="0018407B">
      <w:pPr>
        <w:spacing w:after="0" w:line="240" w:lineRule="auto"/>
        <w:jc w:val="both"/>
        <w:rPr>
          <w:rFonts w:ascii="Times New Roman" w:eastAsia="Times New Roman" w:hAnsi="Times New Roman" w:cs="Times New Roman"/>
          <w:b/>
          <w:sz w:val="24"/>
          <w:szCs w:val="24"/>
          <w:lang w:eastAsia="pt-BR"/>
        </w:rPr>
      </w:pPr>
      <w:r w:rsidRPr="00EC1D90">
        <w:rPr>
          <w:rFonts w:ascii="Times New Roman" w:eastAsia="Times New Roman" w:hAnsi="Times New Roman" w:cs="Times New Roman"/>
          <w:b/>
          <w:sz w:val="24"/>
          <w:szCs w:val="24"/>
          <w:lang w:eastAsia="pt-BR"/>
        </w:rPr>
        <w:t>c) </w:t>
      </w:r>
      <w:proofErr w:type="gramStart"/>
      <w:r w:rsidRPr="00EC1D90">
        <w:rPr>
          <w:rFonts w:ascii="Times New Roman" w:eastAsia="Times New Roman" w:hAnsi="Times New Roman" w:cs="Times New Roman"/>
          <w:b/>
          <w:sz w:val="24"/>
          <w:szCs w:val="24"/>
          <w:lang w:eastAsia="pt-BR"/>
        </w:rPr>
        <w:t>   (</w:t>
      </w:r>
      <w:proofErr w:type="gramEnd"/>
      <w:r w:rsidRPr="00EC1D90">
        <w:rPr>
          <w:rFonts w:ascii="Times New Roman" w:eastAsia="Times New Roman" w:hAnsi="Times New Roman" w:cs="Times New Roman"/>
          <w:b/>
          <w:sz w:val="24"/>
          <w:szCs w:val="24"/>
          <w:lang w:eastAsia="pt-BR"/>
        </w:rPr>
        <w:t>=) Superávit Patrimonial apurado</w:t>
      </w:r>
      <w:r>
        <w:rPr>
          <w:rFonts w:ascii="Times New Roman" w:eastAsia="Times New Roman" w:hAnsi="Times New Roman" w:cs="Times New Roman"/>
          <w:b/>
          <w:sz w:val="24"/>
          <w:szCs w:val="24"/>
          <w:lang w:eastAsia="pt-BR"/>
        </w:rPr>
        <w:t xml:space="preserve"> em 31/12/2</w:t>
      </w:r>
      <w:r w:rsidR="0083681D">
        <w:rPr>
          <w:rFonts w:ascii="Times New Roman" w:eastAsia="Times New Roman" w:hAnsi="Times New Roman" w:cs="Times New Roman"/>
          <w:b/>
          <w:sz w:val="24"/>
          <w:szCs w:val="24"/>
          <w:lang w:eastAsia="pt-BR"/>
        </w:rPr>
        <w:t>2</w:t>
      </w:r>
      <w:r>
        <w:rPr>
          <w:rFonts w:ascii="Times New Roman" w:eastAsia="Times New Roman" w:hAnsi="Times New Roman" w:cs="Times New Roman"/>
          <w:b/>
          <w:sz w:val="24"/>
          <w:szCs w:val="24"/>
          <w:lang w:eastAsia="pt-BR"/>
        </w:rPr>
        <w:t xml:space="preserve"> ...................................................</w:t>
      </w:r>
      <w:r w:rsidRPr="00EC1D90">
        <w:rPr>
          <w:rFonts w:ascii="Times New Roman" w:eastAsia="Times New Roman" w:hAnsi="Times New Roman" w:cs="Times New Roman"/>
          <w:b/>
          <w:sz w:val="24"/>
          <w:szCs w:val="24"/>
          <w:lang w:eastAsia="pt-BR"/>
        </w:rPr>
        <w:t>R$</w:t>
      </w:r>
      <w:r>
        <w:rPr>
          <w:rFonts w:ascii="Times New Roman" w:eastAsia="Times New Roman" w:hAnsi="Times New Roman" w:cs="Times New Roman"/>
          <w:b/>
          <w:sz w:val="24"/>
          <w:szCs w:val="24"/>
          <w:lang w:eastAsia="pt-BR"/>
        </w:rPr>
        <w:t xml:space="preserve">  </w:t>
      </w:r>
      <w:r w:rsidR="0083681D">
        <w:rPr>
          <w:rFonts w:ascii="Times New Roman" w:eastAsia="Times New Roman" w:hAnsi="Times New Roman" w:cs="Times New Roman"/>
          <w:b/>
          <w:sz w:val="24"/>
          <w:szCs w:val="24"/>
          <w:lang w:eastAsia="pt-BR"/>
        </w:rPr>
        <w:t>10</w:t>
      </w:r>
      <w:r>
        <w:rPr>
          <w:rFonts w:ascii="Times New Roman" w:eastAsia="Times New Roman" w:hAnsi="Times New Roman" w:cs="Times New Roman"/>
          <w:b/>
          <w:sz w:val="24"/>
          <w:szCs w:val="24"/>
          <w:lang w:eastAsia="pt-BR"/>
        </w:rPr>
        <w:t>.</w:t>
      </w:r>
      <w:r w:rsidR="0083681D">
        <w:rPr>
          <w:rFonts w:ascii="Times New Roman" w:eastAsia="Times New Roman" w:hAnsi="Times New Roman" w:cs="Times New Roman"/>
          <w:b/>
          <w:sz w:val="24"/>
          <w:szCs w:val="24"/>
          <w:lang w:eastAsia="pt-BR"/>
        </w:rPr>
        <w:t>742</w:t>
      </w:r>
      <w:r>
        <w:rPr>
          <w:rFonts w:ascii="Times New Roman" w:eastAsia="Times New Roman" w:hAnsi="Times New Roman" w:cs="Times New Roman"/>
          <w:b/>
          <w:sz w:val="24"/>
          <w:szCs w:val="24"/>
          <w:lang w:eastAsia="pt-BR"/>
        </w:rPr>
        <w:t>.</w:t>
      </w:r>
      <w:r w:rsidR="0083681D">
        <w:rPr>
          <w:rFonts w:ascii="Times New Roman" w:eastAsia="Times New Roman" w:hAnsi="Times New Roman" w:cs="Times New Roman"/>
          <w:b/>
          <w:sz w:val="24"/>
          <w:szCs w:val="24"/>
          <w:lang w:eastAsia="pt-BR"/>
        </w:rPr>
        <w:t>858</w:t>
      </w:r>
    </w:p>
    <w:p w:rsidR="0018407B" w:rsidRPr="00EC1D90" w:rsidRDefault="0018407B" w:rsidP="0018407B">
      <w:pPr>
        <w:spacing w:after="0" w:line="240" w:lineRule="auto"/>
        <w:jc w:val="both"/>
        <w:rPr>
          <w:rFonts w:ascii="Times New Roman" w:eastAsia="Times New Roman" w:hAnsi="Times New Roman" w:cs="Times New Roman"/>
          <w:b/>
          <w:sz w:val="24"/>
          <w:szCs w:val="24"/>
          <w:lang w:eastAsia="pt-BR"/>
        </w:rPr>
      </w:pPr>
    </w:p>
    <w:p w:rsidR="0018407B" w:rsidRPr="00CE2B53"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xml:space="preserve">O Resultado Patrimonial apurado no exercício de </w:t>
      </w:r>
      <w:r>
        <w:rPr>
          <w:rFonts w:ascii="Times New Roman" w:eastAsia="Times New Roman" w:hAnsi="Times New Roman" w:cs="Times New Roman"/>
          <w:sz w:val="24"/>
          <w:szCs w:val="24"/>
          <w:lang w:eastAsia="pt-BR"/>
        </w:rPr>
        <w:t>202</w:t>
      </w:r>
      <w:r w:rsidR="0083681D">
        <w:rPr>
          <w:rFonts w:ascii="Times New Roman" w:eastAsia="Times New Roman" w:hAnsi="Times New Roman" w:cs="Times New Roman"/>
          <w:sz w:val="24"/>
          <w:szCs w:val="24"/>
          <w:lang w:eastAsia="pt-BR"/>
        </w:rPr>
        <w:t>2</w:t>
      </w:r>
      <w:r w:rsidRPr="00CE2B53">
        <w:rPr>
          <w:rFonts w:ascii="Times New Roman" w:eastAsia="Times New Roman" w:hAnsi="Times New Roman" w:cs="Times New Roman"/>
          <w:sz w:val="24"/>
          <w:szCs w:val="24"/>
          <w:lang w:eastAsia="pt-BR"/>
        </w:rPr>
        <w:t xml:space="preserve"> foi realizado com base no regime de competência da receita e despesa, escriturados no sistema patrimonial.</w:t>
      </w:r>
    </w:p>
    <w:p w:rsidR="0018407B" w:rsidRPr="00CE2B53"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w:t>
      </w:r>
    </w:p>
    <w:p w:rsidR="0083681D" w:rsidRPr="00301B97" w:rsidRDefault="0083681D" w:rsidP="0083681D">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Resultado Patrimonial 2021</w:t>
      </w:r>
    </w:p>
    <w:p w:rsidR="0083681D" w:rsidRPr="00CE2B53" w:rsidRDefault="0083681D" w:rsidP="0083681D">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a)    Variação Patrimonial Aumentativa (Recei</w:t>
      </w:r>
      <w:r>
        <w:rPr>
          <w:rFonts w:ascii="Times New Roman" w:eastAsia="Times New Roman" w:hAnsi="Times New Roman" w:cs="Times New Roman"/>
          <w:sz w:val="24"/>
          <w:szCs w:val="24"/>
          <w:lang w:eastAsia="pt-BR"/>
        </w:rPr>
        <w:t>ta) ............................................................</w:t>
      </w:r>
      <w:r w:rsidRPr="00CE2B53">
        <w:rPr>
          <w:rFonts w:ascii="Times New Roman" w:eastAsia="Times New Roman" w:hAnsi="Times New Roman" w:cs="Times New Roman"/>
          <w:sz w:val="24"/>
          <w:szCs w:val="24"/>
          <w:lang w:eastAsia="pt-BR"/>
        </w:rPr>
        <w:t>R</w:t>
      </w:r>
      <w:proofErr w:type="gramStart"/>
      <w:r w:rsidRPr="00CE2B53">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52.962.904</w:t>
      </w:r>
      <w:proofErr w:type="gramEnd"/>
    </w:p>
    <w:p w:rsidR="0083681D" w:rsidRPr="00CE2B53" w:rsidRDefault="0083681D" w:rsidP="0083681D">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b) </w:t>
      </w:r>
      <w:proofErr w:type="gramStart"/>
      <w:r w:rsidRPr="00CE2B53">
        <w:rPr>
          <w:rFonts w:ascii="Times New Roman" w:eastAsia="Times New Roman" w:hAnsi="Times New Roman" w:cs="Times New Roman"/>
          <w:sz w:val="24"/>
          <w:szCs w:val="24"/>
          <w:lang w:eastAsia="pt-BR"/>
        </w:rPr>
        <w:t>   (</w:t>
      </w:r>
      <w:proofErr w:type="gramEnd"/>
      <w:r w:rsidRPr="00CE2B53">
        <w:rPr>
          <w:rFonts w:ascii="Times New Roman" w:eastAsia="Times New Roman" w:hAnsi="Times New Roman" w:cs="Times New Roman"/>
          <w:sz w:val="24"/>
          <w:szCs w:val="24"/>
          <w:lang w:eastAsia="pt-BR"/>
        </w:rPr>
        <w:t xml:space="preserve">-) Variação Patrimonial Diminutiva </w:t>
      </w:r>
      <w:r>
        <w:rPr>
          <w:rFonts w:ascii="Times New Roman" w:eastAsia="Times New Roman" w:hAnsi="Times New Roman" w:cs="Times New Roman"/>
          <w:sz w:val="24"/>
          <w:szCs w:val="24"/>
          <w:lang w:eastAsia="pt-BR"/>
        </w:rPr>
        <w:t>(Despesa) ........................................................</w:t>
      </w:r>
      <w:r w:rsidRPr="00CE2B53">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 xml:space="preserve"> (43.521.462)</w:t>
      </w:r>
    </w:p>
    <w:p w:rsidR="0083681D" w:rsidRDefault="0083681D" w:rsidP="0083681D">
      <w:pPr>
        <w:spacing w:after="0" w:line="240" w:lineRule="auto"/>
        <w:jc w:val="both"/>
        <w:rPr>
          <w:rFonts w:ascii="Times New Roman" w:eastAsia="Times New Roman" w:hAnsi="Times New Roman" w:cs="Times New Roman"/>
          <w:b/>
          <w:sz w:val="24"/>
          <w:szCs w:val="24"/>
          <w:lang w:eastAsia="pt-BR"/>
        </w:rPr>
      </w:pPr>
      <w:r w:rsidRPr="00EC1D90">
        <w:rPr>
          <w:rFonts w:ascii="Times New Roman" w:eastAsia="Times New Roman" w:hAnsi="Times New Roman" w:cs="Times New Roman"/>
          <w:b/>
          <w:sz w:val="24"/>
          <w:szCs w:val="24"/>
          <w:lang w:eastAsia="pt-BR"/>
        </w:rPr>
        <w:t>c) </w:t>
      </w:r>
      <w:proofErr w:type="gramStart"/>
      <w:r w:rsidRPr="00EC1D90">
        <w:rPr>
          <w:rFonts w:ascii="Times New Roman" w:eastAsia="Times New Roman" w:hAnsi="Times New Roman" w:cs="Times New Roman"/>
          <w:b/>
          <w:sz w:val="24"/>
          <w:szCs w:val="24"/>
          <w:lang w:eastAsia="pt-BR"/>
        </w:rPr>
        <w:t>   (</w:t>
      </w:r>
      <w:proofErr w:type="gramEnd"/>
      <w:r w:rsidRPr="00EC1D90">
        <w:rPr>
          <w:rFonts w:ascii="Times New Roman" w:eastAsia="Times New Roman" w:hAnsi="Times New Roman" w:cs="Times New Roman"/>
          <w:b/>
          <w:sz w:val="24"/>
          <w:szCs w:val="24"/>
          <w:lang w:eastAsia="pt-BR"/>
        </w:rPr>
        <w:t>=) Superávit Patrimonial apurado</w:t>
      </w:r>
      <w:r>
        <w:rPr>
          <w:rFonts w:ascii="Times New Roman" w:eastAsia="Times New Roman" w:hAnsi="Times New Roman" w:cs="Times New Roman"/>
          <w:b/>
          <w:sz w:val="24"/>
          <w:szCs w:val="24"/>
          <w:lang w:eastAsia="pt-BR"/>
        </w:rPr>
        <w:t xml:space="preserve"> em 31/12/21 ...................................................</w:t>
      </w:r>
      <w:r w:rsidRPr="00EC1D90">
        <w:rPr>
          <w:rFonts w:ascii="Times New Roman" w:eastAsia="Times New Roman" w:hAnsi="Times New Roman" w:cs="Times New Roman"/>
          <w:b/>
          <w:sz w:val="24"/>
          <w:szCs w:val="24"/>
          <w:lang w:eastAsia="pt-BR"/>
        </w:rPr>
        <w:t>R$</w:t>
      </w:r>
      <w:r>
        <w:rPr>
          <w:rFonts w:ascii="Times New Roman" w:eastAsia="Times New Roman" w:hAnsi="Times New Roman" w:cs="Times New Roman"/>
          <w:b/>
          <w:sz w:val="24"/>
          <w:szCs w:val="24"/>
          <w:lang w:eastAsia="pt-BR"/>
        </w:rPr>
        <w:t xml:space="preserve">   9.441.441</w:t>
      </w:r>
    </w:p>
    <w:p w:rsidR="0018407B" w:rsidRDefault="0018407B" w:rsidP="0018407B">
      <w:pPr>
        <w:spacing w:after="0" w:line="240" w:lineRule="auto"/>
        <w:jc w:val="both"/>
        <w:rPr>
          <w:rFonts w:ascii="Times New Roman" w:eastAsia="Times New Roman" w:hAnsi="Times New Roman" w:cs="Times New Roman"/>
          <w:sz w:val="24"/>
          <w:szCs w:val="24"/>
          <w:lang w:eastAsia="pt-BR"/>
        </w:rPr>
      </w:pPr>
    </w:p>
    <w:p w:rsidR="0018407B" w:rsidRPr="00CE2B53"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lastRenderedPageBreak/>
        <w:t xml:space="preserve">O Superávit Patrimonial de </w:t>
      </w:r>
      <w:r>
        <w:rPr>
          <w:rFonts w:ascii="Times New Roman" w:eastAsia="Times New Roman" w:hAnsi="Times New Roman" w:cs="Times New Roman"/>
          <w:sz w:val="24"/>
          <w:szCs w:val="24"/>
          <w:lang w:eastAsia="pt-BR"/>
        </w:rPr>
        <w:t>202</w:t>
      </w:r>
      <w:r w:rsidR="0083681D">
        <w:rPr>
          <w:rFonts w:ascii="Times New Roman" w:eastAsia="Times New Roman" w:hAnsi="Times New Roman" w:cs="Times New Roman"/>
          <w:sz w:val="24"/>
          <w:szCs w:val="24"/>
          <w:lang w:eastAsia="pt-BR"/>
        </w:rPr>
        <w:t>2</w:t>
      </w:r>
      <w:r w:rsidRPr="00CE2B53">
        <w:rPr>
          <w:rFonts w:ascii="Times New Roman" w:eastAsia="Times New Roman" w:hAnsi="Times New Roman" w:cs="Times New Roman"/>
          <w:sz w:val="24"/>
          <w:szCs w:val="24"/>
          <w:lang w:eastAsia="pt-BR"/>
        </w:rPr>
        <w:t xml:space="preserve"> t</w:t>
      </w:r>
      <w:r>
        <w:rPr>
          <w:rFonts w:ascii="Times New Roman" w:eastAsia="Times New Roman" w:hAnsi="Times New Roman" w:cs="Times New Roman"/>
          <w:sz w:val="24"/>
          <w:szCs w:val="24"/>
          <w:lang w:eastAsia="pt-BR"/>
        </w:rPr>
        <w:t xml:space="preserve">eve um </w:t>
      </w:r>
      <w:r>
        <w:rPr>
          <w:rFonts w:ascii="Times New Roman" w:eastAsia="Times New Roman" w:hAnsi="Times New Roman" w:cs="Times New Roman"/>
          <w:b/>
          <w:sz w:val="24"/>
          <w:szCs w:val="24"/>
          <w:lang w:eastAsia="pt-BR"/>
        </w:rPr>
        <w:t>acréscimo</w:t>
      </w:r>
      <w:r>
        <w:rPr>
          <w:rFonts w:ascii="Times New Roman" w:eastAsia="Times New Roman" w:hAnsi="Times New Roman" w:cs="Times New Roman"/>
          <w:sz w:val="24"/>
          <w:szCs w:val="24"/>
          <w:lang w:eastAsia="pt-BR"/>
        </w:rPr>
        <w:t xml:space="preserve"> no valor de R$ </w:t>
      </w:r>
      <w:r w:rsidR="0083681D">
        <w:rPr>
          <w:rFonts w:ascii="Times New Roman" w:eastAsia="Times New Roman" w:hAnsi="Times New Roman" w:cs="Times New Roman"/>
          <w:b/>
          <w:sz w:val="24"/>
          <w:szCs w:val="24"/>
          <w:lang w:eastAsia="pt-BR"/>
        </w:rPr>
        <w:t>1</w:t>
      </w:r>
      <w:r w:rsidRPr="00EC6062">
        <w:rPr>
          <w:rFonts w:ascii="Times New Roman" w:eastAsia="Times New Roman" w:hAnsi="Times New Roman" w:cs="Times New Roman"/>
          <w:b/>
          <w:sz w:val="24"/>
          <w:szCs w:val="24"/>
          <w:lang w:eastAsia="pt-BR"/>
        </w:rPr>
        <w:t>.</w:t>
      </w:r>
      <w:r w:rsidR="0083681D">
        <w:rPr>
          <w:rFonts w:ascii="Times New Roman" w:eastAsia="Times New Roman" w:hAnsi="Times New Roman" w:cs="Times New Roman"/>
          <w:b/>
          <w:sz w:val="24"/>
          <w:szCs w:val="24"/>
          <w:lang w:eastAsia="pt-BR"/>
        </w:rPr>
        <w:t>301</w:t>
      </w:r>
      <w:r>
        <w:rPr>
          <w:rFonts w:ascii="Times New Roman" w:eastAsia="Times New Roman" w:hAnsi="Times New Roman" w:cs="Times New Roman"/>
          <w:b/>
          <w:sz w:val="24"/>
          <w:szCs w:val="24"/>
          <w:lang w:eastAsia="pt-BR"/>
        </w:rPr>
        <w:t>.</w:t>
      </w:r>
      <w:r w:rsidR="0083681D">
        <w:rPr>
          <w:rFonts w:ascii="Times New Roman" w:eastAsia="Times New Roman" w:hAnsi="Times New Roman" w:cs="Times New Roman"/>
          <w:b/>
          <w:sz w:val="24"/>
          <w:szCs w:val="24"/>
          <w:lang w:eastAsia="pt-BR"/>
        </w:rPr>
        <w:t>417</w:t>
      </w:r>
      <w:r>
        <w:rPr>
          <w:rFonts w:ascii="Times New Roman" w:eastAsia="Times New Roman" w:hAnsi="Times New Roman" w:cs="Times New Roman"/>
          <w:sz w:val="24"/>
          <w:szCs w:val="24"/>
          <w:lang w:eastAsia="pt-BR"/>
        </w:rPr>
        <w:t xml:space="preserve"> (</w:t>
      </w:r>
      <w:r w:rsidR="005E276C">
        <w:rPr>
          <w:rFonts w:ascii="Times New Roman" w:eastAsia="Times New Roman" w:hAnsi="Times New Roman" w:cs="Times New Roman"/>
          <w:sz w:val="24"/>
          <w:szCs w:val="24"/>
          <w:lang w:eastAsia="pt-BR"/>
        </w:rPr>
        <w:t xml:space="preserve">um </w:t>
      </w:r>
      <w:r>
        <w:rPr>
          <w:rFonts w:ascii="Times New Roman" w:eastAsia="Times New Roman" w:hAnsi="Times New Roman" w:cs="Times New Roman"/>
          <w:sz w:val="24"/>
          <w:szCs w:val="24"/>
          <w:lang w:eastAsia="pt-BR"/>
        </w:rPr>
        <w:t>milh</w:t>
      </w:r>
      <w:r w:rsidR="005E276C">
        <w:rPr>
          <w:rFonts w:ascii="Times New Roman" w:eastAsia="Times New Roman" w:hAnsi="Times New Roman" w:cs="Times New Roman"/>
          <w:sz w:val="24"/>
          <w:szCs w:val="24"/>
          <w:lang w:eastAsia="pt-BR"/>
        </w:rPr>
        <w:t>ão</w:t>
      </w:r>
      <w:r>
        <w:rPr>
          <w:rFonts w:ascii="Times New Roman" w:eastAsia="Times New Roman" w:hAnsi="Times New Roman" w:cs="Times New Roman"/>
          <w:sz w:val="24"/>
          <w:szCs w:val="24"/>
          <w:lang w:eastAsia="pt-BR"/>
        </w:rPr>
        <w:t xml:space="preserve">, </w:t>
      </w:r>
      <w:r w:rsidR="005E276C">
        <w:rPr>
          <w:rFonts w:ascii="Times New Roman" w:eastAsia="Times New Roman" w:hAnsi="Times New Roman" w:cs="Times New Roman"/>
          <w:sz w:val="24"/>
          <w:szCs w:val="24"/>
          <w:lang w:eastAsia="pt-BR"/>
        </w:rPr>
        <w:t xml:space="preserve">trezentos </w:t>
      </w:r>
      <w:r>
        <w:rPr>
          <w:rFonts w:ascii="Times New Roman" w:eastAsia="Times New Roman" w:hAnsi="Times New Roman" w:cs="Times New Roman"/>
          <w:sz w:val="24"/>
          <w:szCs w:val="24"/>
          <w:lang w:eastAsia="pt-BR"/>
        </w:rPr>
        <w:t xml:space="preserve">e </w:t>
      </w:r>
      <w:r w:rsidR="005E276C">
        <w:rPr>
          <w:rFonts w:ascii="Times New Roman" w:eastAsia="Times New Roman" w:hAnsi="Times New Roman" w:cs="Times New Roman"/>
          <w:sz w:val="24"/>
          <w:szCs w:val="24"/>
          <w:lang w:eastAsia="pt-BR"/>
        </w:rPr>
        <w:t xml:space="preserve">um </w:t>
      </w:r>
      <w:r>
        <w:rPr>
          <w:rFonts w:ascii="Times New Roman" w:eastAsia="Times New Roman" w:hAnsi="Times New Roman" w:cs="Times New Roman"/>
          <w:sz w:val="24"/>
          <w:szCs w:val="24"/>
          <w:lang w:eastAsia="pt-BR"/>
        </w:rPr>
        <w:t xml:space="preserve">mil, </w:t>
      </w:r>
      <w:r w:rsidR="005E276C">
        <w:rPr>
          <w:rFonts w:ascii="Times New Roman" w:eastAsia="Times New Roman" w:hAnsi="Times New Roman" w:cs="Times New Roman"/>
          <w:sz w:val="24"/>
          <w:szCs w:val="24"/>
          <w:lang w:eastAsia="pt-BR"/>
        </w:rPr>
        <w:t xml:space="preserve">quatrocentos dezessete </w:t>
      </w:r>
      <w:r>
        <w:rPr>
          <w:rFonts w:ascii="Times New Roman" w:eastAsia="Times New Roman" w:hAnsi="Times New Roman" w:cs="Times New Roman"/>
          <w:sz w:val="24"/>
          <w:szCs w:val="24"/>
          <w:lang w:eastAsia="pt-BR"/>
        </w:rPr>
        <w:t>reais)</w:t>
      </w:r>
      <w:r w:rsidRPr="00CE2B53">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em relação a</w:t>
      </w:r>
      <w:r w:rsidRPr="00CE2B53">
        <w:rPr>
          <w:rFonts w:ascii="Times New Roman" w:eastAsia="Times New Roman" w:hAnsi="Times New Roman" w:cs="Times New Roman"/>
          <w:sz w:val="24"/>
          <w:szCs w:val="24"/>
          <w:lang w:eastAsia="pt-BR"/>
        </w:rPr>
        <w:t xml:space="preserve"> 20</w:t>
      </w:r>
      <w:r>
        <w:rPr>
          <w:rFonts w:ascii="Times New Roman" w:eastAsia="Times New Roman" w:hAnsi="Times New Roman" w:cs="Times New Roman"/>
          <w:sz w:val="24"/>
          <w:szCs w:val="24"/>
          <w:lang w:eastAsia="pt-BR"/>
        </w:rPr>
        <w:t>2</w:t>
      </w:r>
      <w:r w:rsidR="0083681D">
        <w:rPr>
          <w:rFonts w:ascii="Times New Roman" w:eastAsia="Times New Roman" w:hAnsi="Times New Roman" w:cs="Times New Roman"/>
          <w:sz w:val="24"/>
          <w:szCs w:val="24"/>
          <w:lang w:eastAsia="pt-BR"/>
        </w:rPr>
        <w:t>1</w:t>
      </w:r>
      <w:r>
        <w:rPr>
          <w:rFonts w:ascii="Times New Roman" w:eastAsia="Times New Roman" w:hAnsi="Times New Roman" w:cs="Times New Roman"/>
          <w:sz w:val="24"/>
          <w:szCs w:val="24"/>
          <w:lang w:eastAsia="pt-BR"/>
        </w:rPr>
        <w:t xml:space="preserve">, correspondente a </w:t>
      </w:r>
      <w:r w:rsidR="0083681D" w:rsidRPr="0083681D">
        <w:rPr>
          <w:rFonts w:ascii="Times New Roman" w:eastAsia="Times New Roman" w:hAnsi="Times New Roman" w:cs="Times New Roman"/>
          <w:b/>
          <w:sz w:val="24"/>
          <w:szCs w:val="24"/>
          <w:lang w:eastAsia="pt-BR"/>
        </w:rPr>
        <w:t>1</w:t>
      </w:r>
      <w:r w:rsidR="00314AB6">
        <w:rPr>
          <w:rFonts w:ascii="Times New Roman" w:eastAsia="Times New Roman" w:hAnsi="Times New Roman" w:cs="Times New Roman"/>
          <w:b/>
          <w:sz w:val="24"/>
          <w:szCs w:val="24"/>
          <w:lang w:eastAsia="pt-BR"/>
        </w:rPr>
        <w:t>3</w:t>
      </w:r>
      <w:r>
        <w:rPr>
          <w:rFonts w:ascii="Times New Roman" w:eastAsia="Times New Roman" w:hAnsi="Times New Roman" w:cs="Times New Roman"/>
          <w:b/>
          <w:sz w:val="24"/>
          <w:szCs w:val="24"/>
          <w:lang w:eastAsia="pt-BR"/>
        </w:rPr>
        <w:t>,</w:t>
      </w:r>
      <w:r w:rsidR="00314AB6">
        <w:rPr>
          <w:rFonts w:ascii="Times New Roman" w:eastAsia="Times New Roman" w:hAnsi="Times New Roman" w:cs="Times New Roman"/>
          <w:b/>
          <w:sz w:val="24"/>
          <w:szCs w:val="24"/>
          <w:lang w:eastAsia="pt-BR"/>
        </w:rPr>
        <w:t>78</w:t>
      </w:r>
      <w:r w:rsidRPr="0095519E">
        <w:rPr>
          <w:rFonts w:ascii="Times New Roman" w:eastAsia="Times New Roman" w:hAnsi="Times New Roman" w:cs="Times New Roman"/>
          <w:b/>
          <w:sz w:val="24"/>
          <w:szCs w:val="24"/>
          <w:lang w:eastAsia="pt-BR"/>
        </w:rPr>
        <w:t>%</w:t>
      </w:r>
      <w:r>
        <w:rPr>
          <w:rFonts w:ascii="Times New Roman" w:eastAsia="Times New Roman" w:hAnsi="Times New Roman" w:cs="Times New Roman"/>
          <w:sz w:val="24"/>
          <w:szCs w:val="24"/>
          <w:lang w:eastAsia="pt-BR"/>
        </w:rPr>
        <w:t xml:space="preserve">. </w:t>
      </w:r>
    </w:p>
    <w:p w:rsidR="0018407B" w:rsidRPr="00CE2B53"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w:t>
      </w:r>
    </w:p>
    <w:p w:rsidR="0018407B" w:rsidRPr="00EC1D90" w:rsidRDefault="0018407B" w:rsidP="0018407B">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20. Resultado</w:t>
      </w:r>
      <w:r w:rsidRPr="00EC1D90">
        <w:rPr>
          <w:rFonts w:ascii="Times New Roman" w:eastAsia="Times New Roman" w:hAnsi="Times New Roman" w:cs="Times New Roman"/>
          <w:b/>
          <w:sz w:val="24"/>
          <w:szCs w:val="24"/>
          <w:lang w:eastAsia="pt-BR"/>
        </w:rPr>
        <w:t xml:space="preserve"> Orçamentário</w:t>
      </w:r>
    </w:p>
    <w:p w:rsidR="0018407B" w:rsidRDefault="0018407B" w:rsidP="0018407B">
      <w:pPr>
        <w:spacing w:after="0" w:line="240" w:lineRule="auto"/>
        <w:jc w:val="both"/>
        <w:rPr>
          <w:rFonts w:ascii="Times New Roman" w:eastAsia="Times New Roman" w:hAnsi="Times New Roman" w:cs="Times New Roman"/>
          <w:sz w:val="24"/>
          <w:szCs w:val="24"/>
          <w:lang w:eastAsia="pt-BR"/>
        </w:rPr>
      </w:pPr>
    </w:p>
    <w:p w:rsidR="0018407B"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O Resultado Orçamentário apurado em 31</w:t>
      </w:r>
      <w:r>
        <w:rPr>
          <w:rFonts w:ascii="Times New Roman" w:eastAsia="Times New Roman" w:hAnsi="Times New Roman" w:cs="Times New Roman"/>
          <w:sz w:val="24"/>
          <w:szCs w:val="24"/>
          <w:lang w:eastAsia="pt-BR"/>
        </w:rPr>
        <w:t>/12/202</w:t>
      </w:r>
      <w:r w:rsidR="002B23E8">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 xml:space="preserve"> foi um Superávit de </w:t>
      </w:r>
      <w:r w:rsidRPr="00EC6062">
        <w:rPr>
          <w:rFonts w:ascii="Times New Roman" w:eastAsia="Times New Roman" w:hAnsi="Times New Roman" w:cs="Times New Roman"/>
          <w:b/>
          <w:sz w:val="24"/>
          <w:szCs w:val="24"/>
          <w:lang w:eastAsia="pt-BR"/>
        </w:rPr>
        <w:t>R$</w:t>
      </w:r>
      <w:r>
        <w:rPr>
          <w:rFonts w:ascii="Times New Roman" w:eastAsia="Times New Roman" w:hAnsi="Times New Roman" w:cs="Times New Roman"/>
          <w:b/>
          <w:sz w:val="24"/>
          <w:szCs w:val="24"/>
          <w:lang w:eastAsia="pt-BR"/>
        </w:rPr>
        <w:t xml:space="preserve"> </w:t>
      </w:r>
      <w:r w:rsidR="001F2369">
        <w:rPr>
          <w:rFonts w:ascii="Times New Roman" w:eastAsia="Times New Roman" w:hAnsi="Times New Roman" w:cs="Times New Roman"/>
          <w:b/>
          <w:sz w:val="24"/>
          <w:szCs w:val="24"/>
          <w:lang w:eastAsia="pt-BR"/>
        </w:rPr>
        <w:t>10</w:t>
      </w:r>
      <w:r>
        <w:rPr>
          <w:rFonts w:ascii="Times New Roman" w:eastAsia="Times New Roman" w:hAnsi="Times New Roman" w:cs="Times New Roman"/>
          <w:b/>
          <w:sz w:val="24"/>
          <w:szCs w:val="24"/>
          <w:lang w:eastAsia="pt-BR"/>
        </w:rPr>
        <w:t>.</w:t>
      </w:r>
      <w:r w:rsidR="001F2369">
        <w:rPr>
          <w:rFonts w:ascii="Times New Roman" w:eastAsia="Times New Roman" w:hAnsi="Times New Roman" w:cs="Times New Roman"/>
          <w:b/>
          <w:sz w:val="24"/>
          <w:szCs w:val="24"/>
          <w:lang w:eastAsia="pt-BR"/>
        </w:rPr>
        <w:t>235</w:t>
      </w:r>
      <w:r>
        <w:rPr>
          <w:rFonts w:ascii="Times New Roman" w:eastAsia="Times New Roman" w:hAnsi="Times New Roman" w:cs="Times New Roman"/>
          <w:b/>
          <w:sz w:val="24"/>
          <w:szCs w:val="24"/>
          <w:lang w:eastAsia="pt-BR"/>
        </w:rPr>
        <w:t>.</w:t>
      </w:r>
      <w:r w:rsidR="001F2369">
        <w:rPr>
          <w:rFonts w:ascii="Times New Roman" w:eastAsia="Times New Roman" w:hAnsi="Times New Roman" w:cs="Times New Roman"/>
          <w:b/>
          <w:sz w:val="24"/>
          <w:szCs w:val="24"/>
          <w:lang w:eastAsia="pt-BR"/>
        </w:rPr>
        <w:t>679</w:t>
      </w:r>
      <w:r w:rsidRPr="00EC6062">
        <w:rPr>
          <w:rFonts w:ascii="Times New Roman" w:eastAsia="Times New Roman" w:hAnsi="Times New Roman" w:cs="Times New Roman"/>
          <w:b/>
          <w:sz w:val="24"/>
          <w:szCs w:val="24"/>
          <w:lang w:eastAsia="pt-BR"/>
        </w:rPr>
        <w:t xml:space="preserve"> </w:t>
      </w:r>
      <w:r w:rsidRPr="00CE2B53">
        <w:rPr>
          <w:rFonts w:ascii="Times New Roman" w:eastAsia="Times New Roman" w:hAnsi="Times New Roman" w:cs="Times New Roman"/>
          <w:sz w:val="24"/>
          <w:szCs w:val="24"/>
          <w:lang w:eastAsia="pt-BR"/>
        </w:rPr>
        <w:t>(</w:t>
      </w:r>
      <w:r w:rsidR="001F2369">
        <w:rPr>
          <w:rFonts w:ascii="Times New Roman" w:eastAsia="Times New Roman" w:hAnsi="Times New Roman" w:cs="Times New Roman"/>
          <w:sz w:val="24"/>
          <w:szCs w:val="24"/>
          <w:lang w:eastAsia="pt-BR"/>
        </w:rPr>
        <w:t xml:space="preserve">dez </w:t>
      </w:r>
      <w:r>
        <w:rPr>
          <w:rFonts w:ascii="Times New Roman" w:eastAsia="Times New Roman" w:hAnsi="Times New Roman" w:cs="Times New Roman"/>
          <w:sz w:val="24"/>
          <w:szCs w:val="24"/>
          <w:lang w:eastAsia="pt-BR"/>
        </w:rPr>
        <w:t xml:space="preserve">milhões, duzentos e </w:t>
      </w:r>
      <w:r w:rsidR="001F2369">
        <w:rPr>
          <w:rFonts w:ascii="Times New Roman" w:eastAsia="Times New Roman" w:hAnsi="Times New Roman" w:cs="Times New Roman"/>
          <w:sz w:val="24"/>
          <w:szCs w:val="24"/>
          <w:lang w:eastAsia="pt-BR"/>
        </w:rPr>
        <w:t xml:space="preserve">trinta </w:t>
      </w:r>
      <w:r>
        <w:rPr>
          <w:rFonts w:ascii="Times New Roman" w:eastAsia="Times New Roman" w:hAnsi="Times New Roman" w:cs="Times New Roman"/>
          <w:sz w:val="24"/>
          <w:szCs w:val="24"/>
          <w:lang w:eastAsia="pt-BR"/>
        </w:rPr>
        <w:t xml:space="preserve">mil, </w:t>
      </w:r>
      <w:r w:rsidR="001F2369">
        <w:rPr>
          <w:rFonts w:ascii="Times New Roman" w:eastAsia="Times New Roman" w:hAnsi="Times New Roman" w:cs="Times New Roman"/>
          <w:sz w:val="24"/>
          <w:szCs w:val="24"/>
          <w:lang w:eastAsia="pt-BR"/>
        </w:rPr>
        <w:t xml:space="preserve">seiscentos e setenta e nove </w:t>
      </w:r>
      <w:r>
        <w:rPr>
          <w:rFonts w:ascii="Times New Roman" w:eastAsia="Times New Roman" w:hAnsi="Times New Roman" w:cs="Times New Roman"/>
          <w:sz w:val="24"/>
          <w:szCs w:val="24"/>
          <w:lang w:eastAsia="pt-BR"/>
        </w:rPr>
        <w:t>reais</w:t>
      </w:r>
      <w:r w:rsidRPr="00CE2B53">
        <w:rPr>
          <w:rFonts w:ascii="Times New Roman" w:eastAsia="Times New Roman" w:hAnsi="Times New Roman" w:cs="Times New Roman"/>
          <w:sz w:val="24"/>
          <w:szCs w:val="24"/>
          <w:lang w:eastAsia="pt-BR"/>
        </w:rPr>
        <w:t>), conforme demonstração abaixo:</w:t>
      </w:r>
    </w:p>
    <w:p w:rsidR="0018407B"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w:t>
      </w:r>
    </w:p>
    <w:p w:rsidR="0018407B" w:rsidRPr="00301B97" w:rsidRDefault="0018407B" w:rsidP="0018407B">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Resultado Orçamentário 202</w:t>
      </w:r>
      <w:r w:rsidR="001F2369">
        <w:rPr>
          <w:rFonts w:ascii="Times New Roman" w:eastAsia="Times New Roman" w:hAnsi="Times New Roman" w:cs="Times New Roman"/>
          <w:b/>
          <w:sz w:val="24"/>
          <w:szCs w:val="24"/>
          <w:lang w:eastAsia="pt-BR"/>
        </w:rPr>
        <w:t>2</w:t>
      </w:r>
    </w:p>
    <w:p w:rsidR="0018407B" w:rsidRPr="00CE2B53"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a)    Receita Orça</w:t>
      </w:r>
      <w:r>
        <w:rPr>
          <w:rFonts w:ascii="Times New Roman" w:eastAsia="Times New Roman" w:hAnsi="Times New Roman" w:cs="Times New Roman"/>
          <w:sz w:val="24"/>
          <w:szCs w:val="24"/>
          <w:lang w:eastAsia="pt-BR"/>
        </w:rPr>
        <w:t>mentária Arrecadada até 31/12/2</w:t>
      </w:r>
      <w:r w:rsidR="001F2369">
        <w:rPr>
          <w:rFonts w:ascii="Times New Roman" w:eastAsia="Times New Roman" w:hAnsi="Times New Roman" w:cs="Times New Roman"/>
          <w:sz w:val="24"/>
          <w:szCs w:val="24"/>
          <w:lang w:eastAsia="pt-BR"/>
        </w:rPr>
        <w:t>2</w:t>
      </w:r>
      <w:r w:rsidRPr="00CE2B53">
        <w:rPr>
          <w:rFonts w:ascii="Times New Roman" w:eastAsia="Times New Roman" w:hAnsi="Times New Roman" w:cs="Times New Roman"/>
          <w:sz w:val="24"/>
          <w:szCs w:val="24"/>
          <w:lang w:eastAsia="pt-BR"/>
        </w:rPr>
        <w:t>    ............</w:t>
      </w:r>
      <w:r>
        <w:rPr>
          <w:rFonts w:ascii="Times New Roman" w:eastAsia="Times New Roman" w:hAnsi="Times New Roman" w:cs="Times New Roman"/>
          <w:sz w:val="24"/>
          <w:szCs w:val="24"/>
          <w:lang w:eastAsia="pt-BR"/>
        </w:rPr>
        <w:t>.........................................R</w:t>
      </w:r>
      <w:proofErr w:type="gramStart"/>
      <w:r>
        <w:rPr>
          <w:rFonts w:ascii="Times New Roman" w:eastAsia="Times New Roman" w:hAnsi="Times New Roman" w:cs="Times New Roman"/>
          <w:sz w:val="24"/>
          <w:szCs w:val="24"/>
          <w:lang w:eastAsia="pt-BR"/>
        </w:rPr>
        <w:t>$  </w:t>
      </w:r>
      <w:r w:rsidR="001F2369">
        <w:rPr>
          <w:rFonts w:ascii="Times New Roman" w:eastAsia="Times New Roman" w:hAnsi="Times New Roman" w:cs="Times New Roman"/>
          <w:sz w:val="24"/>
          <w:szCs w:val="24"/>
          <w:lang w:eastAsia="pt-BR"/>
        </w:rPr>
        <w:t>63</w:t>
      </w:r>
      <w:r>
        <w:rPr>
          <w:rFonts w:ascii="Times New Roman" w:eastAsia="Times New Roman" w:hAnsi="Times New Roman" w:cs="Times New Roman"/>
          <w:sz w:val="24"/>
          <w:szCs w:val="24"/>
          <w:lang w:eastAsia="pt-BR"/>
        </w:rPr>
        <w:t>.</w:t>
      </w:r>
      <w:r w:rsidR="001F2369">
        <w:rPr>
          <w:rFonts w:ascii="Times New Roman" w:eastAsia="Times New Roman" w:hAnsi="Times New Roman" w:cs="Times New Roman"/>
          <w:sz w:val="24"/>
          <w:szCs w:val="24"/>
          <w:lang w:eastAsia="pt-BR"/>
        </w:rPr>
        <w:t>583</w:t>
      </w:r>
      <w:r>
        <w:rPr>
          <w:rFonts w:ascii="Times New Roman" w:eastAsia="Times New Roman" w:hAnsi="Times New Roman" w:cs="Times New Roman"/>
          <w:sz w:val="24"/>
          <w:szCs w:val="24"/>
          <w:lang w:eastAsia="pt-BR"/>
        </w:rPr>
        <w:t>.</w:t>
      </w:r>
      <w:r w:rsidR="001F2369">
        <w:rPr>
          <w:rFonts w:ascii="Times New Roman" w:eastAsia="Times New Roman" w:hAnsi="Times New Roman" w:cs="Times New Roman"/>
          <w:sz w:val="24"/>
          <w:szCs w:val="24"/>
          <w:lang w:eastAsia="pt-BR"/>
        </w:rPr>
        <w:t>077</w:t>
      </w:r>
      <w:proofErr w:type="gramEnd"/>
    </w:p>
    <w:p w:rsidR="0018407B" w:rsidRPr="00CE2B53"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b) </w:t>
      </w:r>
      <w:proofErr w:type="gramStart"/>
      <w:r w:rsidRPr="00CE2B53">
        <w:rPr>
          <w:rFonts w:ascii="Times New Roman" w:eastAsia="Times New Roman" w:hAnsi="Times New Roman" w:cs="Times New Roman"/>
          <w:sz w:val="24"/>
          <w:szCs w:val="24"/>
          <w:lang w:eastAsia="pt-BR"/>
        </w:rPr>
        <w:t>   (</w:t>
      </w:r>
      <w:proofErr w:type="gramEnd"/>
      <w:r w:rsidRPr="00CE2B53">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w:t>
      </w:r>
      <w:r w:rsidR="001F2369">
        <w:rPr>
          <w:rFonts w:ascii="Times New Roman" w:eastAsia="Times New Roman" w:hAnsi="Times New Roman" w:cs="Times New Roman"/>
          <w:sz w:val="24"/>
          <w:szCs w:val="24"/>
          <w:lang w:eastAsia="pt-BR"/>
        </w:rPr>
        <w:t>  Crédito Empenhado até 31/12/22</w:t>
      </w:r>
      <w:r w:rsidRPr="00CE2B53">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.......................................R$ (</w:t>
      </w:r>
      <w:r w:rsidR="001F2369">
        <w:rPr>
          <w:rFonts w:ascii="Times New Roman" w:eastAsia="Times New Roman" w:hAnsi="Times New Roman" w:cs="Times New Roman"/>
          <w:sz w:val="24"/>
          <w:szCs w:val="24"/>
          <w:lang w:eastAsia="pt-BR"/>
        </w:rPr>
        <w:t>53</w:t>
      </w:r>
      <w:r>
        <w:rPr>
          <w:rFonts w:ascii="Times New Roman" w:eastAsia="Times New Roman" w:hAnsi="Times New Roman" w:cs="Times New Roman"/>
          <w:sz w:val="24"/>
          <w:szCs w:val="24"/>
          <w:lang w:eastAsia="pt-BR"/>
        </w:rPr>
        <w:t>.</w:t>
      </w:r>
      <w:r w:rsidR="001F2369">
        <w:rPr>
          <w:rFonts w:ascii="Times New Roman" w:eastAsia="Times New Roman" w:hAnsi="Times New Roman" w:cs="Times New Roman"/>
          <w:sz w:val="24"/>
          <w:szCs w:val="24"/>
          <w:lang w:eastAsia="pt-BR"/>
        </w:rPr>
        <w:t>347</w:t>
      </w:r>
      <w:r>
        <w:rPr>
          <w:rFonts w:ascii="Times New Roman" w:eastAsia="Times New Roman" w:hAnsi="Times New Roman" w:cs="Times New Roman"/>
          <w:sz w:val="24"/>
          <w:szCs w:val="24"/>
          <w:lang w:eastAsia="pt-BR"/>
        </w:rPr>
        <w:t>.</w:t>
      </w:r>
      <w:r w:rsidR="001F2369">
        <w:rPr>
          <w:rFonts w:ascii="Times New Roman" w:eastAsia="Times New Roman" w:hAnsi="Times New Roman" w:cs="Times New Roman"/>
          <w:sz w:val="24"/>
          <w:szCs w:val="24"/>
          <w:lang w:eastAsia="pt-BR"/>
        </w:rPr>
        <w:t>398</w:t>
      </w:r>
      <w:r w:rsidRPr="00CE2B53">
        <w:rPr>
          <w:rFonts w:ascii="Times New Roman" w:eastAsia="Times New Roman" w:hAnsi="Times New Roman" w:cs="Times New Roman"/>
          <w:sz w:val="24"/>
          <w:szCs w:val="24"/>
          <w:lang w:eastAsia="pt-BR"/>
        </w:rPr>
        <w:t>)</w:t>
      </w:r>
    </w:p>
    <w:p w:rsidR="0018407B" w:rsidRPr="00EC1D90" w:rsidRDefault="0018407B" w:rsidP="0018407B">
      <w:pPr>
        <w:spacing w:after="0" w:line="240" w:lineRule="auto"/>
        <w:jc w:val="both"/>
        <w:rPr>
          <w:rFonts w:ascii="Times New Roman" w:eastAsia="Times New Roman" w:hAnsi="Times New Roman" w:cs="Times New Roman"/>
          <w:b/>
          <w:sz w:val="24"/>
          <w:szCs w:val="24"/>
          <w:lang w:eastAsia="pt-BR"/>
        </w:rPr>
      </w:pPr>
      <w:r w:rsidRPr="00EC1D90">
        <w:rPr>
          <w:rFonts w:ascii="Times New Roman" w:eastAsia="Times New Roman" w:hAnsi="Times New Roman" w:cs="Times New Roman"/>
          <w:b/>
          <w:sz w:val="24"/>
          <w:szCs w:val="24"/>
          <w:lang w:eastAsia="pt-BR"/>
        </w:rPr>
        <w:t>c) </w:t>
      </w:r>
      <w:proofErr w:type="gramStart"/>
      <w:r w:rsidRPr="00EC1D90">
        <w:rPr>
          <w:rFonts w:ascii="Times New Roman" w:eastAsia="Times New Roman" w:hAnsi="Times New Roman" w:cs="Times New Roman"/>
          <w:b/>
          <w:sz w:val="24"/>
          <w:szCs w:val="24"/>
          <w:lang w:eastAsia="pt-BR"/>
        </w:rPr>
        <w:t>   (</w:t>
      </w:r>
      <w:proofErr w:type="gramEnd"/>
      <w:r w:rsidRPr="00EC1D90">
        <w:rPr>
          <w:rFonts w:ascii="Times New Roman" w:eastAsia="Times New Roman" w:hAnsi="Times New Roman" w:cs="Times New Roman"/>
          <w:b/>
          <w:sz w:val="24"/>
          <w:szCs w:val="24"/>
          <w:lang w:eastAsia="pt-BR"/>
        </w:rPr>
        <w:t>=) Superávit Orçamentário apu</w:t>
      </w:r>
      <w:r>
        <w:rPr>
          <w:rFonts w:ascii="Times New Roman" w:eastAsia="Times New Roman" w:hAnsi="Times New Roman" w:cs="Times New Roman"/>
          <w:b/>
          <w:sz w:val="24"/>
          <w:szCs w:val="24"/>
          <w:lang w:eastAsia="pt-BR"/>
        </w:rPr>
        <w:t>rado em 31/12/2</w:t>
      </w:r>
      <w:r w:rsidR="001F2369">
        <w:rPr>
          <w:rFonts w:ascii="Times New Roman" w:eastAsia="Times New Roman" w:hAnsi="Times New Roman" w:cs="Times New Roman"/>
          <w:b/>
          <w:sz w:val="24"/>
          <w:szCs w:val="24"/>
          <w:lang w:eastAsia="pt-BR"/>
        </w:rPr>
        <w:t>2</w:t>
      </w:r>
      <w:r>
        <w:rPr>
          <w:rFonts w:ascii="Times New Roman" w:eastAsia="Times New Roman" w:hAnsi="Times New Roman" w:cs="Times New Roman"/>
          <w:b/>
          <w:sz w:val="24"/>
          <w:szCs w:val="24"/>
          <w:lang w:eastAsia="pt-BR"/>
        </w:rPr>
        <w:t xml:space="preserve"> ...............................................R$  </w:t>
      </w:r>
      <w:r w:rsidR="001F2369">
        <w:rPr>
          <w:rFonts w:ascii="Times New Roman" w:eastAsia="Times New Roman" w:hAnsi="Times New Roman" w:cs="Times New Roman"/>
          <w:b/>
          <w:sz w:val="24"/>
          <w:szCs w:val="24"/>
          <w:lang w:eastAsia="pt-BR"/>
        </w:rPr>
        <w:t>10</w:t>
      </w:r>
      <w:r>
        <w:rPr>
          <w:rFonts w:ascii="Times New Roman" w:eastAsia="Times New Roman" w:hAnsi="Times New Roman" w:cs="Times New Roman"/>
          <w:b/>
          <w:sz w:val="24"/>
          <w:szCs w:val="24"/>
          <w:lang w:eastAsia="pt-BR"/>
        </w:rPr>
        <w:t>.</w:t>
      </w:r>
      <w:r w:rsidR="001F2369">
        <w:rPr>
          <w:rFonts w:ascii="Times New Roman" w:eastAsia="Times New Roman" w:hAnsi="Times New Roman" w:cs="Times New Roman"/>
          <w:b/>
          <w:sz w:val="24"/>
          <w:szCs w:val="24"/>
          <w:lang w:eastAsia="pt-BR"/>
        </w:rPr>
        <w:t>235</w:t>
      </w:r>
      <w:r>
        <w:rPr>
          <w:rFonts w:ascii="Times New Roman" w:eastAsia="Times New Roman" w:hAnsi="Times New Roman" w:cs="Times New Roman"/>
          <w:b/>
          <w:sz w:val="24"/>
          <w:szCs w:val="24"/>
          <w:lang w:eastAsia="pt-BR"/>
        </w:rPr>
        <w:t>.</w:t>
      </w:r>
      <w:r w:rsidR="001F2369">
        <w:rPr>
          <w:rFonts w:ascii="Times New Roman" w:eastAsia="Times New Roman" w:hAnsi="Times New Roman" w:cs="Times New Roman"/>
          <w:b/>
          <w:sz w:val="24"/>
          <w:szCs w:val="24"/>
          <w:lang w:eastAsia="pt-BR"/>
        </w:rPr>
        <w:t>679</w:t>
      </w:r>
    </w:p>
    <w:p w:rsidR="0018407B" w:rsidRDefault="0018407B" w:rsidP="0018407B">
      <w:pPr>
        <w:spacing w:after="0" w:line="240" w:lineRule="auto"/>
        <w:jc w:val="both"/>
        <w:rPr>
          <w:rFonts w:ascii="Times New Roman" w:eastAsia="Times New Roman" w:hAnsi="Times New Roman" w:cs="Times New Roman"/>
          <w:sz w:val="24"/>
          <w:szCs w:val="24"/>
          <w:lang w:eastAsia="pt-BR"/>
        </w:rPr>
      </w:pPr>
    </w:p>
    <w:p w:rsidR="001F2369" w:rsidRPr="00301B97" w:rsidRDefault="001F2369" w:rsidP="001F2369">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Resultado Orçamentário 2021</w:t>
      </w:r>
    </w:p>
    <w:p w:rsidR="001F2369" w:rsidRPr="00CE2B53" w:rsidRDefault="001F2369" w:rsidP="001F2369">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a)    Receita Orça</w:t>
      </w:r>
      <w:r>
        <w:rPr>
          <w:rFonts w:ascii="Times New Roman" w:eastAsia="Times New Roman" w:hAnsi="Times New Roman" w:cs="Times New Roman"/>
          <w:sz w:val="24"/>
          <w:szCs w:val="24"/>
          <w:lang w:eastAsia="pt-BR"/>
        </w:rPr>
        <w:t>mentária Arrecadada até 31/12/21</w:t>
      </w:r>
      <w:r w:rsidRPr="00CE2B53">
        <w:rPr>
          <w:rFonts w:ascii="Times New Roman" w:eastAsia="Times New Roman" w:hAnsi="Times New Roman" w:cs="Times New Roman"/>
          <w:sz w:val="24"/>
          <w:szCs w:val="24"/>
          <w:lang w:eastAsia="pt-BR"/>
        </w:rPr>
        <w:t>    ............</w:t>
      </w:r>
      <w:r>
        <w:rPr>
          <w:rFonts w:ascii="Times New Roman" w:eastAsia="Times New Roman" w:hAnsi="Times New Roman" w:cs="Times New Roman"/>
          <w:sz w:val="24"/>
          <w:szCs w:val="24"/>
          <w:lang w:eastAsia="pt-BR"/>
        </w:rPr>
        <w:t>.........................................R</w:t>
      </w:r>
      <w:proofErr w:type="gramStart"/>
      <w:r>
        <w:rPr>
          <w:rFonts w:ascii="Times New Roman" w:eastAsia="Times New Roman" w:hAnsi="Times New Roman" w:cs="Times New Roman"/>
          <w:sz w:val="24"/>
          <w:szCs w:val="24"/>
          <w:lang w:eastAsia="pt-BR"/>
        </w:rPr>
        <w:t>$  52.742.818</w:t>
      </w:r>
      <w:proofErr w:type="gramEnd"/>
    </w:p>
    <w:p w:rsidR="001F2369" w:rsidRPr="00CE2B53" w:rsidRDefault="001F2369" w:rsidP="001F2369">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b) </w:t>
      </w:r>
      <w:proofErr w:type="gramStart"/>
      <w:r w:rsidRPr="00CE2B53">
        <w:rPr>
          <w:rFonts w:ascii="Times New Roman" w:eastAsia="Times New Roman" w:hAnsi="Times New Roman" w:cs="Times New Roman"/>
          <w:sz w:val="24"/>
          <w:szCs w:val="24"/>
          <w:lang w:eastAsia="pt-BR"/>
        </w:rPr>
        <w:t>   (</w:t>
      </w:r>
      <w:proofErr w:type="gramEnd"/>
      <w:r w:rsidRPr="00CE2B53">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Crédito Empenhado até 31/12/21</w:t>
      </w:r>
      <w:r w:rsidRPr="00CE2B53">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.......................................R$ (45.482.103</w:t>
      </w:r>
      <w:r w:rsidRPr="00CE2B53">
        <w:rPr>
          <w:rFonts w:ascii="Times New Roman" w:eastAsia="Times New Roman" w:hAnsi="Times New Roman" w:cs="Times New Roman"/>
          <w:sz w:val="24"/>
          <w:szCs w:val="24"/>
          <w:lang w:eastAsia="pt-BR"/>
        </w:rPr>
        <w:t>)</w:t>
      </w:r>
    </w:p>
    <w:p w:rsidR="001F2369" w:rsidRPr="00EC1D90" w:rsidRDefault="001F2369" w:rsidP="001F2369">
      <w:pPr>
        <w:spacing w:after="0" w:line="240" w:lineRule="auto"/>
        <w:jc w:val="both"/>
        <w:rPr>
          <w:rFonts w:ascii="Times New Roman" w:eastAsia="Times New Roman" w:hAnsi="Times New Roman" w:cs="Times New Roman"/>
          <w:b/>
          <w:sz w:val="24"/>
          <w:szCs w:val="24"/>
          <w:lang w:eastAsia="pt-BR"/>
        </w:rPr>
      </w:pPr>
      <w:r w:rsidRPr="00EC1D90">
        <w:rPr>
          <w:rFonts w:ascii="Times New Roman" w:eastAsia="Times New Roman" w:hAnsi="Times New Roman" w:cs="Times New Roman"/>
          <w:b/>
          <w:sz w:val="24"/>
          <w:szCs w:val="24"/>
          <w:lang w:eastAsia="pt-BR"/>
        </w:rPr>
        <w:t>c) </w:t>
      </w:r>
      <w:proofErr w:type="gramStart"/>
      <w:r w:rsidRPr="00EC1D90">
        <w:rPr>
          <w:rFonts w:ascii="Times New Roman" w:eastAsia="Times New Roman" w:hAnsi="Times New Roman" w:cs="Times New Roman"/>
          <w:b/>
          <w:sz w:val="24"/>
          <w:szCs w:val="24"/>
          <w:lang w:eastAsia="pt-BR"/>
        </w:rPr>
        <w:t>   (</w:t>
      </w:r>
      <w:proofErr w:type="gramEnd"/>
      <w:r w:rsidRPr="00EC1D90">
        <w:rPr>
          <w:rFonts w:ascii="Times New Roman" w:eastAsia="Times New Roman" w:hAnsi="Times New Roman" w:cs="Times New Roman"/>
          <w:b/>
          <w:sz w:val="24"/>
          <w:szCs w:val="24"/>
          <w:lang w:eastAsia="pt-BR"/>
        </w:rPr>
        <w:t>=) Superávit Orçamentário apu</w:t>
      </w:r>
      <w:r>
        <w:rPr>
          <w:rFonts w:ascii="Times New Roman" w:eastAsia="Times New Roman" w:hAnsi="Times New Roman" w:cs="Times New Roman"/>
          <w:b/>
          <w:sz w:val="24"/>
          <w:szCs w:val="24"/>
          <w:lang w:eastAsia="pt-BR"/>
        </w:rPr>
        <w:t>rado em 31/12/21 ...............................................R$  7.260.715</w:t>
      </w:r>
    </w:p>
    <w:p w:rsidR="0018407B" w:rsidRDefault="0018407B" w:rsidP="0018407B">
      <w:pPr>
        <w:spacing w:after="0" w:line="240" w:lineRule="auto"/>
        <w:jc w:val="both"/>
        <w:rPr>
          <w:rFonts w:ascii="Times New Roman" w:eastAsia="Times New Roman" w:hAnsi="Times New Roman" w:cs="Times New Roman"/>
          <w:b/>
          <w:sz w:val="24"/>
          <w:szCs w:val="24"/>
          <w:lang w:eastAsia="pt-BR"/>
        </w:rPr>
      </w:pPr>
    </w:p>
    <w:p w:rsidR="0018407B" w:rsidRDefault="0018407B" w:rsidP="0018407B">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 Superávit Orçamentário de 202</w:t>
      </w:r>
      <w:r w:rsidR="00BB50CB">
        <w:rPr>
          <w:rFonts w:ascii="Times New Roman" w:eastAsia="Times New Roman" w:hAnsi="Times New Roman" w:cs="Times New Roman"/>
          <w:sz w:val="24"/>
          <w:szCs w:val="24"/>
          <w:lang w:eastAsia="pt-BR"/>
        </w:rPr>
        <w:t>2</w:t>
      </w:r>
      <w:r w:rsidRPr="00CE2B53">
        <w:rPr>
          <w:rFonts w:ascii="Times New Roman" w:eastAsia="Times New Roman" w:hAnsi="Times New Roman" w:cs="Times New Roman"/>
          <w:sz w:val="24"/>
          <w:szCs w:val="24"/>
          <w:lang w:eastAsia="pt-BR"/>
        </w:rPr>
        <w:t xml:space="preserve"> t</w:t>
      </w:r>
      <w:r>
        <w:rPr>
          <w:rFonts w:ascii="Times New Roman" w:eastAsia="Times New Roman" w:hAnsi="Times New Roman" w:cs="Times New Roman"/>
          <w:sz w:val="24"/>
          <w:szCs w:val="24"/>
          <w:lang w:eastAsia="pt-BR"/>
        </w:rPr>
        <w:t xml:space="preserve">eve um </w:t>
      </w:r>
      <w:r w:rsidRPr="00BE0C07">
        <w:rPr>
          <w:rFonts w:ascii="Times New Roman" w:eastAsia="Times New Roman" w:hAnsi="Times New Roman" w:cs="Times New Roman"/>
          <w:b/>
          <w:sz w:val="24"/>
          <w:szCs w:val="24"/>
          <w:lang w:eastAsia="pt-BR"/>
        </w:rPr>
        <w:t>acréscimo</w:t>
      </w:r>
      <w:r>
        <w:rPr>
          <w:rFonts w:ascii="Times New Roman" w:eastAsia="Times New Roman" w:hAnsi="Times New Roman" w:cs="Times New Roman"/>
          <w:sz w:val="24"/>
          <w:szCs w:val="24"/>
          <w:lang w:eastAsia="pt-BR"/>
        </w:rPr>
        <w:t xml:space="preserve"> no valor de </w:t>
      </w:r>
      <w:r w:rsidRPr="00EC6062">
        <w:rPr>
          <w:rFonts w:ascii="Times New Roman" w:eastAsia="Times New Roman" w:hAnsi="Times New Roman" w:cs="Times New Roman"/>
          <w:b/>
          <w:sz w:val="24"/>
          <w:szCs w:val="24"/>
          <w:lang w:eastAsia="pt-BR"/>
        </w:rPr>
        <w:t xml:space="preserve">R$ </w:t>
      </w:r>
      <w:r w:rsidR="00BB50CB">
        <w:rPr>
          <w:rFonts w:ascii="Times New Roman" w:eastAsia="Times New Roman" w:hAnsi="Times New Roman" w:cs="Times New Roman"/>
          <w:b/>
          <w:sz w:val="24"/>
          <w:szCs w:val="24"/>
          <w:lang w:eastAsia="pt-BR"/>
        </w:rPr>
        <w:t>2</w:t>
      </w:r>
      <w:r>
        <w:rPr>
          <w:rFonts w:ascii="Times New Roman" w:eastAsia="Times New Roman" w:hAnsi="Times New Roman" w:cs="Times New Roman"/>
          <w:b/>
          <w:sz w:val="24"/>
          <w:szCs w:val="24"/>
          <w:lang w:eastAsia="pt-BR"/>
        </w:rPr>
        <w:t>.</w:t>
      </w:r>
      <w:r w:rsidR="00BB50CB">
        <w:rPr>
          <w:rFonts w:ascii="Times New Roman" w:eastAsia="Times New Roman" w:hAnsi="Times New Roman" w:cs="Times New Roman"/>
          <w:b/>
          <w:sz w:val="24"/>
          <w:szCs w:val="24"/>
          <w:lang w:eastAsia="pt-BR"/>
        </w:rPr>
        <w:t>974</w:t>
      </w:r>
      <w:r>
        <w:rPr>
          <w:rFonts w:ascii="Times New Roman" w:eastAsia="Times New Roman" w:hAnsi="Times New Roman" w:cs="Times New Roman"/>
          <w:b/>
          <w:sz w:val="24"/>
          <w:szCs w:val="24"/>
          <w:lang w:eastAsia="pt-BR"/>
        </w:rPr>
        <w:t>.</w:t>
      </w:r>
      <w:r w:rsidR="00BB50CB">
        <w:rPr>
          <w:rFonts w:ascii="Times New Roman" w:eastAsia="Times New Roman" w:hAnsi="Times New Roman" w:cs="Times New Roman"/>
          <w:b/>
          <w:sz w:val="24"/>
          <w:szCs w:val="24"/>
          <w:lang w:eastAsia="pt-BR"/>
        </w:rPr>
        <w:t>964</w:t>
      </w:r>
      <w:r>
        <w:rPr>
          <w:rFonts w:ascii="Times New Roman" w:eastAsia="Times New Roman" w:hAnsi="Times New Roman" w:cs="Times New Roman"/>
          <w:sz w:val="24"/>
          <w:szCs w:val="24"/>
          <w:lang w:eastAsia="pt-BR"/>
        </w:rPr>
        <w:t xml:space="preserve"> (</w:t>
      </w:r>
      <w:r w:rsidR="00BB50CB">
        <w:rPr>
          <w:rFonts w:ascii="Times New Roman" w:eastAsia="Times New Roman" w:hAnsi="Times New Roman" w:cs="Times New Roman"/>
          <w:sz w:val="24"/>
          <w:szCs w:val="24"/>
          <w:lang w:eastAsia="pt-BR"/>
        </w:rPr>
        <w:t xml:space="preserve">dois </w:t>
      </w:r>
      <w:r w:rsidR="00314AB6">
        <w:rPr>
          <w:rFonts w:ascii="Times New Roman" w:eastAsia="Times New Roman" w:hAnsi="Times New Roman" w:cs="Times New Roman"/>
          <w:sz w:val="24"/>
          <w:szCs w:val="24"/>
          <w:lang w:eastAsia="pt-BR"/>
        </w:rPr>
        <w:t xml:space="preserve">milhões, novecentos e setenta e quatro </w:t>
      </w:r>
      <w:r>
        <w:rPr>
          <w:rFonts w:ascii="Times New Roman" w:eastAsia="Times New Roman" w:hAnsi="Times New Roman" w:cs="Times New Roman"/>
          <w:sz w:val="24"/>
          <w:szCs w:val="24"/>
          <w:lang w:eastAsia="pt-BR"/>
        </w:rPr>
        <w:t xml:space="preserve">mil, </w:t>
      </w:r>
      <w:r w:rsidR="00314AB6">
        <w:rPr>
          <w:rFonts w:ascii="Times New Roman" w:eastAsia="Times New Roman" w:hAnsi="Times New Roman" w:cs="Times New Roman"/>
          <w:sz w:val="24"/>
          <w:szCs w:val="24"/>
          <w:lang w:eastAsia="pt-BR"/>
        </w:rPr>
        <w:t xml:space="preserve">novecentos e sessenta e quatro </w:t>
      </w:r>
      <w:r>
        <w:rPr>
          <w:rFonts w:ascii="Times New Roman" w:eastAsia="Times New Roman" w:hAnsi="Times New Roman" w:cs="Times New Roman"/>
          <w:sz w:val="24"/>
          <w:szCs w:val="24"/>
          <w:lang w:eastAsia="pt-BR"/>
        </w:rPr>
        <w:t>reais)</w:t>
      </w:r>
      <w:r w:rsidRPr="00CE2B53">
        <w:rPr>
          <w:rFonts w:ascii="Times New Roman" w:eastAsia="Times New Roman" w:hAnsi="Times New Roman" w:cs="Times New Roman"/>
          <w:sz w:val="24"/>
          <w:szCs w:val="24"/>
          <w:lang w:eastAsia="pt-BR"/>
        </w:rPr>
        <w:t xml:space="preserve"> em relação ao exercício de </w:t>
      </w:r>
      <w:r>
        <w:rPr>
          <w:rFonts w:ascii="Times New Roman" w:eastAsia="Times New Roman" w:hAnsi="Times New Roman" w:cs="Times New Roman"/>
          <w:sz w:val="24"/>
          <w:szCs w:val="24"/>
          <w:lang w:eastAsia="pt-BR"/>
        </w:rPr>
        <w:t>202</w:t>
      </w:r>
      <w:r w:rsidR="00314AB6">
        <w:rPr>
          <w:rFonts w:ascii="Times New Roman" w:eastAsia="Times New Roman" w:hAnsi="Times New Roman" w:cs="Times New Roman"/>
          <w:sz w:val="24"/>
          <w:szCs w:val="24"/>
          <w:lang w:eastAsia="pt-BR"/>
        </w:rPr>
        <w:t>1</w:t>
      </w:r>
      <w:r>
        <w:rPr>
          <w:rFonts w:ascii="Times New Roman" w:eastAsia="Times New Roman" w:hAnsi="Times New Roman" w:cs="Times New Roman"/>
          <w:sz w:val="24"/>
          <w:szCs w:val="24"/>
          <w:lang w:eastAsia="pt-BR"/>
        </w:rPr>
        <w:t xml:space="preserve">, correspondente a </w:t>
      </w:r>
      <w:r w:rsidR="00314AB6">
        <w:rPr>
          <w:rFonts w:ascii="Times New Roman" w:eastAsia="Times New Roman" w:hAnsi="Times New Roman" w:cs="Times New Roman"/>
          <w:b/>
          <w:sz w:val="24"/>
          <w:szCs w:val="24"/>
          <w:lang w:eastAsia="pt-BR"/>
        </w:rPr>
        <w:t>40,97</w:t>
      </w:r>
      <w:r w:rsidRPr="00140F4A">
        <w:rPr>
          <w:rFonts w:ascii="Times New Roman" w:eastAsia="Times New Roman" w:hAnsi="Times New Roman" w:cs="Times New Roman"/>
          <w:b/>
          <w:sz w:val="24"/>
          <w:szCs w:val="24"/>
          <w:lang w:eastAsia="pt-BR"/>
        </w:rPr>
        <w:t>%</w:t>
      </w:r>
      <w:r>
        <w:rPr>
          <w:rFonts w:ascii="Times New Roman" w:eastAsia="Times New Roman" w:hAnsi="Times New Roman" w:cs="Times New Roman"/>
          <w:sz w:val="24"/>
          <w:szCs w:val="24"/>
          <w:lang w:eastAsia="pt-BR"/>
        </w:rPr>
        <w:t>.</w:t>
      </w:r>
    </w:p>
    <w:p w:rsidR="0018407B" w:rsidRPr="00CE2B53" w:rsidRDefault="0018407B" w:rsidP="0018407B">
      <w:pPr>
        <w:spacing w:after="0" w:line="240" w:lineRule="auto"/>
        <w:jc w:val="both"/>
        <w:rPr>
          <w:rFonts w:ascii="Times New Roman" w:eastAsia="Times New Roman" w:hAnsi="Times New Roman" w:cs="Times New Roman"/>
          <w:sz w:val="24"/>
          <w:szCs w:val="24"/>
          <w:lang w:eastAsia="pt-BR"/>
        </w:rPr>
      </w:pPr>
    </w:p>
    <w:p w:rsidR="0018407B" w:rsidRPr="00EC1D90" w:rsidRDefault="0018407B" w:rsidP="0018407B">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21. Resultado</w:t>
      </w:r>
      <w:r w:rsidRPr="00EC1D90">
        <w:rPr>
          <w:rFonts w:ascii="Times New Roman" w:eastAsia="Times New Roman" w:hAnsi="Times New Roman" w:cs="Times New Roman"/>
          <w:b/>
          <w:sz w:val="24"/>
          <w:szCs w:val="24"/>
          <w:lang w:eastAsia="pt-BR"/>
        </w:rPr>
        <w:t xml:space="preserve"> Financeiro</w:t>
      </w:r>
    </w:p>
    <w:p w:rsidR="0018407B" w:rsidRPr="00CE2B53" w:rsidRDefault="0018407B" w:rsidP="0018407B">
      <w:pPr>
        <w:spacing w:after="0" w:line="240" w:lineRule="auto"/>
        <w:jc w:val="both"/>
        <w:rPr>
          <w:rFonts w:ascii="Times New Roman" w:eastAsia="Times New Roman" w:hAnsi="Times New Roman" w:cs="Times New Roman"/>
          <w:sz w:val="24"/>
          <w:szCs w:val="24"/>
          <w:lang w:eastAsia="pt-BR"/>
        </w:rPr>
      </w:pPr>
    </w:p>
    <w:p w:rsidR="0018407B" w:rsidRPr="00CE2B53"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O Resultado Financeiro apurado em 31/12/</w:t>
      </w:r>
      <w:r>
        <w:rPr>
          <w:rFonts w:ascii="Times New Roman" w:eastAsia="Times New Roman" w:hAnsi="Times New Roman" w:cs="Times New Roman"/>
          <w:sz w:val="24"/>
          <w:szCs w:val="24"/>
          <w:lang w:eastAsia="pt-BR"/>
        </w:rPr>
        <w:t>2</w:t>
      </w:r>
      <w:r w:rsidR="00A10671">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 xml:space="preserve"> é um Superávit no valor de </w:t>
      </w:r>
      <w:r w:rsidRPr="00EC6062">
        <w:rPr>
          <w:rFonts w:ascii="Times New Roman" w:eastAsia="Times New Roman" w:hAnsi="Times New Roman" w:cs="Times New Roman"/>
          <w:b/>
          <w:sz w:val="24"/>
          <w:szCs w:val="24"/>
          <w:lang w:eastAsia="pt-BR"/>
        </w:rPr>
        <w:t>R$</w:t>
      </w:r>
      <w:r>
        <w:rPr>
          <w:rFonts w:ascii="Times New Roman" w:eastAsia="Times New Roman" w:hAnsi="Times New Roman" w:cs="Times New Roman"/>
          <w:b/>
          <w:sz w:val="24"/>
          <w:szCs w:val="24"/>
          <w:lang w:eastAsia="pt-BR"/>
        </w:rPr>
        <w:t xml:space="preserve"> </w:t>
      </w:r>
      <w:r w:rsidR="00B77D06">
        <w:rPr>
          <w:rFonts w:ascii="Times New Roman" w:eastAsia="Times New Roman" w:hAnsi="Times New Roman" w:cs="Times New Roman"/>
          <w:b/>
          <w:sz w:val="24"/>
          <w:szCs w:val="24"/>
          <w:lang w:eastAsia="pt-BR"/>
        </w:rPr>
        <w:t>5</w:t>
      </w:r>
      <w:r>
        <w:rPr>
          <w:rFonts w:ascii="Times New Roman" w:eastAsia="Times New Roman" w:hAnsi="Times New Roman" w:cs="Times New Roman"/>
          <w:b/>
          <w:sz w:val="24"/>
          <w:szCs w:val="24"/>
          <w:lang w:eastAsia="pt-BR"/>
        </w:rPr>
        <w:t>0.</w:t>
      </w:r>
      <w:r w:rsidR="00B77D06">
        <w:rPr>
          <w:rFonts w:ascii="Times New Roman" w:eastAsia="Times New Roman" w:hAnsi="Times New Roman" w:cs="Times New Roman"/>
          <w:b/>
          <w:sz w:val="24"/>
          <w:szCs w:val="24"/>
          <w:lang w:eastAsia="pt-BR"/>
        </w:rPr>
        <w:t>985</w:t>
      </w:r>
      <w:r>
        <w:rPr>
          <w:rFonts w:ascii="Times New Roman" w:eastAsia="Times New Roman" w:hAnsi="Times New Roman" w:cs="Times New Roman"/>
          <w:b/>
          <w:sz w:val="24"/>
          <w:szCs w:val="24"/>
          <w:lang w:eastAsia="pt-BR"/>
        </w:rPr>
        <w:t>.</w:t>
      </w:r>
      <w:r w:rsidR="00B77D06">
        <w:rPr>
          <w:rFonts w:ascii="Times New Roman" w:eastAsia="Times New Roman" w:hAnsi="Times New Roman" w:cs="Times New Roman"/>
          <w:b/>
          <w:sz w:val="24"/>
          <w:szCs w:val="24"/>
          <w:lang w:eastAsia="pt-BR"/>
        </w:rPr>
        <w:t>462</w:t>
      </w:r>
      <w:r w:rsidRPr="00EC6062">
        <w:rPr>
          <w:rFonts w:ascii="Times New Roman" w:eastAsia="Times New Roman" w:hAnsi="Times New Roman" w:cs="Times New Roman"/>
          <w:b/>
          <w:sz w:val="24"/>
          <w:szCs w:val="24"/>
          <w:lang w:eastAsia="pt-BR"/>
        </w:rPr>
        <w:t xml:space="preserve"> </w:t>
      </w:r>
      <w:r w:rsidRPr="00CE2B53">
        <w:rPr>
          <w:rFonts w:ascii="Times New Roman" w:eastAsia="Times New Roman" w:hAnsi="Times New Roman" w:cs="Times New Roman"/>
          <w:sz w:val="24"/>
          <w:szCs w:val="24"/>
          <w:lang w:eastAsia="pt-BR"/>
        </w:rPr>
        <w:t>(</w:t>
      </w:r>
      <w:r w:rsidR="002A6061">
        <w:rPr>
          <w:rFonts w:ascii="Times New Roman" w:eastAsia="Times New Roman" w:hAnsi="Times New Roman" w:cs="Times New Roman"/>
          <w:sz w:val="24"/>
          <w:szCs w:val="24"/>
          <w:lang w:eastAsia="pt-BR"/>
        </w:rPr>
        <w:t>cinquenta milhões</w:t>
      </w:r>
      <w:r>
        <w:rPr>
          <w:rFonts w:ascii="Times New Roman" w:eastAsia="Times New Roman" w:hAnsi="Times New Roman" w:cs="Times New Roman"/>
          <w:sz w:val="24"/>
          <w:szCs w:val="24"/>
          <w:lang w:eastAsia="pt-BR"/>
        </w:rPr>
        <w:t xml:space="preserve">, novecentos e </w:t>
      </w:r>
      <w:r w:rsidR="00A10671">
        <w:rPr>
          <w:rFonts w:ascii="Times New Roman" w:eastAsia="Times New Roman" w:hAnsi="Times New Roman" w:cs="Times New Roman"/>
          <w:sz w:val="24"/>
          <w:szCs w:val="24"/>
          <w:lang w:eastAsia="pt-BR"/>
        </w:rPr>
        <w:t xml:space="preserve">oitenta e cinco </w:t>
      </w:r>
      <w:r>
        <w:rPr>
          <w:rFonts w:ascii="Times New Roman" w:eastAsia="Times New Roman" w:hAnsi="Times New Roman" w:cs="Times New Roman"/>
          <w:sz w:val="24"/>
          <w:szCs w:val="24"/>
          <w:lang w:eastAsia="pt-BR"/>
        </w:rPr>
        <w:t xml:space="preserve">mil, </w:t>
      </w:r>
      <w:r w:rsidR="00A10671">
        <w:rPr>
          <w:rFonts w:ascii="Times New Roman" w:eastAsia="Times New Roman" w:hAnsi="Times New Roman" w:cs="Times New Roman"/>
          <w:sz w:val="24"/>
          <w:szCs w:val="24"/>
          <w:lang w:eastAsia="pt-BR"/>
        </w:rPr>
        <w:t xml:space="preserve">quatrocentos e sessenta e dois </w:t>
      </w:r>
      <w:r>
        <w:rPr>
          <w:rFonts w:ascii="Times New Roman" w:eastAsia="Times New Roman" w:hAnsi="Times New Roman" w:cs="Times New Roman"/>
          <w:sz w:val="24"/>
          <w:szCs w:val="24"/>
          <w:lang w:eastAsia="pt-BR"/>
        </w:rPr>
        <w:t>reais</w:t>
      </w:r>
      <w:r w:rsidRPr="00CE2B53">
        <w:rPr>
          <w:rFonts w:ascii="Times New Roman" w:eastAsia="Times New Roman" w:hAnsi="Times New Roman" w:cs="Times New Roman"/>
          <w:sz w:val="24"/>
          <w:szCs w:val="24"/>
          <w:lang w:eastAsia="pt-BR"/>
        </w:rPr>
        <w:t xml:space="preserve">), apurado no Balanço Patrimonial do mês de dezembro de </w:t>
      </w:r>
      <w:r w:rsidR="00A10671">
        <w:rPr>
          <w:rFonts w:ascii="Times New Roman" w:eastAsia="Times New Roman" w:hAnsi="Times New Roman" w:cs="Times New Roman"/>
          <w:sz w:val="24"/>
          <w:szCs w:val="24"/>
          <w:lang w:eastAsia="pt-BR"/>
        </w:rPr>
        <w:t>2022</w:t>
      </w:r>
      <w:r w:rsidRPr="00CE2B53">
        <w:rPr>
          <w:rFonts w:ascii="Times New Roman" w:eastAsia="Times New Roman" w:hAnsi="Times New Roman" w:cs="Times New Roman"/>
          <w:sz w:val="24"/>
          <w:szCs w:val="24"/>
          <w:lang w:eastAsia="pt-BR"/>
        </w:rPr>
        <w:t>, conforme demonstramos:</w:t>
      </w:r>
    </w:p>
    <w:p w:rsidR="0018407B" w:rsidRPr="00CE2B53"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xml:space="preserve">            </w:t>
      </w:r>
    </w:p>
    <w:p w:rsidR="0018407B" w:rsidRPr="00045707" w:rsidRDefault="0018407B" w:rsidP="0018407B">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Superávit Financeiro 202</w:t>
      </w:r>
      <w:r w:rsidR="00841C69">
        <w:rPr>
          <w:rFonts w:ascii="Times New Roman" w:eastAsia="Times New Roman" w:hAnsi="Times New Roman" w:cs="Times New Roman"/>
          <w:b/>
          <w:sz w:val="24"/>
          <w:szCs w:val="24"/>
          <w:lang w:eastAsia="pt-BR"/>
        </w:rPr>
        <w:t>2</w:t>
      </w:r>
    </w:p>
    <w:p w:rsidR="0018407B" w:rsidRPr="00CE2B53"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Ativo Financeiro</w:t>
      </w:r>
    </w:p>
    <w:p w:rsidR="0018407B" w:rsidRPr="00CE2B53"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a.    Caixa e</w:t>
      </w:r>
      <w:r>
        <w:rPr>
          <w:rFonts w:ascii="Times New Roman" w:eastAsia="Times New Roman" w:hAnsi="Times New Roman" w:cs="Times New Roman"/>
          <w:sz w:val="24"/>
          <w:szCs w:val="24"/>
          <w:lang w:eastAsia="pt-BR"/>
        </w:rPr>
        <w:t xml:space="preserve"> Equivalentes apurado em 31/12/2</w:t>
      </w:r>
      <w:r w:rsidR="00841C69">
        <w:rPr>
          <w:rFonts w:ascii="Times New Roman" w:eastAsia="Times New Roman" w:hAnsi="Times New Roman" w:cs="Times New Roman"/>
          <w:sz w:val="24"/>
          <w:szCs w:val="24"/>
          <w:lang w:eastAsia="pt-BR"/>
        </w:rPr>
        <w:t>2</w:t>
      </w:r>
      <w:r w:rsidRPr="00CE2B53">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ab/>
      </w:r>
      <w:r w:rsidRPr="00CE2B53">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 xml:space="preserve"> </w:t>
      </w:r>
      <w:r w:rsidR="00841C69">
        <w:rPr>
          <w:rFonts w:ascii="Times New Roman" w:eastAsia="Times New Roman" w:hAnsi="Times New Roman" w:cs="Times New Roman"/>
          <w:sz w:val="24"/>
          <w:szCs w:val="24"/>
          <w:lang w:eastAsia="pt-BR"/>
        </w:rPr>
        <w:t>61</w:t>
      </w:r>
      <w:r>
        <w:rPr>
          <w:rFonts w:ascii="Times New Roman" w:eastAsia="Times New Roman" w:hAnsi="Times New Roman" w:cs="Times New Roman"/>
          <w:sz w:val="24"/>
          <w:szCs w:val="24"/>
          <w:lang w:eastAsia="pt-BR"/>
        </w:rPr>
        <w:t>.</w:t>
      </w:r>
      <w:r w:rsidR="00841C69">
        <w:rPr>
          <w:rFonts w:ascii="Times New Roman" w:eastAsia="Times New Roman" w:hAnsi="Times New Roman" w:cs="Times New Roman"/>
          <w:sz w:val="24"/>
          <w:szCs w:val="24"/>
          <w:lang w:eastAsia="pt-BR"/>
        </w:rPr>
        <w:t>020</w:t>
      </w:r>
      <w:r>
        <w:rPr>
          <w:rFonts w:ascii="Times New Roman" w:eastAsia="Times New Roman" w:hAnsi="Times New Roman" w:cs="Times New Roman"/>
          <w:sz w:val="24"/>
          <w:szCs w:val="24"/>
          <w:lang w:eastAsia="pt-BR"/>
        </w:rPr>
        <w:t>.</w:t>
      </w:r>
      <w:r w:rsidR="00841C69">
        <w:rPr>
          <w:rFonts w:ascii="Times New Roman" w:eastAsia="Times New Roman" w:hAnsi="Times New Roman" w:cs="Times New Roman"/>
          <w:sz w:val="24"/>
          <w:szCs w:val="24"/>
          <w:lang w:eastAsia="pt-BR"/>
        </w:rPr>
        <w:t>373</w:t>
      </w:r>
    </w:p>
    <w:p w:rsidR="0018407B" w:rsidRPr="00CE2B53"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Passivo Financeiro</w:t>
      </w:r>
    </w:p>
    <w:p w:rsidR="0018407B" w:rsidRPr="00CE2B53"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b.    (</w:t>
      </w:r>
      <w:r>
        <w:rPr>
          <w:rFonts w:ascii="Times New Roman" w:eastAsia="Times New Roman" w:hAnsi="Times New Roman" w:cs="Times New Roman"/>
          <w:sz w:val="24"/>
          <w:szCs w:val="24"/>
          <w:lang w:eastAsia="pt-BR"/>
        </w:rPr>
        <w:t>-) Passivo Circulante em 31/12/2</w:t>
      </w:r>
      <w:r w:rsidR="00841C69">
        <w:rPr>
          <w:rFonts w:ascii="Times New Roman" w:eastAsia="Times New Roman" w:hAnsi="Times New Roman" w:cs="Times New Roman"/>
          <w:sz w:val="24"/>
          <w:szCs w:val="24"/>
          <w:lang w:eastAsia="pt-BR"/>
        </w:rPr>
        <w:t>2</w:t>
      </w:r>
      <w:r w:rsidRPr="00CE2B53">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ab/>
      </w:r>
      <w:r w:rsidRPr="00CE2B53">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 xml:space="preserve"> (</w:t>
      </w:r>
      <w:r w:rsidR="00841C69">
        <w:rPr>
          <w:rFonts w:ascii="Times New Roman" w:eastAsia="Times New Roman" w:hAnsi="Times New Roman" w:cs="Times New Roman"/>
          <w:sz w:val="24"/>
          <w:szCs w:val="24"/>
          <w:lang w:eastAsia="pt-BR"/>
        </w:rPr>
        <w:t>8</w:t>
      </w:r>
      <w:r>
        <w:rPr>
          <w:rFonts w:ascii="Times New Roman" w:eastAsia="Times New Roman" w:hAnsi="Times New Roman" w:cs="Times New Roman"/>
          <w:sz w:val="24"/>
          <w:szCs w:val="24"/>
          <w:lang w:eastAsia="pt-BR"/>
        </w:rPr>
        <w:t>.</w:t>
      </w:r>
      <w:r w:rsidR="00841C69">
        <w:rPr>
          <w:rFonts w:ascii="Times New Roman" w:eastAsia="Times New Roman" w:hAnsi="Times New Roman" w:cs="Times New Roman"/>
          <w:sz w:val="24"/>
          <w:szCs w:val="24"/>
          <w:lang w:eastAsia="pt-BR"/>
        </w:rPr>
        <w:t>482</w:t>
      </w:r>
      <w:r>
        <w:rPr>
          <w:rFonts w:ascii="Times New Roman" w:eastAsia="Times New Roman" w:hAnsi="Times New Roman" w:cs="Times New Roman"/>
          <w:sz w:val="24"/>
          <w:szCs w:val="24"/>
          <w:lang w:eastAsia="pt-BR"/>
        </w:rPr>
        <w:t>.</w:t>
      </w:r>
      <w:r w:rsidR="00841C69">
        <w:rPr>
          <w:rFonts w:ascii="Times New Roman" w:eastAsia="Times New Roman" w:hAnsi="Times New Roman" w:cs="Times New Roman"/>
          <w:sz w:val="24"/>
          <w:szCs w:val="24"/>
          <w:lang w:eastAsia="pt-BR"/>
        </w:rPr>
        <w:t>040</w:t>
      </w:r>
      <w:r w:rsidRPr="00CE2B53">
        <w:rPr>
          <w:rFonts w:ascii="Times New Roman" w:eastAsia="Times New Roman" w:hAnsi="Times New Roman" w:cs="Times New Roman"/>
          <w:sz w:val="24"/>
          <w:szCs w:val="24"/>
          <w:lang w:eastAsia="pt-BR"/>
        </w:rPr>
        <w:t>)</w:t>
      </w:r>
    </w:p>
    <w:p w:rsidR="0018407B" w:rsidRPr="00CE2B53"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c.    (-) Restos a Pagar Não Processados–20</w:t>
      </w:r>
      <w:r>
        <w:rPr>
          <w:rFonts w:ascii="Times New Roman" w:eastAsia="Times New Roman" w:hAnsi="Times New Roman" w:cs="Times New Roman"/>
          <w:sz w:val="24"/>
          <w:szCs w:val="24"/>
          <w:lang w:eastAsia="pt-BR"/>
        </w:rPr>
        <w:t>2</w:t>
      </w:r>
      <w:r w:rsidR="00841C69">
        <w:rPr>
          <w:rFonts w:ascii="Times New Roman" w:eastAsia="Times New Roman" w:hAnsi="Times New Roman" w:cs="Times New Roman"/>
          <w:sz w:val="24"/>
          <w:szCs w:val="24"/>
          <w:lang w:eastAsia="pt-BR"/>
        </w:rPr>
        <w:t>1</w:t>
      </w:r>
      <w:r w:rsidRPr="00CE2B53">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w:t>
      </w:r>
      <w:r w:rsidRPr="00CE2B53">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ab/>
      </w:r>
      <w:r w:rsidRPr="00CE2B53">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 xml:space="preserve"> </w:t>
      </w:r>
      <w:proofErr w:type="gramStart"/>
      <w:r>
        <w:rPr>
          <w:rFonts w:ascii="Times New Roman" w:eastAsia="Times New Roman" w:hAnsi="Times New Roman" w:cs="Times New Roman"/>
          <w:sz w:val="24"/>
          <w:szCs w:val="24"/>
          <w:lang w:eastAsia="pt-BR"/>
        </w:rPr>
        <w:t xml:space="preserve">   (</w:t>
      </w:r>
      <w:proofErr w:type="gramEnd"/>
      <w:r w:rsidR="00B77D06">
        <w:rPr>
          <w:rFonts w:ascii="Times New Roman" w:eastAsia="Times New Roman" w:hAnsi="Times New Roman" w:cs="Times New Roman"/>
          <w:sz w:val="24"/>
          <w:szCs w:val="24"/>
          <w:lang w:eastAsia="pt-BR"/>
        </w:rPr>
        <w:t>156</w:t>
      </w:r>
      <w:r>
        <w:rPr>
          <w:rFonts w:ascii="Times New Roman" w:eastAsia="Times New Roman" w:hAnsi="Times New Roman" w:cs="Times New Roman"/>
          <w:sz w:val="24"/>
          <w:szCs w:val="24"/>
          <w:lang w:eastAsia="pt-BR"/>
        </w:rPr>
        <w:t>.</w:t>
      </w:r>
      <w:r w:rsidR="00B77D06">
        <w:rPr>
          <w:rFonts w:ascii="Times New Roman" w:eastAsia="Times New Roman" w:hAnsi="Times New Roman" w:cs="Times New Roman"/>
          <w:sz w:val="24"/>
          <w:szCs w:val="24"/>
          <w:lang w:eastAsia="pt-BR"/>
        </w:rPr>
        <w:t>430</w:t>
      </w:r>
      <w:r w:rsidRPr="00CE2B53">
        <w:rPr>
          <w:rFonts w:ascii="Times New Roman" w:eastAsia="Times New Roman" w:hAnsi="Times New Roman" w:cs="Times New Roman"/>
          <w:sz w:val="24"/>
          <w:szCs w:val="24"/>
          <w:lang w:eastAsia="pt-BR"/>
        </w:rPr>
        <w:t>)</w:t>
      </w:r>
    </w:p>
    <w:p w:rsidR="0018407B" w:rsidRPr="00CE2B53"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d.    (-) Restos a Pagar Não Processados–</w:t>
      </w:r>
      <w:r>
        <w:rPr>
          <w:rFonts w:ascii="Times New Roman" w:eastAsia="Times New Roman" w:hAnsi="Times New Roman" w:cs="Times New Roman"/>
          <w:sz w:val="24"/>
          <w:szCs w:val="24"/>
          <w:lang w:eastAsia="pt-BR"/>
        </w:rPr>
        <w:t>202</w:t>
      </w:r>
      <w:r w:rsidR="00841C69">
        <w:rPr>
          <w:rFonts w:ascii="Times New Roman" w:eastAsia="Times New Roman" w:hAnsi="Times New Roman" w:cs="Times New Roman"/>
          <w:sz w:val="24"/>
          <w:szCs w:val="24"/>
          <w:lang w:eastAsia="pt-BR"/>
        </w:rPr>
        <w:t>2</w:t>
      </w:r>
      <w:r w:rsidRPr="00CE2B53">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w:t>
      </w:r>
      <w:r w:rsidRPr="00CE2B53">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ab/>
      </w:r>
      <w:r w:rsidRPr="00CE2B53">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 xml:space="preserve"> (</w:t>
      </w:r>
      <w:r w:rsidR="00B77D06">
        <w:rPr>
          <w:rFonts w:ascii="Times New Roman" w:eastAsia="Times New Roman" w:hAnsi="Times New Roman" w:cs="Times New Roman"/>
          <w:sz w:val="24"/>
          <w:szCs w:val="24"/>
          <w:lang w:eastAsia="pt-BR"/>
        </w:rPr>
        <w:t>1</w:t>
      </w:r>
      <w:r>
        <w:rPr>
          <w:rFonts w:ascii="Times New Roman" w:eastAsia="Times New Roman" w:hAnsi="Times New Roman" w:cs="Times New Roman"/>
          <w:sz w:val="24"/>
          <w:szCs w:val="24"/>
          <w:lang w:eastAsia="pt-BR"/>
        </w:rPr>
        <w:t>.</w:t>
      </w:r>
      <w:r w:rsidR="00B77D06">
        <w:rPr>
          <w:rFonts w:ascii="Times New Roman" w:eastAsia="Times New Roman" w:hAnsi="Times New Roman" w:cs="Times New Roman"/>
          <w:sz w:val="24"/>
          <w:szCs w:val="24"/>
          <w:lang w:eastAsia="pt-BR"/>
        </w:rPr>
        <w:t>396</w:t>
      </w:r>
      <w:r>
        <w:rPr>
          <w:rFonts w:ascii="Times New Roman" w:eastAsia="Times New Roman" w:hAnsi="Times New Roman" w:cs="Times New Roman"/>
          <w:sz w:val="24"/>
          <w:szCs w:val="24"/>
          <w:lang w:eastAsia="pt-BR"/>
        </w:rPr>
        <w:t>.</w:t>
      </w:r>
      <w:r w:rsidR="00B77D06">
        <w:rPr>
          <w:rFonts w:ascii="Times New Roman" w:eastAsia="Times New Roman" w:hAnsi="Times New Roman" w:cs="Times New Roman"/>
          <w:sz w:val="24"/>
          <w:szCs w:val="24"/>
          <w:lang w:eastAsia="pt-BR"/>
        </w:rPr>
        <w:t>440</w:t>
      </w:r>
      <w:r w:rsidRPr="00CE2B53">
        <w:rPr>
          <w:rFonts w:ascii="Times New Roman" w:eastAsia="Times New Roman" w:hAnsi="Times New Roman" w:cs="Times New Roman"/>
          <w:sz w:val="24"/>
          <w:szCs w:val="24"/>
          <w:lang w:eastAsia="pt-BR"/>
        </w:rPr>
        <w:t>)</w:t>
      </w:r>
    </w:p>
    <w:p w:rsidR="0018407B" w:rsidRDefault="0018407B" w:rsidP="0018407B">
      <w:pPr>
        <w:spacing w:after="0" w:line="240" w:lineRule="auto"/>
        <w:jc w:val="both"/>
        <w:rPr>
          <w:rFonts w:ascii="Times New Roman" w:eastAsia="Times New Roman" w:hAnsi="Times New Roman" w:cs="Times New Roman"/>
          <w:b/>
          <w:sz w:val="24"/>
          <w:szCs w:val="24"/>
          <w:lang w:eastAsia="pt-BR"/>
        </w:rPr>
      </w:pPr>
      <w:r w:rsidRPr="00EC1D90">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Superávit Financeiro em 31/12/2</w:t>
      </w:r>
      <w:r w:rsidR="00841C69">
        <w:rPr>
          <w:rFonts w:ascii="Times New Roman" w:eastAsia="Times New Roman" w:hAnsi="Times New Roman" w:cs="Times New Roman"/>
          <w:b/>
          <w:sz w:val="24"/>
          <w:szCs w:val="24"/>
          <w:lang w:eastAsia="pt-BR"/>
        </w:rPr>
        <w:t>2</w:t>
      </w:r>
      <w:r w:rsidRPr="00EC1D90">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w:t>
      </w:r>
      <w:r>
        <w:rPr>
          <w:rFonts w:ascii="Times New Roman" w:eastAsia="Times New Roman" w:hAnsi="Times New Roman" w:cs="Times New Roman"/>
          <w:b/>
          <w:sz w:val="24"/>
          <w:szCs w:val="24"/>
          <w:lang w:eastAsia="pt-BR"/>
        </w:rPr>
        <w:tab/>
      </w:r>
      <w:r w:rsidRPr="00EC1D90">
        <w:rPr>
          <w:rFonts w:ascii="Times New Roman" w:eastAsia="Times New Roman" w:hAnsi="Times New Roman" w:cs="Times New Roman"/>
          <w:b/>
          <w:sz w:val="24"/>
          <w:szCs w:val="24"/>
          <w:lang w:eastAsia="pt-BR"/>
        </w:rPr>
        <w:t>R$</w:t>
      </w:r>
      <w:r>
        <w:rPr>
          <w:rFonts w:ascii="Times New Roman" w:eastAsia="Times New Roman" w:hAnsi="Times New Roman" w:cs="Times New Roman"/>
          <w:b/>
          <w:sz w:val="24"/>
          <w:szCs w:val="24"/>
          <w:lang w:eastAsia="pt-BR"/>
        </w:rPr>
        <w:t xml:space="preserve"> </w:t>
      </w:r>
      <w:r w:rsidR="00B77D06">
        <w:rPr>
          <w:rFonts w:ascii="Times New Roman" w:eastAsia="Times New Roman" w:hAnsi="Times New Roman" w:cs="Times New Roman"/>
          <w:b/>
          <w:sz w:val="24"/>
          <w:szCs w:val="24"/>
          <w:lang w:eastAsia="pt-BR"/>
        </w:rPr>
        <w:t>5</w:t>
      </w:r>
      <w:r>
        <w:rPr>
          <w:rFonts w:ascii="Times New Roman" w:eastAsia="Times New Roman" w:hAnsi="Times New Roman" w:cs="Times New Roman"/>
          <w:b/>
          <w:sz w:val="24"/>
          <w:szCs w:val="24"/>
          <w:lang w:eastAsia="pt-BR"/>
        </w:rPr>
        <w:t>0.</w:t>
      </w:r>
      <w:r w:rsidR="00B77D06">
        <w:rPr>
          <w:rFonts w:ascii="Times New Roman" w:eastAsia="Times New Roman" w:hAnsi="Times New Roman" w:cs="Times New Roman"/>
          <w:b/>
          <w:sz w:val="24"/>
          <w:szCs w:val="24"/>
          <w:lang w:eastAsia="pt-BR"/>
        </w:rPr>
        <w:t>985</w:t>
      </w:r>
      <w:r>
        <w:rPr>
          <w:rFonts w:ascii="Times New Roman" w:eastAsia="Times New Roman" w:hAnsi="Times New Roman" w:cs="Times New Roman"/>
          <w:b/>
          <w:sz w:val="24"/>
          <w:szCs w:val="24"/>
          <w:lang w:eastAsia="pt-BR"/>
        </w:rPr>
        <w:t>.</w:t>
      </w:r>
      <w:r w:rsidR="00B77D06">
        <w:rPr>
          <w:rFonts w:ascii="Times New Roman" w:eastAsia="Times New Roman" w:hAnsi="Times New Roman" w:cs="Times New Roman"/>
          <w:b/>
          <w:sz w:val="24"/>
          <w:szCs w:val="24"/>
          <w:lang w:eastAsia="pt-BR"/>
        </w:rPr>
        <w:t>462</w:t>
      </w:r>
    </w:p>
    <w:p w:rsidR="0018407B" w:rsidRDefault="0018407B" w:rsidP="0018407B">
      <w:pPr>
        <w:spacing w:after="0" w:line="240" w:lineRule="auto"/>
        <w:jc w:val="both"/>
        <w:rPr>
          <w:rFonts w:ascii="Times New Roman" w:eastAsia="Times New Roman" w:hAnsi="Times New Roman" w:cs="Times New Roman"/>
          <w:b/>
          <w:sz w:val="24"/>
          <w:szCs w:val="24"/>
          <w:lang w:eastAsia="pt-BR"/>
        </w:rPr>
      </w:pPr>
    </w:p>
    <w:p w:rsidR="00841C69" w:rsidRPr="00045707" w:rsidRDefault="00841C69" w:rsidP="00841C69">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Superávit Financeiro 2021</w:t>
      </w:r>
    </w:p>
    <w:p w:rsidR="00841C69" w:rsidRPr="00CE2B53" w:rsidRDefault="00841C69" w:rsidP="00841C69">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Ativo Financeiro</w:t>
      </w:r>
    </w:p>
    <w:p w:rsidR="00841C69" w:rsidRPr="00CE2B53" w:rsidRDefault="00841C69" w:rsidP="00841C69">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a.    Caixa e</w:t>
      </w:r>
      <w:r>
        <w:rPr>
          <w:rFonts w:ascii="Times New Roman" w:eastAsia="Times New Roman" w:hAnsi="Times New Roman" w:cs="Times New Roman"/>
          <w:sz w:val="24"/>
          <w:szCs w:val="24"/>
          <w:lang w:eastAsia="pt-BR"/>
        </w:rPr>
        <w:t xml:space="preserve"> Equivalentes apurado em 31/12/21</w:t>
      </w:r>
      <w:r w:rsidRPr="00CE2B53">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ab/>
      </w:r>
      <w:r w:rsidRPr="00CE2B53">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 xml:space="preserve"> 51.167.222</w:t>
      </w:r>
    </w:p>
    <w:p w:rsidR="00841C69" w:rsidRPr="00CE2B53" w:rsidRDefault="00841C69" w:rsidP="00841C69">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Passivo Financeiro</w:t>
      </w:r>
    </w:p>
    <w:p w:rsidR="00841C69" w:rsidRPr="00CE2B53" w:rsidRDefault="00841C69" w:rsidP="00841C69">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b.    (</w:t>
      </w:r>
      <w:r>
        <w:rPr>
          <w:rFonts w:ascii="Times New Roman" w:eastAsia="Times New Roman" w:hAnsi="Times New Roman" w:cs="Times New Roman"/>
          <w:sz w:val="24"/>
          <w:szCs w:val="24"/>
          <w:lang w:eastAsia="pt-BR"/>
        </w:rPr>
        <w:t>-) Passivo Circulante em 31/12/21</w:t>
      </w:r>
      <w:r w:rsidRPr="00CE2B53">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ab/>
      </w:r>
      <w:r w:rsidRPr="00CE2B53">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 xml:space="preserve"> (7.682.934</w:t>
      </w:r>
      <w:r w:rsidRPr="00CE2B53">
        <w:rPr>
          <w:rFonts w:ascii="Times New Roman" w:eastAsia="Times New Roman" w:hAnsi="Times New Roman" w:cs="Times New Roman"/>
          <w:sz w:val="24"/>
          <w:szCs w:val="24"/>
          <w:lang w:eastAsia="pt-BR"/>
        </w:rPr>
        <w:t>)</w:t>
      </w:r>
    </w:p>
    <w:p w:rsidR="00841C69" w:rsidRPr="00CE2B53" w:rsidRDefault="00841C69" w:rsidP="00841C69">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c.    (-) Restos a Pagar Não Processados–20</w:t>
      </w:r>
      <w:r>
        <w:rPr>
          <w:rFonts w:ascii="Times New Roman" w:eastAsia="Times New Roman" w:hAnsi="Times New Roman" w:cs="Times New Roman"/>
          <w:sz w:val="24"/>
          <w:szCs w:val="24"/>
          <w:lang w:eastAsia="pt-BR"/>
        </w:rPr>
        <w:t>20</w:t>
      </w:r>
      <w:r w:rsidRPr="00CE2B53">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w:t>
      </w:r>
      <w:r w:rsidRPr="00CE2B53">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ab/>
      </w:r>
      <w:r w:rsidRPr="00CE2B53">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 xml:space="preserve"> </w:t>
      </w:r>
      <w:proofErr w:type="gramStart"/>
      <w:r>
        <w:rPr>
          <w:rFonts w:ascii="Times New Roman" w:eastAsia="Times New Roman" w:hAnsi="Times New Roman" w:cs="Times New Roman"/>
          <w:sz w:val="24"/>
          <w:szCs w:val="24"/>
          <w:lang w:eastAsia="pt-BR"/>
        </w:rPr>
        <w:t xml:space="preserve">   (</w:t>
      </w:r>
      <w:proofErr w:type="gramEnd"/>
      <w:r>
        <w:rPr>
          <w:rFonts w:ascii="Times New Roman" w:eastAsia="Times New Roman" w:hAnsi="Times New Roman" w:cs="Times New Roman"/>
          <w:sz w:val="24"/>
          <w:szCs w:val="24"/>
          <w:lang w:eastAsia="pt-BR"/>
        </w:rPr>
        <w:t>434.497</w:t>
      </w:r>
      <w:r w:rsidRPr="00CE2B53">
        <w:rPr>
          <w:rFonts w:ascii="Times New Roman" w:eastAsia="Times New Roman" w:hAnsi="Times New Roman" w:cs="Times New Roman"/>
          <w:sz w:val="24"/>
          <w:szCs w:val="24"/>
          <w:lang w:eastAsia="pt-BR"/>
        </w:rPr>
        <w:t>)</w:t>
      </w:r>
    </w:p>
    <w:p w:rsidR="00841C69" w:rsidRPr="00CE2B53" w:rsidRDefault="00841C69" w:rsidP="00841C69">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d.    (-) Restos a Pagar Não Processados–</w:t>
      </w:r>
      <w:r>
        <w:rPr>
          <w:rFonts w:ascii="Times New Roman" w:eastAsia="Times New Roman" w:hAnsi="Times New Roman" w:cs="Times New Roman"/>
          <w:sz w:val="24"/>
          <w:szCs w:val="24"/>
          <w:lang w:eastAsia="pt-BR"/>
        </w:rPr>
        <w:t>2021</w:t>
      </w:r>
      <w:r w:rsidRPr="00CE2B53">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w:t>
      </w:r>
      <w:r w:rsidRPr="00CE2B53">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ab/>
      </w:r>
      <w:r w:rsidRPr="00CE2B53">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 xml:space="preserve"> (2.143.171</w:t>
      </w:r>
      <w:r w:rsidRPr="00CE2B53">
        <w:rPr>
          <w:rFonts w:ascii="Times New Roman" w:eastAsia="Times New Roman" w:hAnsi="Times New Roman" w:cs="Times New Roman"/>
          <w:sz w:val="24"/>
          <w:szCs w:val="24"/>
          <w:lang w:eastAsia="pt-BR"/>
        </w:rPr>
        <w:t>)</w:t>
      </w:r>
    </w:p>
    <w:p w:rsidR="00841C69" w:rsidRDefault="00841C69" w:rsidP="00841C69">
      <w:pPr>
        <w:spacing w:after="0" w:line="240" w:lineRule="auto"/>
        <w:jc w:val="both"/>
        <w:rPr>
          <w:rFonts w:ascii="Times New Roman" w:eastAsia="Times New Roman" w:hAnsi="Times New Roman" w:cs="Times New Roman"/>
          <w:b/>
          <w:sz w:val="24"/>
          <w:szCs w:val="24"/>
          <w:lang w:eastAsia="pt-BR"/>
        </w:rPr>
      </w:pPr>
      <w:r w:rsidRPr="00EC1D90">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Superávit Financeiro em 31/12/21</w:t>
      </w:r>
      <w:r w:rsidRPr="00EC1D90">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w:t>
      </w:r>
      <w:r>
        <w:rPr>
          <w:rFonts w:ascii="Times New Roman" w:eastAsia="Times New Roman" w:hAnsi="Times New Roman" w:cs="Times New Roman"/>
          <w:b/>
          <w:sz w:val="24"/>
          <w:szCs w:val="24"/>
          <w:lang w:eastAsia="pt-BR"/>
        </w:rPr>
        <w:tab/>
      </w:r>
      <w:r w:rsidRPr="00EC1D90">
        <w:rPr>
          <w:rFonts w:ascii="Times New Roman" w:eastAsia="Times New Roman" w:hAnsi="Times New Roman" w:cs="Times New Roman"/>
          <w:b/>
          <w:sz w:val="24"/>
          <w:szCs w:val="24"/>
          <w:lang w:eastAsia="pt-BR"/>
        </w:rPr>
        <w:t>R$</w:t>
      </w:r>
      <w:r>
        <w:rPr>
          <w:rFonts w:ascii="Times New Roman" w:eastAsia="Times New Roman" w:hAnsi="Times New Roman" w:cs="Times New Roman"/>
          <w:b/>
          <w:sz w:val="24"/>
          <w:szCs w:val="24"/>
          <w:lang w:eastAsia="pt-BR"/>
        </w:rPr>
        <w:t xml:space="preserve"> 40.906.620</w:t>
      </w:r>
    </w:p>
    <w:p w:rsidR="0018407B" w:rsidRDefault="0018407B" w:rsidP="0018407B">
      <w:pPr>
        <w:spacing w:after="0" w:line="240" w:lineRule="auto"/>
        <w:jc w:val="both"/>
        <w:rPr>
          <w:rFonts w:ascii="Times New Roman" w:eastAsia="Times New Roman" w:hAnsi="Times New Roman" w:cs="Times New Roman"/>
          <w:sz w:val="24"/>
          <w:szCs w:val="24"/>
          <w:lang w:eastAsia="pt-BR"/>
        </w:rPr>
      </w:pPr>
    </w:p>
    <w:p w:rsidR="0018407B"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lastRenderedPageBreak/>
        <w:t xml:space="preserve">O Superávit Financeiro de </w:t>
      </w:r>
      <w:r w:rsidR="002A6061">
        <w:rPr>
          <w:rFonts w:ascii="Times New Roman" w:eastAsia="Times New Roman" w:hAnsi="Times New Roman" w:cs="Times New Roman"/>
          <w:sz w:val="24"/>
          <w:szCs w:val="24"/>
          <w:lang w:eastAsia="pt-BR"/>
        </w:rPr>
        <w:t>2022</w:t>
      </w:r>
      <w:r>
        <w:rPr>
          <w:rFonts w:ascii="Times New Roman" w:eastAsia="Times New Roman" w:hAnsi="Times New Roman" w:cs="Times New Roman"/>
          <w:sz w:val="24"/>
          <w:szCs w:val="24"/>
          <w:lang w:eastAsia="pt-BR"/>
        </w:rPr>
        <w:t xml:space="preserve"> teve acréscimo no valor de </w:t>
      </w:r>
      <w:r w:rsidRPr="00EC6062">
        <w:rPr>
          <w:rFonts w:ascii="Times New Roman" w:eastAsia="Times New Roman" w:hAnsi="Times New Roman" w:cs="Times New Roman"/>
          <w:b/>
          <w:sz w:val="24"/>
          <w:szCs w:val="24"/>
          <w:lang w:eastAsia="pt-BR"/>
        </w:rPr>
        <w:t xml:space="preserve">R$ </w:t>
      </w:r>
      <w:r w:rsidR="002A6061">
        <w:rPr>
          <w:rFonts w:ascii="Times New Roman" w:eastAsia="Times New Roman" w:hAnsi="Times New Roman" w:cs="Times New Roman"/>
          <w:b/>
          <w:sz w:val="24"/>
          <w:szCs w:val="24"/>
          <w:lang w:eastAsia="pt-BR"/>
        </w:rPr>
        <w:t>10</w:t>
      </w:r>
      <w:r>
        <w:rPr>
          <w:rFonts w:ascii="Times New Roman" w:eastAsia="Times New Roman" w:hAnsi="Times New Roman" w:cs="Times New Roman"/>
          <w:b/>
          <w:sz w:val="24"/>
          <w:szCs w:val="24"/>
          <w:lang w:eastAsia="pt-BR"/>
        </w:rPr>
        <w:t>.</w:t>
      </w:r>
      <w:r w:rsidR="002A6061">
        <w:rPr>
          <w:rFonts w:ascii="Times New Roman" w:eastAsia="Times New Roman" w:hAnsi="Times New Roman" w:cs="Times New Roman"/>
          <w:b/>
          <w:sz w:val="24"/>
          <w:szCs w:val="24"/>
          <w:lang w:eastAsia="pt-BR"/>
        </w:rPr>
        <w:t>078</w:t>
      </w:r>
      <w:r>
        <w:rPr>
          <w:rFonts w:ascii="Times New Roman" w:eastAsia="Times New Roman" w:hAnsi="Times New Roman" w:cs="Times New Roman"/>
          <w:b/>
          <w:sz w:val="24"/>
          <w:szCs w:val="24"/>
          <w:lang w:eastAsia="pt-BR"/>
        </w:rPr>
        <w:t>.</w:t>
      </w:r>
      <w:r w:rsidR="002A6061">
        <w:rPr>
          <w:rFonts w:ascii="Times New Roman" w:eastAsia="Times New Roman" w:hAnsi="Times New Roman" w:cs="Times New Roman"/>
          <w:b/>
          <w:sz w:val="24"/>
          <w:szCs w:val="24"/>
          <w:lang w:eastAsia="pt-BR"/>
        </w:rPr>
        <w:t>842</w:t>
      </w:r>
      <w:r>
        <w:rPr>
          <w:rFonts w:ascii="Times New Roman" w:eastAsia="Times New Roman" w:hAnsi="Times New Roman" w:cs="Times New Roman"/>
          <w:sz w:val="24"/>
          <w:szCs w:val="24"/>
          <w:lang w:eastAsia="pt-BR"/>
        </w:rPr>
        <w:t xml:space="preserve"> (</w:t>
      </w:r>
      <w:r w:rsidR="002A6061">
        <w:rPr>
          <w:rFonts w:ascii="Times New Roman" w:eastAsia="Times New Roman" w:hAnsi="Times New Roman" w:cs="Times New Roman"/>
          <w:sz w:val="24"/>
          <w:szCs w:val="24"/>
          <w:lang w:eastAsia="pt-BR"/>
        </w:rPr>
        <w:t xml:space="preserve">dez </w:t>
      </w:r>
      <w:r>
        <w:rPr>
          <w:rFonts w:ascii="Times New Roman" w:eastAsia="Times New Roman" w:hAnsi="Times New Roman" w:cs="Times New Roman"/>
          <w:sz w:val="24"/>
          <w:szCs w:val="24"/>
          <w:lang w:eastAsia="pt-BR"/>
        </w:rPr>
        <w:t xml:space="preserve">milhões, </w:t>
      </w:r>
      <w:r w:rsidR="002A6061">
        <w:rPr>
          <w:rFonts w:ascii="Times New Roman" w:eastAsia="Times New Roman" w:hAnsi="Times New Roman" w:cs="Times New Roman"/>
          <w:sz w:val="24"/>
          <w:szCs w:val="24"/>
          <w:lang w:eastAsia="pt-BR"/>
        </w:rPr>
        <w:t xml:space="preserve">setenta e oito </w:t>
      </w:r>
      <w:r>
        <w:rPr>
          <w:rFonts w:ascii="Times New Roman" w:eastAsia="Times New Roman" w:hAnsi="Times New Roman" w:cs="Times New Roman"/>
          <w:sz w:val="24"/>
          <w:szCs w:val="24"/>
          <w:lang w:eastAsia="pt-BR"/>
        </w:rPr>
        <w:t xml:space="preserve">mil, </w:t>
      </w:r>
      <w:r w:rsidR="002A6061">
        <w:rPr>
          <w:rFonts w:ascii="Times New Roman" w:eastAsia="Times New Roman" w:hAnsi="Times New Roman" w:cs="Times New Roman"/>
          <w:sz w:val="24"/>
          <w:szCs w:val="24"/>
          <w:lang w:eastAsia="pt-BR"/>
        </w:rPr>
        <w:t>oitocentos e quarenta e dois r</w:t>
      </w:r>
      <w:r>
        <w:rPr>
          <w:rFonts w:ascii="Times New Roman" w:eastAsia="Times New Roman" w:hAnsi="Times New Roman" w:cs="Times New Roman"/>
          <w:sz w:val="24"/>
          <w:szCs w:val="24"/>
          <w:lang w:eastAsia="pt-BR"/>
        </w:rPr>
        <w:t>eais)</w:t>
      </w:r>
      <w:r w:rsidRPr="00CE2B53">
        <w:rPr>
          <w:rFonts w:ascii="Times New Roman" w:eastAsia="Times New Roman" w:hAnsi="Times New Roman" w:cs="Times New Roman"/>
          <w:sz w:val="24"/>
          <w:szCs w:val="24"/>
          <w:lang w:eastAsia="pt-BR"/>
        </w:rPr>
        <w:t xml:space="preserve"> em relação ao exercício de 20</w:t>
      </w:r>
      <w:r>
        <w:rPr>
          <w:rFonts w:ascii="Times New Roman" w:eastAsia="Times New Roman" w:hAnsi="Times New Roman" w:cs="Times New Roman"/>
          <w:sz w:val="24"/>
          <w:szCs w:val="24"/>
          <w:lang w:eastAsia="pt-BR"/>
        </w:rPr>
        <w:t>2</w:t>
      </w:r>
      <w:r w:rsidR="002A6061">
        <w:rPr>
          <w:rFonts w:ascii="Times New Roman" w:eastAsia="Times New Roman" w:hAnsi="Times New Roman" w:cs="Times New Roman"/>
          <w:sz w:val="24"/>
          <w:szCs w:val="24"/>
          <w:lang w:eastAsia="pt-BR"/>
        </w:rPr>
        <w:t>1</w:t>
      </w:r>
      <w:r>
        <w:rPr>
          <w:rFonts w:ascii="Times New Roman" w:eastAsia="Times New Roman" w:hAnsi="Times New Roman" w:cs="Times New Roman"/>
          <w:sz w:val="24"/>
          <w:szCs w:val="24"/>
          <w:lang w:eastAsia="pt-BR"/>
        </w:rPr>
        <w:t xml:space="preserve">, correspondente a </w:t>
      </w:r>
      <w:r>
        <w:rPr>
          <w:rFonts w:ascii="Times New Roman" w:eastAsia="Times New Roman" w:hAnsi="Times New Roman" w:cs="Times New Roman"/>
          <w:b/>
          <w:sz w:val="24"/>
          <w:szCs w:val="24"/>
          <w:lang w:eastAsia="pt-BR"/>
        </w:rPr>
        <w:t>2</w:t>
      </w:r>
      <w:r w:rsidR="002A6061">
        <w:rPr>
          <w:rFonts w:ascii="Times New Roman" w:eastAsia="Times New Roman" w:hAnsi="Times New Roman" w:cs="Times New Roman"/>
          <w:b/>
          <w:sz w:val="24"/>
          <w:szCs w:val="24"/>
          <w:lang w:eastAsia="pt-BR"/>
        </w:rPr>
        <w:t>4</w:t>
      </w:r>
      <w:r>
        <w:rPr>
          <w:rFonts w:ascii="Times New Roman" w:eastAsia="Times New Roman" w:hAnsi="Times New Roman" w:cs="Times New Roman"/>
          <w:b/>
          <w:sz w:val="24"/>
          <w:szCs w:val="24"/>
          <w:lang w:eastAsia="pt-BR"/>
        </w:rPr>
        <w:t>,</w:t>
      </w:r>
      <w:r w:rsidR="002A6061">
        <w:rPr>
          <w:rFonts w:ascii="Times New Roman" w:eastAsia="Times New Roman" w:hAnsi="Times New Roman" w:cs="Times New Roman"/>
          <w:b/>
          <w:sz w:val="24"/>
          <w:szCs w:val="24"/>
          <w:lang w:eastAsia="pt-BR"/>
        </w:rPr>
        <w:t>64</w:t>
      </w:r>
      <w:r w:rsidRPr="00C36C08">
        <w:rPr>
          <w:rFonts w:ascii="Times New Roman" w:eastAsia="Times New Roman" w:hAnsi="Times New Roman" w:cs="Times New Roman"/>
          <w:b/>
          <w:sz w:val="24"/>
          <w:szCs w:val="24"/>
          <w:lang w:eastAsia="pt-BR"/>
        </w:rPr>
        <w:t>%</w:t>
      </w:r>
      <w:r>
        <w:rPr>
          <w:rFonts w:ascii="Times New Roman" w:eastAsia="Times New Roman" w:hAnsi="Times New Roman" w:cs="Times New Roman"/>
          <w:sz w:val="24"/>
          <w:szCs w:val="24"/>
          <w:lang w:eastAsia="pt-BR"/>
        </w:rPr>
        <w:t xml:space="preserve"> a mais do que no ano anterior. </w:t>
      </w:r>
    </w:p>
    <w:p w:rsidR="0018407B" w:rsidRDefault="0018407B" w:rsidP="0018407B">
      <w:pPr>
        <w:spacing w:after="0" w:line="240" w:lineRule="auto"/>
        <w:jc w:val="both"/>
        <w:rPr>
          <w:rFonts w:ascii="Times New Roman" w:eastAsia="Times New Roman" w:hAnsi="Times New Roman" w:cs="Times New Roman"/>
          <w:sz w:val="24"/>
          <w:szCs w:val="24"/>
          <w:lang w:eastAsia="pt-BR"/>
        </w:rPr>
      </w:pPr>
    </w:p>
    <w:p w:rsidR="0018407B" w:rsidRDefault="0018407B" w:rsidP="0018407B">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22. </w:t>
      </w:r>
      <w:r w:rsidRPr="00EC1D90">
        <w:rPr>
          <w:rFonts w:ascii="Times New Roman" w:eastAsia="Times New Roman" w:hAnsi="Times New Roman" w:cs="Times New Roman"/>
          <w:b/>
          <w:sz w:val="24"/>
          <w:szCs w:val="24"/>
          <w:lang w:eastAsia="pt-BR"/>
        </w:rPr>
        <w:t> </w:t>
      </w:r>
      <w:r>
        <w:rPr>
          <w:rFonts w:ascii="Times New Roman" w:eastAsia="Times New Roman" w:hAnsi="Times New Roman" w:cs="Times New Roman"/>
          <w:b/>
          <w:sz w:val="24"/>
          <w:szCs w:val="24"/>
          <w:lang w:eastAsia="pt-BR"/>
        </w:rPr>
        <w:t>Fluxo de Caixa</w:t>
      </w:r>
    </w:p>
    <w:p w:rsidR="0018407B" w:rsidRDefault="0018407B" w:rsidP="0018407B">
      <w:pPr>
        <w:spacing w:after="0" w:line="240" w:lineRule="auto"/>
        <w:jc w:val="both"/>
        <w:rPr>
          <w:rFonts w:ascii="Times New Roman" w:eastAsia="Times New Roman" w:hAnsi="Times New Roman" w:cs="Times New Roman"/>
          <w:b/>
          <w:sz w:val="24"/>
          <w:szCs w:val="24"/>
          <w:lang w:eastAsia="pt-BR"/>
        </w:rPr>
      </w:pPr>
    </w:p>
    <w:p w:rsidR="0018407B" w:rsidRPr="00CE2B53"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xml:space="preserve">A demonstração do Fluxo de Caixa de </w:t>
      </w:r>
      <w:r>
        <w:rPr>
          <w:rFonts w:ascii="Times New Roman" w:eastAsia="Times New Roman" w:hAnsi="Times New Roman" w:cs="Times New Roman"/>
          <w:sz w:val="24"/>
          <w:szCs w:val="24"/>
          <w:lang w:eastAsia="pt-BR"/>
        </w:rPr>
        <w:t>202</w:t>
      </w:r>
      <w:r w:rsidR="0005239A">
        <w:rPr>
          <w:rFonts w:ascii="Times New Roman" w:eastAsia="Times New Roman" w:hAnsi="Times New Roman" w:cs="Times New Roman"/>
          <w:sz w:val="24"/>
          <w:szCs w:val="24"/>
          <w:lang w:eastAsia="pt-BR"/>
        </w:rPr>
        <w:t>2</w:t>
      </w:r>
      <w:r w:rsidRPr="00CE2B53">
        <w:rPr>
          <w:rFonts w:ascii="Times New Roman" w:eastAsia="Times New Roman" w:hAnsi="Times New Roman" w:cs="Times New Roman"/>
          <w:sz w:val="24"/>
          <w:szCs w:val="24"/>
          <w:lang w:eastAsia="pt-BR"/>
        </w:rPr>
        <w:t xml:space="preserve"> está assim demonstrada:</w:t>
      </w:r>
    </w:p>
    <w:p w:rsidR="0018407B" w:rsidRDefault="0018407B" w:rsidP="0018407B">
      <w:pPr>
        <w:spacing w:after="0" w:line="240" w:lineRule="auto"/>
        <w:jc w:val="both"/>
        <w:rPr>
          <w:rFonts w:ascii="Times New Roman" w:eastAsia="Times New Roman" w:hAnsi="Times New Roman" w:cs="Times New Roman"/>
          <w:sz w:val="24"/>
          <w:szCs w:val="24"/>
          <w:lang w:eastAsia="pt-BR"/>
        </w:rPr>
      </w:pPr>
    </w:p>
    <w:p w:rsidR="0018407B" w:rsidRPr="008157BC" w:rsidRDefault="0018407B" w:rsidP="0018407B">
      <w:pPr>
        <w:spacing w:after="0" w:line="240" w:lineRule="auto"/>
        <w:jc w:val="both"/>
        <w:rPr>
          <w:rFonts w:ascii="Times New Roman" w:eastAsia="Times New Roman" w:hAnsi="Times New Roman" w:cs="Times New Roman"/>
          <w:b/>
          <w:sz w:val="24"/>
          <w:szCs w:val="24"/>
          <w:lang w:eastAsia="pt-BR"/>
        </w:rPr>
      </w:pPr>
      <w:r w:rsidRPr="008157BC">
        <w:rPr>
          <w:rFonts w:ascii="Times New Roman" w:eastAsia="Times New Roman" w:hAnsi="Times New Roman" w:cs="Times New Roman"/>
          <w:b/>
          <w:sz w:val="24"/>
          <w:szCs w:val="24"/>
          <w:lang w:eastAsia="pt-BR"/>
        </w:rPr>
        <w:t>Ingressos</w:t>
      </w:r>
    </w:p>
    <w:p w:rsidR="0018407B" w:rsidRPr="00CE2B53"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Receita Corrente ..........................................</w:t>
      </w:r>
      <w:r>
        <w:rPr>
          <w:rFonts w:ascii="Times New Roman" w:eastAsia="Times New Roman" w:hAnsi="Times New Roman" w:cs="Times New Roman"/>
          <w:sz w:val="24"/>
          <w:szCs w:val="24"/>
          <w:lang w:eastAsia="pt-BR"/>
        </w:rPr>
        <w:t xml:space="preserve">.......................................................................R$ </w:t>
      </w:r>
      <w:r w:rsidR="0077729F">
        <w:rPr>
          <w:rFonts w:ascii="Times New Roman" w:eastAsia="Times New Roman" w:hAnsi="Times New Roman" w:cs="Times New Roman"/>
          <w:sz w:val="24"/>
          <w:szCs w:val="24"/>
          <w:lang w:eastAsia="pt-BR"/>
        </w:rPr>
        <w:t>63</w:t>
      </w:r>
      <w:r>
        <w:rPr>
          <w:rFonts w:ascii="Times New Roman" w:eastAsia="Times New Roman" w:hAnsi="Times New Roman" w:cs="Times New Roman"/>
          <w:sz w:val="24"/>
          <w:szCs w:val="24"/>
          <w:lang w:eastAsia="pt-BR"/>
        </w:rPr>
        <w:t>.</w:t>
      </w:r>
      <w:r w:rsidR="0077729F">
        <w:rPr>
          <w:rFonts w:ascii="Times New Roman" w:eastAsia="Times New Roman" w:hAnsi="Times New Roman" w:cs="Times New Roman"/>
          <w:sz w:val="24"/>
          <w:szCs w:val="24"/>
          <w:lang w:eastAsia="pt-BR"/>
        </w:rPr>
        <w:t>583</w:t>
      </w:r>
      <w:r>
        <w:rPr>
          <w:rFonts w:ascii="Times New Roman" w:eastAsia="Times New Roman" w:hAnsi="Times New Roman" w:cs="Times New Roman"/>
          <w:sz w:val="24"/>
          <w:szCs w:val="24"/>
          <w:lang w:eastAsia="pt-BR"/>
        </w:rPr>
        <w:t>.</w:t>
      </w:r>
      <w:r w:rsidR="0077729F">
        <w:rPr>
          <w:rFonts w:ascii="Times New Roman" w:eastAsia="Times New Roman" w:hAnsi="Times New Roman" w:cs="Times New Roman"/>
          <w:sz w:val="24"/>
          <w:szCs w:val="24"/>
          <w:lang w:eastAsia="pt-BR"/>
        </w:rPr>
        <w:t>077</w:t>
      </w:r>
    </w:p>
    <w:p w:rsidR="0018407B" w:rsidRPr="00CE2B53"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xml:space="preserve">Ingressos </w:t>
      </w:r>
      <w:proofErr w:type="spellStart"/>
      <w:r w:rsidRPr="00CE2B53">
        <w:rPr>
          <w:rFonts w:ascii="Times New Roman" w:eastAsia="Times New Roman" w:hAnsi="Times New Roman" w:cs="Times New Roman"/>
          <w:sz w:val="24"/>
          <w:szCs w:val="24"/>
          <w:lang w:eastAsia="pt-BR"/>
        </w:rPr>
        <w:t>Extraorçamentários</w:t>
      </w:r>
      <w:proofErr w:type="spellEnd"/>
      <w:r>
        <w:rPr>
          <w:rFonts w:ascii="Times New Roman" w:eastAsia="Times New Roman" w:hAnsi="Times New Roman" w:cs="Times New Roman"/>
          <w:sz w:val="24"/>
          <w:szCs w:val="24"/>
          <w:lang w:eastAsia="pt-BR"/>
        </w:rPr>
        <w:t xml:space="preserve"> .............................................................................................R$ </w:t>
      </w:r>
      <w:r w:rsidR="0077729F">
        <w:rPr>
          <w:rFonts w:ascii="Times New Roman" w:eastAsia="Times New Roman" w:hAnsi="Times New Roman" w:cs="Times New Roman"/>
          <w:sz w:val="24"/>
          <w:szCs w:val="24"/>
          <w:lang w:eastAsia="pt-BR"/>
        </w:rPr>
        <w:t>25</w:t>
      </w:r>
      <w:r>
        <w:rPr>
          <w:rFonts w:ascii="Times New Roman" w:eastAsia="Times New Roman" w:hAnsi="Times New Roman" w:cs="Times New Roman"/>
          <w:sz w:val="24"/>
          <w:szCs w:val="24"/>
          <w:lang w:eastAsia="pt-BR"/>
        </w:rPr>
        <w:t>.</w:t>
      </w:r>
      <w:r w:rsidR="0077729F">
        <w:rPr>
          <w:rFonts w:ascii="Times New Roman" w:eastAsia="Times New Roman" w:hAnsi="Times New Roman" w:cs="Times New Roman"/>
          <w:sz w:val="24"/>
          <w:szCs w:val="24"/>
          <w:lang w:eastAsia="pt-BR"/>
        </w:rPr>
        <w:t>155</w:t>
      </w:r>
      <w:r>
        <w:rPr>
          <w:rFonts w:ascii="Times New Roman" w:eastAsia="Times New Roman" w:hAnsi="Times New Roman" w:cs="Times New Roman"/>
          <w:sz w:val="24"/>
          <w:szCs w:val="24"/>
          <w:lang w:eastAsia="pt-BR"/>
        </w:rPr>
        <w:t>.</w:t>
      </w:r>
      <w:r w:rsidR="0077729F">
        <w:rPr>
          <w:rFonts w:ascii="Times New Roman" w:eastAsia="Times New Roman" w:hAnsi="Times New Roman" w:cs="Times New Roman"/>
          <w:sz w:val="24"/>
          <w:szCs w:val="24"/>
          <w:lang w:eastAsia="pt-BR"/>
        </w:rPr>
        <w:t>334</w:t>
      </w:r>
    </w:p>
    <w:p w:rsidR="0018407B" w:rsidRPr="00CE2B53"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Total de Ingressos .................</w:t>
      </w:r>
      <w:r>
        <w:rPr>
          <w:rFonts w:ascii="Times New Roman" w:eastAsia="Times New Roman" w:hAnsi="Times New Roman" w:cs="Times New Roman"/>
          <w:sz w:val="24"/>
          <w:szCs w:val="24"/>
          <w:lang w:eastAsia="pt-BR"/>
        </w:rPr>
        <w:t xml:space="preserve">..............................................................................................R$ </w:t>
      </w:r>
      <w:r w:rsidR="0077729F">
        <w:rPr>
          <w:rFonts w:ascii="Times New Roman" w:eastAsia="Times New Roman" w:hAnsi="Times New Roman" w:cs="Times New Roman"/>
          <w:sz w:val="24"/>
          <w:szCs w:val="24"/>
          <w:lang w:eastAsia="pt-BR"/>
        </w:rPr>
        <w:t>88</w:t>
      </w:r>
      <w:r>
        <w:rPr>
          <w:rFonts w:ascii="Times New Roman" w:eastAsia="Times New Roman" w:hAnsi="Times New Roman" w:cs="Times New Roman"/>
          <w:sz w:val="24"/>
          <w:szCs w:val="24"/>
          <w:lang w:eastAsia="pt-BR"/>
        </w:rPr>
        <w:t>.</w:t>
      </w:r>
      <w:r w:rsidR="0077729F">
        <w:rPr>
          <w:rFonts w:ascii="Times New Roman" w:eastAsia="Times New Roman" w:hAnsi="Times New Roman" w:cs="Times New Roman"/>
          <w:sz w:val="24"/>
          <w:szCs w:val="24"/>
          <w:lang w:eastAsia="pt-BR"/>
        </w:rPr>
        <w:t>738</w:t>
      </w:r>
      <w:r>
        <w:rPr>
          <w:rFonts w:ascii="Times New Roman" w:eastAsia="Times New Roman" w:hAnsi="Times New Roman" w:cs="Times New Roman"/>
          <w:sz w:val="24"/>
          <w:szCs w:val="24"/>
          <w:lang w:eastAsia="pt-BR"/>
        </w:rPr>
        <w:t>.</w:t>
      </w:r>
      <w:r w:rsidR="0077729F">
        <w:rPr>
          <w:rFonts w:ascii="Times New Roman" w:eastAsia="Times New Roman" w:hAnsi="Times New Roman" w:cs="Times New Roman"/>
          <w:sz w:val="24"/>
          <w:szCs w:val="24"/>
          <w:lang w:eastAsia="pt-BR"/>
        </w:rPr>
        <w:t>411</w:t>
      </w:r>
    </w:p>
    <w:p w:rsidR="0018407B"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w:t>
      </w:r>
    </w:p>
    <w:p w:rsidR="0018407B" w:rsidRPr="008157BC" w:rsidRDefault="0018407B" w:rsidP="0018407B">
      <w:pPr>
        <w:spacing w:after="0" w:line="240" w:lineRule="auto"/>
        <w:jc w:val="both"/>
        <w:rPr>
          <w:rFonts w:ascii="Times New Roman" w:eastAsia="Times New Roman" w:hAnsi="Times New Roman" w:cs="Times New Roman"/>
          <w:b/>
          <w:sz w:val="24"/>
          <w:szCs w:val="24"/>
          <w:lang w:eastAsia="pt-BR"/>
        </w:rPr>
      </w:pPr>
      <w:r w:rsidRPr="008157BC">
        <w:rPr>
          <w:rFonts w:ascii="Times New Roman" w:eastAsia="Times New Roman" w:hAnsi="Times New Roman" w:cs="Times New Roman"/>
          <w:b/>
          <w:sz w:val="24"/>
          <w:szCs w:val="24"/>
          <w:lang w:eastAsia="pt-BR"/>
        </w:rPr>
        <w:t>Desembolsos</w:t>
      </w:r>
    </w:p>
    <w:p w:rsidR="0018407B" w:rsidRPr="00CE2B53"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Despesa Corrente ....................................................</w:t>
      </w:r>
      <w:r>
        <w:rPr>
          <w:rFonts w:ascii="Times New Roman" w:eastAsia="Times New Roman" w:hAnsi="Times New Roman" w:cs="Times New Roman"/>
          <w:sz w:val="24"/>
          <w:szCs w:val="24"/>
          <w:lang w:eastAsia="pt-BR"/>
        </w:rPr>
        <w:t xml:space="preserve">............................................................R$ </w:t>
      </w:r>
      <w:r w:rsidR="0077729F">
        <w:rPr>
          <w:rFonts w:ascii="Times New Roman" w:eastAsia="Times New Roman" w:hAnsi="Times New Roman" w:cs="Times New Roman"/>
          <w:sz w:val="24"/>
          <w:szCs w:val="24"/>
          <w:lang w:eastAsia="pt-BR"/>
        </w:rPr>
        <w:t>46</w:t>
      </w:r>
      <w:r>
        <w:rPr>
          <w:rFonts w:ascii="Times New Roman" w:eastAsia="Times New Roman" w:hAnsi="Times New Roman" w:cs="Times New Roman"/>
          <w:sz w:val="24"/>
          <w:szCs w:val="24"/>
          <w:lang w:eastAsia="pt-BR"/>
        </w:rPr>
        <w:t>.</w:t>
      </w:r>
      <w:r w:rsidR="0077729F">
        <w:rPr>
          <w:rFonts w:ascii="Times New Roman" w:eastAsia="Times New Roman" w:hAnsi="Times New Roman" w:cs="Times New Roman"/>
          <w:sz w:val="24"/>
          <w:szCs w:val="24"/>
          <w:lang w:eastAsia="pt-BR"/>
        </w:rPr>
        <w:t>391</w:t>
      </w:r>
      <w:r>
        <w:rPr>
          <w:rFonts w:ascii="Times New Roman" w:eastAsia="Times New Roman" w:hAnsi="Times New Roman" w:cs="Times New Roman"/>
          <w:sz w:val="24"/>
          <w:szCs w:val="24"/>
          <w:lang w:eastAsia="pt-BR"/>
        </w:rPr>
        <w:t>.</w:t>
      </w:r>
      <w:r w:rsidR="0077729F">
        <w:rPr>
          <w:rFonts w:ascii="Times New Roman" w:eastAsia="Times New Roman" w:hAnsi="Times New Roman" w:cs="Times New Roman"/>
          <w:sz w:val="24"/>
          <w:szCs w:val="24"/>
          <w:lang w:eastAsia="pt-BR"/>
        </w:rPr>
        <w:t>375</w:t>
      </w:r>
    </w:p>
    <w:p w:rsidR="0018407B" w:rsidRPr="00CE2B53"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xml:space="preserve">Desembolsos </w:t>
      </w:r>
      <w:proofErr w:type="spellStart"/>
      <w:r w:rsidRPr="00CE2B53">
        <w:rPr>
          <w:rFonts w:ascii="Times New Roman" w:eastAsia="Times New Roman" w:hAnsi="Times New Roman" w:cs="Times New Roman"/>
          <w:sz w:val="24"/>
          <w:szCs w:val="24"/>
          <w:lang w:eastAsia="pt-BR"/>
        </w:rPr>
        <w:t>Extraorçamentários</w:t>
      </w:r>
      <w:proofErr w:type="spellEnd"/>
      <w:r w:rsidRPr="00CE2B53">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...............................................................R$ </w:t>
      </w:r>
      <w:r w:rsidR="0077729F">
        <w:rPr>
          <w:rFonts w:ascii="Times New Roman" w:eastAsia="Times New Roman" w:hAnsi="Times New Roman" w:cs="Times New Roman"/>
          <w:sz w:val="24"/>
          <w:szCs w:val="24"/>
          <w:lang w:eastAsia="pt-BR"/>
        </w:rPr>
        <w:t>31</w:t>
      </w:r>
      <w:r>
        <w:rPr>
          <w:rFonts w:ascii="Times New Roman" w:eastAsia="Times New Roman" w:hAnsi="Times New Roman" w:cs="Times New Roman"/>
          <w:sz w:val="24"/>
          <w:szCs w:val="24"/>
          <w:lang w:eastAsia="pt-BR"/>
        </w:rPr>
        <w:t>.</w:t>
      </w:r>
      <w:r w:rsidR="0077729F">
        <w:rPr>
          <w:rFonts w:ascii="Times New Roman" w:eastAsia="Times New Roman" w:hAnsi="Times New Roman" w:cs="Times New Roman"/>
          <w:sz w:val="24"/>
          <w:szCs w:val="24"/>
          <w:lang w:eastAsia="pt-BR"/>
        </w:rPr>
        <w:t>171</w:t>
      </w:r>
      <w:r>
        <w:rPr>
          <w:rFonts w:ascii="Times New Roman" w:eastAsia="Times New Roman" w:hAnsi="Times New Roman" w:cs="Times New Roman"/>
          <w:sz w:val="24"/>
          <w:szCs w:val="24"/>
          <w:lang w:eastAsia="pt-BR"/>
        </w:rPr>
        <w:t>.</w:t>
      </w:r>
      <w:r w:rsidR="0077729F">
        <w:rPr>
          <w:rFonts w:ascii="Times New Roman" w:eastAsia="Times New Roman" w:hAnsi="Times New Roman" w:cs="Times New Roman"/>
          <w:sz w:val="24"/>
          <w:szCs w:val="24"/>
          <w:lang w:eastAsia="pt-BR"/>
        </w:rPr>
        <w:t>786</w:t>
      </w:r>
    </w:p>
    <w:p w:rsidR="0018407B" w:rsidRPr="00CE2B53"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Desembolsos Despesas de Capital (</w:t>
      </w:r>
      <w:proofErr w:type="gramStart"/>
      <w:r w:rsidRPr="00CE2B53">
        <w:rPr>
          <w:rFonts w:ascii="Times New Roman" w:eastAsia="Times New Roman" w:hAnsi="Times New Roman" w:cs="Times New Roman"/>
          <w:sz w:val="24"/>
          <w:szCs w:val="24"/>
          <w:lang w:eastAsia="pt-BR"/>
        </w:rPr>
        <w:t>investi</w:t>
      </w:r>
      <w:r>
        <w:rPr>
          <w:rFonts w:ascii="Times New Roman" w:eastAsia="Times New Roman" w:hAnsi="Times New Roman" w:cs="Times New Roman"/>
          <w:sz w:val="24"/>
          <w:szCs w:val="24"/>
          <w:lang w:eastAsia="pt-BR"/>
        </w:rPr>
        <w:t>mentos)...................................</w:t>
      </w:r>
      <w:r w:rsidR="0077729F">
        <w:rPr>
          <w:rFonts w:ascii="Times New Roman" w:eastAsia="Times New Roman" w:hAnsi="Times New Roman" w:cs="Times New Roman"/>
          <w:sz w:val="24"/>
          <w:szCs w:val="24"/>
          <w:lang w:eastAsia="pt-BR"/>
        </w:rPr>
        <w:t>.........................</w:t>
      </w:r>
      <w:proofErr w:type="gramEnd"/>
      <w:r w:rsidR="0077729F">
        <w:rPr>
          <w:rFonts w:ascii="Times New Roman" w:eastAsia="Times New Roman" w:hAnsi="Times New Roman" w:cs="Times New Roman"/>
          <w:sz w:val="24"/>
          <w:szCs w:val="24"/>
          <w:lang w:eastAsia="pt-BR"/>
        </w:rPr>
        <w:t xml:space="preserve"> R$   1</w:t>
      </w:r>
      <w:r>
        <w:rPr>
          <w:rFonts w:ascii="Times New Roman" w:eastAsia="Times New Roman" w:hAnsi="Times New Roman" w:cs="Times New Roman"/>
          <w:sz w:val="24"/>
          <w:szCs w:val="24"/>
          <w:lang w:eastAsia="pt-BR"/>
        </w:rPr>
        <w:t>.</w:t>
      </w:r>
      <w:r w:rsidR="0077729F">
        <w:rPr>
          <w:rFonts w:ascii="Times New Roman" w:eastAsia="Times New Roman" w:hAnsi="Times New Roman" w:cs="Times New Roman"/>
          <w:sz w:val="24"/>
          <w:szCs w:val="24"/>
          <w:lang w:eastAsia="pt-BR"/>
        </w:rPr>
        <w:t>322</w:t>
      </w:r>
      <w:r>
        <w:rPr>
          <w:rFonts w:ascii="Times New Roman" w:eastAsia="Times New Roman" w:hAnsi="Times New Roman" w:cs="Times New Roman"/>
          <w:sz w:val="24"/>
          <w:szCs w:val="24"/>
          <w:lang w:eastAsia="pt-BR"/>
        </w:rPr>
        <w:t>.</w:t>
      </w:r>
      <w:r w:rsidR="0077729F">
        <w:rPr>
          <w:rFonts w:ascii="Times New Roman" w:eastAsia="Times New Roman" w:hAnsi="Times New Roman" w:cs="Times New Roman"/>
          <w:sz w:val="24"/>
          <w:szCs w:val="24"/>
          <w:lang w:eastAsia="pt-BR"/>
        </w:rPr>
        <w:t>099</w:t>
      </w:r>
    </w:p>
    <w:p w:rsidR="0018407B" w:rsidRPr="00CE2B53"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Total Desembolsos .................................................</w:t>
      </w:r>
      <w:r>
        <w:rPr>
          <w:rFonts w:ascii="Times New Roman" w:eastAsia="Times New Roman" w:hAnsi="Times New Roman" w:cs="Times New Roman"/>
          <w:sz w:val="24"/>
          <w:szCs w:val="24"/>
          <w:lang w:eastAsia="pt-BR"/>
        </w:rPr>
        <w:t xml:space="preserve">.............................................................R$ </w:t>
      </w:r>
      <w:r w:rsidR="0077729F">
        <w:rPr>
          <w:rFonts w:ascii="Times New Roman" w:eastAsia="Times New Roman" w:hAnsi="Times New Roman" w:cs="Times New Roman"/>
          <w:sz w:val="24"/>
          <w:szCs w:val="24"/>
          <w:lang w:eastAsia="pt-BR"/>
        </w:rPr>
        <w:t>78</w:t>
      </w:r>
      <w:r>
        <w:rPr>
          <w:rFonts w:ascii="Times New Roman" w:eastAsia="Times New Roman" w:hAnsi="Times New Roman" w:cs="Times New Roman"/>
          <w:sz w:val="24"/>
          <w:szCs w:val="24"/>
          <w:lang w:eastAsia="pt-BR"/>
        </w:rPr>
        <w:t>.</w:t>
      </w:r>
      <w:r w:rsidR="0077729F">
        <w:rPr>
          <w:rFonts w:ascii="Times New Roman" w:eastAsia="Times New Roman" w:hAnsi="Times New Roman" w:cs="Times New Roman"/>
          <w:sz w:val="24"/>
          <w:szCs w:val="24"/>
          <w:lang w:eastAsia="pt-BR"/>
        </w:rPr>
        <w:t>885</w:t>
      </w:r>
      <w:r>
        <w:rPr>
          <w:rFonts w:ascii="Times New Roman" w:eastAsia="Times New Roman" w:hAnsi="Times New Roman" w:cs="Times New Roman"/>
          <w:sz w:val="24"/>
          <w:szCs w:val="24"/>
          <w:lang w:eastAsia="pt-BR"/>
        </w:rPr>
        <w:t>.</w:t>
      </w:r>
      <w:r w:rsidR="0077729F">
        <w:rPr>
          <w:rFonts w:ascii="Times New Roman" w:eastAsia="Times New Roman" w:hAnsi="Times New Roman" w:cs="Times New Roman"/>
          <w:sz w:val="24"/>
          <w:szCs w:val="24"/>
          <w:lang w:eastAsia="pt-BR"/>
        </w:rPr>
        <w:t>260</w:t>
      </w:r>
    </w:p>
    <w:p w:rsidR="0018407B" w:rsidRPr="00CE2B53"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w:t>
      </w:r>
    </w:p>
    <w:p w:rsidR="0018407B" w:rsidRPr="00B762E0" w:rsidRDefault="0018407B" w:rsidP="0018407B">
      <w:pPr>
        <w:spacing w:after="0" w:line="240" w:lineRule="auto"/>
        <w:jc w:val="both"/>
        <w:rPr>
          <w:rFonts w:ascii="Times New Roman" w:eastAsia="Times New Roman" w:hAnsi="Times New Roman" w:cs="Times New Roman"/>
          <w:b/>
          <w:sz w:val="24"/>
          <w:szCs w:val="24"/>
          <w:lang w:eastAsia="pt-BR"/>
        </w:rPr>
      </w:pPr>
      <w:r w:rsidRPr="00B762E0">
        <w:rPr>
          <w:rFonts w:ascii="Times New Roman" w:eastAsia="Times New Roman" w:hAnsi="Times New Roman" w:cs="Times New Roman"/>
          <w:b/>
          <w:sz w:val="24"/>
          <w:szCs w:val="24"/>
          <w:lang w:eastAsia="pt-BR"/>
        </w:rPr>
        <w:t>Apuração do Fluxo de Caixa no Período ..............................................................</w:t>
      </w:r>
      <w:r>
        <w:rPr>
          <w:rFonts w:ascii="Times New Roman" w:eastAsia="Times New Roman" w:hAnsi="Times New Roman" w:cs="Times New Roman"/>
          <w:b/>
          <w:sz w:val="24"/>
          <w:szCs w:val="24"/>
          <w:lang w:eastAsia="pt-BR"/>
        </w:rPr>
        <w:t>..</w:t>
      </w:r>
      <w:r w:rsidRPr="00B762E0">
        <w:rPr>
          <w:rFonts w:ascii="Times New Roman" w:eastAsia="Times New Roman" w:hAnsi="Times New Roman" w:cs="Times New Roman"/>
          <w:b/>
          <w:sz w:val="24"/>
          <w:szCs w:val="24"/>
          <w:lang w:eastAsia="pt-BR"/>
        </w:rPr>
        <w:t>........</w:t>
      </w:r>
      <w:r w:rsidR="0077729F">
        <w:rPr>
          <w:rFonts w:ascii="Times New Roman" w:eastAsia="Times New Roman" w:hAnsi="Times New Roman" w:cs="Times New Roman"/>
          <w:b/>
          <w:sz w:val="24"/>
          <w:szCs w:val="24"/>
          <w:lang w:eastAsia="pt-BR"/>
        </w:rPr>
        <w:t>...R$ 9</w:t>
      </w:r>
      <w:r>
        <w:rPr>
          <w:rFonts w:ascii="Times New Roman" w:eastAsia="Times New Roman" w:hAnsi="Times New Roman" w:cs="Times New Roman"/>
          <w:b/>
          <w:sz w:val="24"/>
          <w:szCs w:val="24"/>
          <w:lang w:eastAsia="pt-BR"/>
        </w:rPr>
        <w:t>.</w:t>
      </w:r>
      <w:r w:rsidR="0077729F">
        <w:rPr>
          <w:rFonts w:ascii="Times New Roman" w:eastAsia="Times New Roman" w:hAnsi="Times New Roman" w:cs="Times New Roman"/>
          <w:b/>
          <w:sz w:val="24"/>
          <w:szCs w:val="24"/>
          <w:lang w:eastAsia="pt-BR"/>
        </w:rPr>
        <w:t>853</w:t>
      </w:r>
      <w:r>
        <w:rPr>
          <w:rFonts w:ascii="Times New Roman" w:eastAsia="Times New Roman" w:hAnsi="Times New Roman" w:cs="Times New Roman"/>
          <w:b/>
          <w:sz w:val="24"/>
          <w:szCs w:val="24"/>
          <w:lang w:eastAsia="pt-BR"/>
        </w:rPr>
        <w:t>.</w:t>
      </w:r>
      <w:r w:rsidR="0077729F">
        <w:rPr>
          <w:rFonts w:ascii="Times New Roman" w:eastAsia="Times New Roman" w:hAnsi="Times New Roman" w:cs="Times New Roman"/>
          <w:b/>
          <w:sz w:val="24"/>
          <w:szCs w:val="24"/>
          <w:lang w:eastAsia="pt-BR"/>
        </w:rPr>
        <w:t>151</w:t>
      </w:r>
    </w:p>
    <w:p w:rsidR="0018407B" w:rsidRDefault="0018407B" w:rsidP="0018407B">
      <w:pPr>
        <w:spacing w:after="0" w:line="240" w:lineRule="auto"/>
        <w:jc w:val="both"/>
        <w:rPr>
          <w:rFonts w:ascii="Times New Roman" w:eastAsia="Times New Roman" w:hAnsi="Times New Roman" w:cs="Times New Roman"/>
          <w:b/>
          <w:sz w:val="24"/>
          <w:szCs w:val="24"/>
          <w:lang w:eastAsia="pt-BR"/>
        </w:rPr>
      </w:pPr>
    </w:p>
    <w:p w:rsidR="0018407B" w:rsidRPr="00EC1D90" w:rsidRDefault="0018407B" w:rsidP="0018407B">
      <w:pPr>
        <w:spacing w:after="0" w:line="240" w:lineRule="auto"/>
        <w:jc w:val="both"/>
        <w:rPr>
          <w:rFonts w:ascii="Times New Roman" w:eastAsia="Times New Roman" w:hAnsi="Times New Roman" w:cs="Times New Roman"/>
          <w:b/>
          <w:sz w:val="24"/>
          <w:szCs w:val="24"/>
          <w:lang w:eastAsia="pt-BR"/>
        </w:rPr>
      </w:pPr>
    </w:p>
    <w:p w:rsidR="0018407B" w:rsidRPr="00CE2B53"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xml:space="preserve">A demonstração do Fluxo de Caixa de </w:t>
      </w:r>
      <w:r>
        <w:rPr>
          <w:rFonts w:ascii="Times New Roman" w:eastAsia="Times New Roman" w:hAnsi="Times New Roman" w:cs="Times New Roman"/>
          <w:sz w:val="24"/>
          <w:szCs w:val="24"/>
          <w:lang w:eastAsia="pt-BR"/>
        </w:rPr>
        <w:t>202</w:t>
      </w:r>
      <w:r w:rsidR="0005239A">
        <w:rPr>
          <w:rFonts w:ascii="Times New Roman" w:eastAsia="Times New Roman" w:hAnsi="Times New Roman" w:cs="Times New Roman"/>
          <w:sz w:val="24"/>
          <w:szCs w:val="24"/>
          <w:lang w:eastAsia="pt-BR"/>
        </w:rPr>
        <w:t>1</w:t>
      </w:r>
      <w:r w:rsidRPr="00CE2B53">
        <w:rPr>
          <w:rFonts w:ascii="Times New Roman" w:eastAsia="Times New Roman" w:hAnsi="Times New Roman" w:cs="Times New Roman"/>
          <w:sz w:val="24"/>
          <w:szCs w:val="24"/>
          <w:lang w:eastAsia="pt-BR"/>
        </w:rPr>
        <w:t xml:space="preserve"> está assim demonstrada:</w:t>
      </w:r>
    </w:p>
    <w:p w:rsidR="0018407B" w:rsidRDefault="0018407B" w:rsidP="0018407B">
      <w:pPr>
        <w:spacing w:after="0" w:line="240" w:lineRule="auto"/>
        <w:jc w:val="both"/>
        <w:rPr>
          <w:rFonts w:ascii="Times New Roman" w:eastAsia="Times New Roman" w:hAnsi="Times New Roman" w:cs="Times New Roman"/>
          <w:sz w:val="24"/>
          <w:szCs w:val="24"/>
          <w:lang w:eastAsia="pt-BR"/>
        </w:rPr>
      </w:pPr>
    </w:p>
    <w:p w:rsidR="0005239A" w:rsidRPr="008157BC" w:rsidRDefault="0005239A" w:rsidP="0005239A">
      <w:pPr>
        <w:spacing w:after="0" w:line="240" w:lineRule="auto"/>
        <w:jc w:val="both"/>
        <w:rPr>
          <w:rFonts w:ascii="Times New Roman" w:eastAsia="Times New Roman" w:hAnsi="Times New Roman" w:cs="Times New Roman"/>
          <w:b/>
          <w:sz w:val="24"/>
          <w:szCs w:val="24"/>
          <w:lang w:eastAsia="pt-BR"/>
        </w:rPr>
      </w:pPr>
      <w:r w:rsidRPr="008157BC">
        <w:rPr>
          <w:rFonts w:ascii="Times New Roman" w:eastAsia="Times New Roman" w:hAnsi="Times New Roman" w:cs="Times New Roman"/>
          <w:b/>
          <w:sz w:val="24"/>
          <w:szCs w:val="24"/>
          <w:lang w:eastAsia="pt-BR"/>
        </w:rPr>
        <w:t>Ingressos</w:t>
      </w:r>
    </w:p>
    <w:p w:rsidR="0005239A" w:rsidRPr="00CE2B53" w:rsidRDefault="0005239A" w:rsidP="0005239A">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Receita Corrente ..........................................</w:t>
      </w:r>
      <w:r>
        <w:rPr>
          <w:rFonts w:ascii="Times New Roman" w:eastAsia="Times New Roman" w:hAnsi="Times New Roman" w:cs="Times New Roman"/>
          <w:sz w:val="24"/>
          <w:szCs w:val="24"/>
          <w:lang w:eastAsia="pt-BR"/>
        </w:rPr>
        <w:t>.......................................................................R$ 52.742.818</w:t>
      </w:r>
    </w:p>
    <w:p w:rsidR="0005239A" w:rsidRPr="00CE2B53" w:rsidRDefault="0005239A" w:rsidP="0005239A">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xml:space="preserve">Ingressos </w:t>
      </w:r>
      <w:proofErr w:type="spellStart"/>
      <w:r w:rsidRPr="00CE2B53">
        <w:rPr>
          <w:rFonts w:ascii="Times New Roman" w:eastAsia="Times New Roman" w:hAnsi="Times New Roman" w:cs="Times New Roman"/>
          <w:sz w:val="24"/>
          <w:szCs w:val="24"/>
          <w:lang w:eastAsia="pt-BR"/>
        </w:rPr>
        <w:t>Extraorçamentários</w:t>
      </w:r>
      <w:proofErr w:type="spellEnd"/>
      <w:r>
        <w:rPr>
          <w:rFonts w:ascii="Times New Roman" w:eastAsia="Times New Roman" w:hAnsi="Times New Roman" w:cs="Times New Roman"/>
          <w:sz w:val="24"/>
          <w:szCs w:val="24"/>
          <w:lang w:eastAsia="pt-BR"/>
        </w:rPr>
        <w:t xml:space="preserve"> .............................................................................................R$ 21.785.123</w:t>
      </w:r>
    </w:p>
    <w:p w:rsidR="0005239A" w:rsidRPr="00CE2B53" w:rsidRDefault="0005239A" w:rsidP="0005239A">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Total de Ingressos .................</w:t>
      </w:r>
      <w:r>
        <w:rPr>
          <w:rFonts w:ascii="Times New Roman" w:eastAsia="Times New Roman" w:hAnsi="Times New Roman" w:cs="Times New Roman"/>
          <w:sz w:val="24"/>
          <w:szCs w:val="24"/>
          <w:lang w:eastAsia="pt-BR"/>
        </w:rPr>
        <w:t>..............................................................................................R$ 74.527.941</w:t>
      </w:r>
    </w:p>
    <w:p w:rsidR="0005239A" w:rsidRDefault="0005239A" w:rsidP="0005239A">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w:t>
      </w:r>
    </w:p>
    <w:p w:rsidR="0005239A" w:rsidRPr="00CE2B53" w:rsidRDefault="0005239A" w:rsidP="0005239A">
      <w:pPr>
        <w:spacing w:after="0" w:line="240" w:lineRule="auto"/>
        <w:jc w:val="both"/>
        <w:rPr>
          <w:rFonts w:ascii="Times New Roman" w:eastAsia="Times New Roman" w:hAnsi="Times New Roman" w:cs="Times New Roman"/>
          <w:sz w:val="24"/>
          <w:szCs w:val="24"/>
          <w:lang w:eastAsia="pt-BR"/>
        </w:rPr>
      </w:pPr>
    </w:p>
    <w:p w:rsidR="0005239A" w:rsidRPr="008157BC" w:rsidRDefault="0005239A" w:rsidP="0005239A">
      <w:pPr>
        <w:spacing w:after="0" w:line="240" w:lineRule="auto"/>
        <w:jc w:val="both"/>
        <w:rPr>
          <w:rFonts w:ascii="Times New Roman" w:eastAsia="Times New Roman" w:hAnsi="Times New Roman" w:cs="Times New Roman"/>
          <w:b/>
          <w:sz w:val="24"/>
          <w:szCs w:val="24"/>
          <w:lang w:eastAsia="pt-BR"/>
        </w:rPr>
      </w:pPr>
      <w:r w:rsidRPr="008157BC">
        <w:rPr>
          <w:rFonts w:ascii="Times New Roman" w:eastAsia="Times New Roman" w:hAnsi="Times New Roman" w:cs="Times New Roman"/>
          <w:b/>
          <w:sz w:val="24"/>
          <w:szCs w:val="24"/>
          <w:lang w:eastAsia="pt-BR"/>
        </w:rPr>
        <w:t>Desembolsos</w:t>
      </w:r>
    </w:p>
    <w:p w:rsidR="0005239A" w:rsidRPr="00CE2B53" w:rsidRDefault="0005239A" w:rsidP="0005239A">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Despesa Corrente ....................................................</w:t>
      </w:r>
      <w:r>
        <w:rPr>
          <w:rFonts w:ascii="Times New Roman" w:eastAsia="Times New Roman" w:hAnsi="Times New Roman" w:cs="Times New Roman"/>
          <w:sz w:val="24"/>
          <w:szCs w:val="24"/>
          <w:lang w:eastAsia="pt-BR"/>
        </w:rPr>
        <w:t>............................................................R$ 38.435.375</w:t>
      </w:r>
    </w:p>
    <w:p w:rsidR="0005239A" w:rsidRPr="00CE2B53" w:rsidRDefault="0005239A" w:rsidP="0005239A">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xml:space="preserve">Desembolsos </w:t>
      </w:r>
      <w:proofErr w:type="spellStart"/>
      <w:r w:rsidRPr="00CE2B53">
        <w:rPr>
          <w:rFonts w:ascii="Times New Roman" w:eastAsia="Times New Roman" w:hAnsi="Times New Roman" w:cs="Times New Roman"/>
          <w:sz w:val="24"/>
          <w:szCs w:val="24"/>
          <w:lang w:eastAsia="pt-BR"/>
        </w:rPr>
        <w:t>Extraorçamentários</w:t>
      </w:r>
      <w:proofErr w:type="spellEnd"/>
      <w:r w:rsidRPr="00CE2B53">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...............................................................R$ 22.012.517</w:t>
      </w:r>
    </w:p>
    <w:p w:rsidR="0005239A" w:rsidRPr="00CE2B53" w:rsidRDefault="0005239A" w:rsidP="0005239A">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Desembolsos Despesas de Capital (</w:t>
      </w:r>
      <w:proofErr w:type="gramStart"/>
      <w:r w:rsidRPr="00CE2B53">
        <w:rPr>
          <w:rFonts w:ascii="Times New Roman" w:eastAsia="Times New Roman" w:hAnsi="Times New Roman" w:cs="Times New Roman"/>
          <w:sz w:val="24"/>
          <w:szCs w:val="24"/>
          <w:lang w:eastAsia="pt-BR"/>
        </w:rPr>
        <w:t>investi</w:t>
      </w:r>
      <w:r>
        <w:rPr>
          <w:rFonts w:ascii="Times New Roman" w:eastAsia="Times New Roman" w:hAnsi="Times New Roman" w:cs="Times New Roman"/>
          <w:sz w:val="24"/>
          <w:szCs w:val="24"/>
          <w:lang w:eastAsia="pt-BR"/>
        </w:rPr>
        <w:t>mentos)............................................................</w:t>
      </w:r>
      <w:proofErr w:type="gramEnd"/>
      <w:r>
        <w:rPr>
          <w:rFonts w:ascii="Times New Roman" w:eastAsia="Times New Roman" w:hAnsi="Times New Roman" w:cs="Times New Roman"/>
          <w:sz w:val="24"/>
          <w:szCs w:val="24"/>
          <w:lang w:eastAsia="pt-BR"/>
        </w:rPr>
        <w:t xml:space="preserve"> R$   1.468.803</w:t>
      </w:r>
    </w:p>
    <w:p w:rsidR="0005239A" w:rsidRPr="00CE2B53" w:rsidRDefault="0005239A" w:rsidP="0005239A">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Total Desembolsos .................................................</w:t>
      </w:r>
      <w:r>
        <w:rPr>
          <w:rFonts w:ascii="Times New Roman" w:eastAsia="Times New Roman" w:hAnsi="Times New Roman" w:cs="Times New Roman"/>
          <w:sz w:val="24"/>
          <w:szCs w:val="24"/>
          <w:lang w:eastAsia="pt-BR"/>
        </w:rPr>
        <w:t>.............................................................R$ 61.916.695</w:t>
      </w:r>
    </w:p>
    <w:p w:rsidR="0005239A" w:rsidRPr="00CE2B53" w:rsidRDefault="0005239A" w:rsidP="0005239A">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w:t>
      </w:r>
    </w:p>
    <w:p w:rsidR="0005239A" w:rsidRPr="00B762E0" w:rsidRDefault="0005239A" w:rsidP="0005239A">
      <w:pPr>
        <w:spacing w:after="0" w:line="240" w:lineRule="auto"/>
        <w:jc w:val="both"/>
        <w:rPr>
          <w:rFonts w:ascii="Times New Roman" w:eastAsia="Times New Roman" w:hAnsi="Times New Roman" w:cs="Times New Roman"/>
          <w:b/>
          <w:sz w:val="24"/>
          <w:szCs w:val="24"/>
          <w:lang w:eastAsia="pt-BR"/>
        </w:rPr>
      </w:pPr>
      <w:r w:rsidRPr="00B762E0">
        <w:rPr>
          <w:rFonts w:ascii="Times New Roman" w:eastAsia="Times New Roman" w:hAnsi="Times New Roman" w:cs="Times New Roman"/>
          <w:b/>
          <w:sz w:val="24"/>
          <w:szCs w:val="24"/>
          <w:lang w:eastAsia="pt-BR"/>
        </w:rPr>
        <w:t>Apuração do Fluxo de Caixa no Período ..............................................................</w:t>
      </w:r>
      <w:r>
        <w:rPr>
          <w:rFonts w:ascii="Times New Roman" w:eastAsia="Times New Roman" w:hAnsi="Times New Roman" w:cs="Times New Roman"/>
          <w:b/>
          <w:sz w:val="24"/>
          <w:szCs w:val="24"/>
          <w:lang w:eastAsia="pt-BR"/>
        </w:rPr>
        <w:t>..</w:t>
      </w:r>
      <w:r w:rsidRPr="00B762E0">
        <w:rPr>
          <w:rFonts w:ascii="Times New Roman" w:eastAsia="Times New Roman" w:hAnsi="Times New Roman" w:cs="Times New Roman"/>
          <w:b/>
          <w:sz w:val="24"/>
          <w:szCs w:val="24"/>
          <w:lang w:eastAsia="pt-BR"/>
        </w:rPr>
        <w:t>........</w:t>
      </w:r>
      <w:r>
        <w:rPr>
          <w:rFonts w:ascii="Times New Roman" w:eastAsia="Times New Roman" w:hAnsi="Times New Roman" w:cs="Times New Roman"/>
          <w:b/>
          <w:sz w:val="24"/>
          <w:szCs w:val="24"/>
          <w:lang w:eastAsia="pt-BR"/>
        </w:rPr>
        <w:t>R$ 12.611.246</w:t>
      </w:r>
    </w:p>
    <w:p w:rsidR="0018407B" w:rsidRDefault="0018407B" w:rsidP="0018407B">
      <w:pPr>
        <w:spacing w:after="160" w:line="259" w:lineRule="auto"/>
        <w:rPr>
          <w:rFonts w:ascii="Times New Roman" w:eastAsia="Times New Roman" w:hAnsi="Times New Roman" w:cs="Times New Roman"/>
          <w:sz w:val="24"/>
          <w:szCs w:val="24"/>
          <w:lang w:eastAsia="pt-BR"/>
        </w:rPr>
      </w:pPr>
    </w:p>
    <w:p w:rsidR="0018407B" w:rsidRDefault="0018407B" w:rsidP="0018407B">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w:t>
      </w:r>
      <w:r w:rsidRPr="00CE2B53">
        <w:rPr>
          <w:rFonts w:ascii="Times New Roman" w:eastAsia="Times New Roman" w:hAnsi="Times New Roman" w:cs="Times New Roman"/>
          <w:sz w:val="24"/>
          <w:szCs w:val="24"/>
          <w:lang w:eastAsia="pt-BR"/>
        </w:rPr>
        <w:t xml:space="preserve"> Resultado do Fluxo de Caixa e Equivalentes no exercício de </w:t>
      </w:r>
      <w:r>
        <w:rPr>
          <w:rFonts w:ascii="Times New Roman" w:eastAsia="Times New Roman" w:hAnsi="Times New Roman" w:cs="Times New Roman"/>
          <w:sz w:val="24"/>
          <w:szCs w:val="24"/>
          <w:lang w:eastAsia="pt-BR"/>
        </w:rPr>
        <w:t>202</w:t>
      </w:r>
      <w:r w:rsidR="00212EEB">
        <w:rPr>
          <w:rFonts w:ascii="Times New Roman" w:eastAsia="Times New Roman" w:hAnsi="Times New Roman" w:cs="Times New Roman"/>
          <w:sz w:val="24"/>
          <w:szCs w:val="24"/>
          <w:lang w:eastAsia="pt-BR"/>
        </w:rPr>
        <w:t>1</w:t>
      </w:r>
      <w:r w:rsidRPr="00CE2B53">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é de </w:t>
      </w:r>
      <w:r w:rsidRPr="008157BC">
        <w:rPr>
          <w:rFonts w:ascii="Times New Roman" w:eastAsia="Times New Roman" w:hAnsi="Times New Roman" w:cs="Times New Roman"/>
          <w:b/>
          <w:sz w:val="24"/>
          <w:szCs w:val="24"/>
          <w:lang w:eastAsia="pt-BR"/>
        </w:rPr>
        <w:t xml:space="preserve">R$ </w:t>
      </w:r>
      <w:r w:rsidR="00212EEB">
        <w:rPr>
          <w:rFonts w:ascii="Times New Roman" w:eastAsia="Times New Roman" w:hAnsi="Times New Roman" w:cs="Times New Roman"/>
          <w:b/>
          <w:sz w:val="24"/>
          <w:szCs w:val="24"/>
          <w:lang w:eastAsia="pt-BR"/>
        </w:rPr>
        <w:t>12</w:t>
      </w:r>
      <w:r>
        <w:rPr>
          <w:rFonts w:ascii="Times New Roman" w:eastAsia="Times New Roman" w:hAnsi="Times New Roman" w:cs="Times New Roman"/>
          <w:b/>
          <w:sz w:val="24"/>
          <w:szCs w:val="24"/>
          <w:lang w:eastAsia="pt-BR"/>
        </w:rPr>
        <w:t>.</w:t>
      </w:r>
      <w:r w:rsidR="00212EEB">
        <w:rPr>
          <w:rFonts w:ascii="Times New Roman" w:eastAsia="Times New Roman" w:hAnsi="Times New Roman" w:cs="Times New Roman"/>
          <w:b/>
          <w:sz w:val="24"/>
          <w:szCs w:val="24"/>
          <w:lang w:eastAsia="pt-BR"/>
        </w:rPr>
        <w:t>611.246</w:t>
      </w:r>
      <w:r w:rsidRPr="00CE2B53">
        <w:rPr>
          <w:rFonts w:ascii="Times New Roman" w:eastAsia="Times New Roman" w:hAnsi="Times New Roman" w:cs="Times New Roman"/>
          <w:sz w:val="24"/>
          <w:szCs w:val="24"/>
          <w:lang w:eastAsia="pt-BR"/>
        </w:rPr>
        <w:t xml:space="preserve"> (</w:t>
      </w:r>
      <w:r w:rsidR="00212EEB">
        <w:rPr>
          <w:rFonts w:ascii="Times New Roman" w:eastAsia="Times New Roman" w:hAnsi="Times New Roman" w:cs="Times New Roman"/>
          <w:sz w:val="24"/>
          <w:szCs w:val="24"/>
          <w:lang w:eastAsia="pt-BR"/>
        </w:rPr>
        <w:t xml:space="preserve">doze milhões, seiscentos e onze reais, duzentos e quarenta e seis </w:t>
      </w:r>
      <w:r>
        <w:rPr>
          <w:rFonts w:ascii="Times New Roman" w:eastAsia="Times New Roman" w:hAnsi="Times New Roman" w:cs="Times New Roman"/>
          <w:sz w:val="24"/>
          <w:szCs w:val="24"/>
          <w:lang w:eastAsia="pt-BR"/>
        </w:rPr>
        <w:t>reais</w:t>
      </w:r>
      <w:r w:rsidRPr="00CE2B53">
        <w:rPr>
          <w:rFonts w:ascii="Times New Roman" w:eastAsia="Times New Roman" w:hAnsi="Times New Roman" w:cs="Times New Roman"/>
          <w:sz w:val="24"/>
          <w:szCs w:val="24"/>
          <w:lang w:eastAsia="pt-BR"/>
        </w:rPr>
        <w:t>).</w:t>
      </w:r>
    </w:p>
    <w:p w:rsidR="0018407B" w:rsidRPr="00CE2B53" w:rsidRDefault="0018407B" w:rsidP="0018407B">
      <w:pPr>
        <w:spacing w:after="0" w:line="240" w:lineRule="auto"/>
        <w:jc w:val="both"/>
        <w:rPr>
          <w:rFonts w:ascii="Times New Roman" w:eastAsia="Times New Roman" w:hAnsi="Times New Roman" w:cs="Times New Roman"/>
          <w:sz w:val="24"/>
          <w:szCs w:val="24"/>
          <w:lang w:eastAsia="pt-BR"/>
        </w:rPr>
      </w:pPr>
    </w:p>
    <w:p w:rsidR="0018407B" w:rsidRPr="00930408"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xml:space="preserve">A apuração do Fluxo de Caixa do exercício de </w:t>
      </w:r>
      <w:r>
        <w:rPr>
          <w:rFonts w:ascii="Times New Roman" w:eastAsia="Times New Roman" w:hAnsi="Times New Roman" w:cs="Times New Roman"/>
          <w:sz w:val="24"/>
          <w:szCs w:val="24"/>
          <w:lang w:eastAsia="pt-BR"/>
        </w:rPr>
        <w:t>202</w:t>
      </w:r>
      <w:r w:rsidR="00AD02CA">
        <w:rPr>
          <w:rFonts w:ascii="Times New Roman" w:eastAsia="Times New Roman" w:hAnsi="Times New Roman" w:cs="Times New Roman"/>
          <w:sz w:val="24"/>
          <w:szCs w:val="24"/>
          <w:lang w:eastAsia="pt-BR"/>
        </w:rPr>
        <w:t>2</w:t>
      </w:r>
      <w:r w:rsidRPr="00CE2B53">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representou um incremento de </w:t>
      </w:r>
      <w:r w:rsidR="00AD02CA">
        <w:rPr>
          <w:rFonts w:ascii="Times New Roman" w:eastAsia="Times New Roman" w:hAnsi="Times New Roman" w:cs="Times New Roman"/>
          <w:b/>
          <w:sz w:val="24"/>
          <w:szCs w:val="24"/>
          <w:lang w:eastAsia="pt-BR"/>
        </w:rPr>
        <w:t>19</w:t>
      </w:r>
      <w:r>
        <w:rPr>
          <w:rFonts w:ascii="Times New Roman" w:eastAsia="Times New Roman" w:hAnsi="Times New Roman" w:cs="Times New Roman"/>
          <w:b/>
          <w:sz w:val="24"/>
          <w:szCs w:val="24"/>
          <w:lang w:eastAsia="pt-BR"/>
        </w:rPr>
        <w:t>,</w:t>
      </w:r>
      <w:r w:rsidR="00AD02CA">
        <w:rPr>
          <w:rFonts w:ascii="Times New Roman" w:eastAsia="Times New Roman" w:hAnsi="Times New Roman" w:cs="Times New Roman"/>
          <w:b/>
          <w:sz w:val="24"/>
          <w:szCs w:val="24"/>
          <w:lang w:eastAsia="pt-BR"/>
        </w:rPr>
        <w:t>26</w:t>
      </w:r>
      <w:r w:rsidRPr="00A0490D">
        <w:rPr>
          <w:rFonts w:ascii="Times New Roman" w:eastAsia="Times New Roman" w:hAnsi="Times New Roman" w:cs="Times New Roman"/>
          <w:b/>
          <w:sz w:val="24"/>
          <w:szCs w:val="24"/>
          <w:lang w:eastAsia="pt-BR"/>
        </w:rPr>
        <w:t>%</w:t>
      </w:r>
      <w:r>
        <w:rPr>
          <w:rFonts w:ascii="Times New Roman" w:eastAsia="Times New Roman" w:hAnsi="Times New Roman" w:cs="Times New Roman"/>
          <w:sz w:val="24"/>
          <w:szCs w:val="24"/>
          <w:lang w:eastAsia="pt-BR"/>
        </w:rPr>
        <w:t xml:space="preserve"> no saldo de </w:t>
      </w:r>
      <w:r w:rsidRPr="00CE2B53">
        <w:rPr>
          <w:rFonts w:ascii="Times New Roman" w:eastAsia="Times New Roman" w:hAnsi="Times New Roman" w:cs="Times New Roman"/>
          <w:sz w:val="24"/>
          <w:szCs w:val="24"/>
          <w:lang w:eastAsia="pt-BR"/>
        </w:rPr>
        <w:t>Caixa e Equivalentes</w:t>
      </w:r>
      <w:r>
        <w:rPr>
          <w:rFonts w:ascii="Times New Roman" w:eastAsia="Times New Roman" w:hAnsi="Times New Roman" w:cs="Times New Roman"/>
          <w:sz w:val="24"/>
          <w:szCs w:val="24"/>
          <w:lang w:eastAsia="pt-BR"/>
        </w:rPr>
        <w:t xml:space="preserve"> que em 31/12/202</w:t>
      </w:r>
      <w:r w:rsidR="00AD02CA">
        <w:rPr>
          <w:rFonts w:ascii="Times New Roman" w:eastAsia="Times New Roman" w:hAnsi="Times New Roman" w:cs="Times New Roman"/>
          <w:sz w:val="24"/>
          <w:szCs w:val="24"/>
          <w:lang w:eastAsia="pt-BR"/>
        </w:rPr>
        <w:t>1</w:t>
      </w:r>
      <w:r>
        <w:rPr>
          <w:rFonts w:ascii="Times New Roman" w:eastAsia="Times New Roman" w:hAnsi="Times New Roman" w:cs="Times New Roman"/>
          <w:sz w:val="24"/>
          <w:szCs w:val="24"/>
          <w:lang w:eastAsia="pt-BR"/>
        </w:rPr>
        <w:t xml:space="preserve"> apresentava </w:t>
      </w:r>
      <w:r w:rsidR="00AD02CA">
        <w:rPr>
          <w:rFonts w:ascii="Times New Roman" w:eastAsia="Times New Roman" w:hAnsi="Times New Roman" w:cs="Times New Roman"/>
          <w:b/>
          <w:sz w:val="24"/>
          <w:szCs w:val="24"/>
          <w:lang w:eastAsia="pt-BR"/>
        </w:rPr>
        <w:t>R$ 51.167.222</w:t>
      </w:r>
      <w:r w:rsidR="00AD02CA">
        <w:rPr>
          <w:rFonts w:ascii="Times New Roman" w:eastAsia="Times New Roman" w:hAnsi="Times New Roman" w:cs="Times New Roman"/>
          <w:sz w:val="24"/>
          <w:szCs w:val="24"/>
          <w:lang w:eastAsia="pt-BR"/>
        </w:rPr>
        <w:t xml:space="preserve"> (cinquenta e um milhões, cento e sessenta e sete mil, duzentos e vinte e dois reais</w:t>
      </w:r>
      <w:r>
        <w:rPr>
          <w:rFonts w:ascii="Times New Roman" w:eastAsia="Times New Roman" w:hAnsi="Times New Roman" w:cs="Times New Roman"/>
          <w:sz w:val="24"/>
          <w:szCs w:val="24"/>
          <w:lang w:eastAsia="pt-BR"/>
        </w:rPr>
        <w:t>) e passou em 31/12/202</w:t>
      </w:r>
      <w:r w:rsidR="00AD02CA">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 xml:space="preserve"> com total de </w:t>
      </w:r>
      <w:r>
        <w:rPr>
          <w:rFonts w:ascii="Times New Roman" w:eastAsia="Times New Roman" w:hAnsi="Times New Roman" w:cs="Times New Roman"/>
          <w:b/>
          <w:sz w:val="24"/>
          <w:szCs w:val="24"/>
          <w:lang w:eastAsia="pt-BR"/>
        </w:rPr>
        <w:t xml:space="preserve">R$ </w:t>
      </w:r>
      <w:r w:rsidR="00AD02CA">
        <w:rPr>
          <w:rFonts w:ascii="Times New Roman" w:eastAsia="Times New Roman" w:hAnsi="Times New Roman" w:cs="Times New Roman"/>
          <w:b/>
          <w:sz w:val="24"/>
          <w:szCs w:val="24"/>
          <w:lang w:eastAsia="pt-BR"/>
        </w:rPr>
        <w:t>6</w:t>
      </w:r>
      <w:r>
        <w:rPr>
          <w:rFonts w:ascii="Times New Roman" w:eastAsia="Times New Roman" w:hAnsi="Times New Roman" w:cs="Times New Roman"/>
          <w:b/>
          <w:sz w:val="24"/>
          <w:szCs w:val="24"/>
          <w:lang w:eastAsia="pt-BR"/>
        </w:rPr>
        <w:t>1.</w:t>
      </w:r>
      <w:r w:rsidR="00AD02CA">
        <w:rPr>
          <w:rFonts w:ascii="Times New Roman" w:eastAsia="Times New Roman" w:hAnsi="Times New Roman" w:cs="Times New Roman"/>
          <w:b/>
          <w:sz w:val="24"/>
          <w:szCs w:val="24"/>
          <w:lang w:eastAsia="pt-BR"/>
        </w:rPr>
        <w:t>020</w:t>
      </w:r>
      <w:r>
        <w:rPr>
          <w:rFonts w:ascii="Times New Roman" w:eastAsia="Times New Roman" w:hAnsi="Times New Roman" w:cs="Times New Roman"/>
          <w:b/>
          <w:sz w:val="24"/>
          <w:szCs w:val="24"/>
          <w:lang w:eastAsia="pt-BR"/>
        </w:rPr>
        <w:t>.</w:t>
      </w:r>
      <w:r w:rsidR="00AD02CA">
        <w:rPr>
          <w:rFonts w:ascii="Times New Roman" w:eastAsia="Times New Roman" w:hAnsi="Times New Roman" w:cs="Times New Roman"/>
          <w:b/>
          <w:sz w:val="24"/>
          <w:szCs w:val="24"/>
          <w:lang w:eastAsia="pt-BR"/>
        </w:rPr>
        <w:t>373</w:t>
      </w:r>
      <w:r>
        <w:rPr>
          <w:rFonts w:ascii="Times New Roman" w:eastAsia="Times New Roman" w:hAnsi="Times New Roman" w:cs="Times New Roman"/>
          <w:sz w:val="24"/>
          <w:szCs w:val="24"/>
          <w:lang w:eastAsia="pt-BR"/>
        </w:rPr>
        <w:t xml:space="preserve"> (</w:t>
      </w:r>
      <w:r w:rsidR="00AD02CA">
        <w:rPr>
          <w:rFonts w:ascii="Times New Roman" w:eastAsia="Times New Roman" w:hAnsi="Times New Roman" w:cs="Times New Roman"/>
          <w:sz w:val="24"/>
          <w:szCs w:val="24"/>
          <w:lang w:eastAsia="pt-BR"/>
        </w:rPr>
        <w:t xml:space="preserve">sessenta </w:t>
      </w:r>
      <w:r>
        <w:rPr>
          <w:rFonts w:ascii="Times New Roman" w:eastAsia="Times New Roman" w:hAnsi="Times New Roman" w:cs="Times New Roman"/>
          <w:sz w:val="24"/>
          <w:szCs w:val="24"/>
          <w:lang w:eastAsia="pt-BR"/>
        </w:rPr>
        <w:t xml:space="preserve">e um milhões, </w:t>
      </w:r>
      <w:r w:rsidR="00AD02CA">
        <w:rPr>
          <w:rFonts w:ascii="Times New Roman" w:eastAsia="Times New Roman" w:hAnsi="Times New Roman" w:cs="Times New Roman"/>
          <w:sz w:val="24"/>
          <w:szCs w:val="24"/>
          <w:lang w:eastAsia="pt-BR"/>
        </w:rPr>
        <w:t>vinte reais mil</w:t>
      </w:r>
      <w:r>
        <w:rPr>
          <w:rFonts w:ascii="Times New Roman" w:eastAsia="Times New Roman" w:hAnsi="Times New Roman" w:cs="Times New Roman"/>
          <w:sz w:val="24"/>
          <w:szCs w:val="24"/>
          <w:lang w:eastAsia="pt-BR"/>
        </w:rPr>
        <w:t xml:space="preserve">, </w:t>
      </w:r>
      <w:r w:rsidR="00AD02CA">
        <w:rPr>
          <w:rFonts w:ascii="Times New Roman" w:eastAsia="Times New Roman" w:hAnsi="Times New Roman" w:cs="Times New Roman"/>
          <w:sz w:val="24"/>
          <w:szCs w:val="24"/>
          <w:lang w:eastAsia="pt-BR"/>
        </w:rPr>
        <w:t xml:space="preserve">trezentos e setenta e três </w:t>
      </w:r>
      <w:r>
        <w:rPr>
          <w:rFonts w:ascii="Times New Roman" w:eastAsia="Times New Roman" w:hAnsi="Times New Roman" w:cs="Times New Roman"/>
          <w:sz w:val="24"/>
          <w:szCs w:val="24"/>
          <w:lang w:eastAsia="pt-BR"/>
        </w:rPr>
        <w:t xml:space="preserve">reais). </w:t>
      </w:r>
    </w:p>
    <w:p w:rsidR="0018407B" w:rsidRDefault="0018407B" w:rsidP="0018407B">
      <w:pPr>
        <w:spacing w:after="0" w:line="240" w:lineRule="auto"/>
        <w:jc w:val="both"/>
        <w:rPr>
          <w:rFonts w:ascii="Times New Roman" w:eastAsia="Times New Roman" w:hAnsi="Times New Roman" w:cs="Times New Roman"/>
          <w:b/>
          <w:sz w:val="24"/>
          <w:szCs w:val="24"/>
          <w:lang w:eastAsia="pt-BR"/>
        </w:rPr>
      </w:pPr>
    </w:p>
    <w:p w:rsidR="00FF62EC" w:rsidRDefault="00FF62EC" w:rsidP="0018407B">
      <w:pPr>
        <w:spacing w:after="0" w:line="240" w:lineRule="auto"/>
        <w:jc w:val="both"/>
        <w:rPr>
          <w:rFonts w:ascii="Times New Roman" w:eastAsia="Times New Roman" w:hAnsi="Times New Roman" w:cs="Times New Roman"/>
          <w:b/>
          <w:sz w:val="24"/>
          <w:szCs w:val="24"/>
          <w:lang w:eastAsia="pt-BR"/>
        </w:rPr>
      </w:pPr>
    </w:p>
    <w:p w:rsidR="0018407B" w:rsidRDefault="0018407B" w:rsidP="0018407B">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23</w:t>
      </w:r>
      <w:r w:rsidRPr="00E30846">
        <w:rPr>
          <w:rFonts w:ascii="Times New Roman" w:eastAsia="Times New Roman" w:hAnsi="Times New Roman" w:cs="Times New Roman"/>
          <w:b/>
          <w:sz w:val="24"/>
          <w:szCs w:val="24"/>
          <w:lang w:eastAsia="pt-BR"/>
        </w:rPr>
        <w:t xml:space="preserve">. Seguros </w:t>
      </w:r>
    </w:p>
    <w:p w:rsidR="0018407B" w:rsidRDefault="0018407B" w:rsidP="0018407B">
      <w:pPr>
        <w:spacing w:after="0" w:line="240" w:lineRule="auto"/>
        <w:jc w:val="both"/>
        <w:rPr>
          <w:rFonts w:ascii="Times New Roman" w:eastAsia="Times New Roman" w:hAnsi="Times New Roman" w:cs="Times New Roman"/>
          <w:b/>
          <w:sz w:val="24"/>
          <w:szCs w:val="24"/>
          <w:lang w:eastAsia="pt-BR"/>
        </w:rPr>
      </w:pPr>
    </w:p>
    <w:p w:rsidR="0018407B" w:rsidRPr="003C6BF1" w:rsidRDefault="0018407B" w:rsidP="0018407B">
      <w:pPr>
        <w:spacing w:after="0" w:line="240" w:lineRule="auto"/>
        <w:jc w:val="both"/>
        <w:rPr>
          <w:rFonts w:ascii="Times New Roman" w:hAnsi="Times New Roman" w:cs="Times New Roman"/>
          <w:sz w:val="24"/>
          <w:szCs w:val="24"/>
        </w:rPr>
      </w:pPr>
      <w:r w:rsidRPr="003C6BF1">
        <w:rPr>
          <w:rFonts w:ascii="Times New Roman" w:hAnsi="Times New Roman" w:cs="Times New Roman"/>
          <w:sz w:val="24"/>
          <w:szCs w:val="24"/>
        </w:rPr>
        <w:t xml:space="preserve">A Entidade adota uma política de seguros que considera, principalmente, a concentração de riscos e sua relevância, contratados em montantes considerados suficientes pela Administração, levando em consideração a natureza de suas atividades e a orientação de seus consultores de seguros. A cobertura dos seguros, em valores de 31 de dezembro de </w:t>
      </w:r>
      <w:r>
        <w:rPr>
          <w:rFonts w:ascii="Times New Roman" w:hAnsi="Times New Roman" w:cs="Times New Roman"/>
          <w:sz w:val="24"/>
          <w:szCs w:val="24"/>
        </w:rPr>
        <w:t>202</w:t>
      </w:r>
      <w:r w:rsidR="0009582A">
        <w:rPr>
          <w:rFonts w:ascii="Times New Roman" w:hAnsi="Times New Roman" w:cs="Times New Roman"/>
          <w:sz w:val="24"/>
          <w:szCs w:val="24"/>
        </w:rPr>
        <w:t>2</w:t>
      </w:r>
      <w:r w:rsidRPr="003C6BF1">
        <w:rPr>
          <w:rFonts w:ascii="Times New Roman" w:hAnsi="Times New Roman" w:cs="Times New Roman"/>
          <w:sz w:val="24"/>
          <w:szCs w:val="24"/>
        </w:rPr>
        <w:t>, é assim demonstrada:</w:t>
      </w:r>
    </w:p>
    <w:p w:rsidR="0018407B" w:rsidRDefault="0018407B" w:rsidP="0018407B">
      <w:pPr>
        <w:spacing w:after="0" w:line="240" w:lineRule="auto"/>
        <w:jc w:val="both"/>
        <w:rPr>
          <w:rFonts w:ascii="Times New Roman" w:eastAsia="Times New Roman" w:hAnsi="Times New Roman" w:cs="Times New Roman"/>
          <w:b/>
          <w:sz w:val="24"/>
          <w:szCs w:val="24"/>
          <w:lang w:eastAsia="pt-BR"/>
        </w:rPr>
      </w:pPr>
    </w:p>
    <w:p w:rsidR="0018407B" w:rsidRPr="00CD3E4D" w:rsidRDefault="0018407B" w:rsidP="0018407B">
      <w:pPr>
        <w:spacing w:after="0" w:line="240" w:lineRule="auto"/>
        <w:jc w:val="both"/>
        <w:rPr>
          <w:rFonts w:ascii="Times New Roman" w:eastAsia="Times New Roman" w:hAnsi="Times New Roman" w:cs="Times New Roman"/>
          <w:color w:val="000000" w:themeColor="text1"/>
          <w:sz w:val="24"/>
          <w:szCs w:val="24"/>
          <w:lang w:eastAsia="pt-BR"/>
        </w:rPr>
      </w:pPr>
      <w:r w:rsidRPr="00CD3E4D">
        <w:rPr>
          <w:rFonts w:ascii="Times New Roman" w:eastAsia="Times New Roman" w:hAnsi="Times New Roman" w:cs="Times New Roman"/>
          <w:color w:val="000000" w:themeColor="text1"/>
          <w:sz w:val="24"/>
          <w:szCs w:val="24"/>
          <w:lang w:eastAsia="pt-BR"/>
        </w:rPr>
        <w:t>As coberturas de seguros vigentes em 31/12/202</w:t>
      </w:r>
      <w:r w:rsidR="0009582A">
        <w:rPr>
          <w:rFonts w:ascii="Times New Roman" w:eastAsia="Times New Roman" w:hAnsi="Times New Roman" w:cs="Times New Roman"/>
          <w:color w:val="000000" w:themeColor="text1"/>
          <w:sz w:val="24"/>
          <w:szCs w:val="24"/>
          <w:lang w:eastAsia="pt-BR"/>
        </w:rPr>
        <w:t>2</w:t>
      </w:r>
      <w:r w:rsidRPr="00CD3E4D">
        <w:rPr>
          <w:rFonts w:ascii="Times New Roman" w:eastAsia="Times New Roman" w:hAnsi="Times New Roman" w:cs="Times New Roman"/>
          <w:color w:val="000000" w:themeColor="text1"/>
          <w:sz w:val="24"/>
          <w:szCs w:val="24"/>
          <w:lang w:eastAsia="pt-BR"/>
        </w:rPr>
        <w:t xml:space="preserve"> são:</w:t>
      </w:r>
    </w:p>
    <w:p w:rsidR="0018407B" w:rsidRDefault="0018407B" w:rsidP="0018407B">
      <w:pPr>
        <w:spacing w:after="0" w:line="240" w:lineRule="auto"/>
        <w:jc w:val="both"/>
        <w:rPr>
          <w:rFonts w:ascii="Times New Roman" w:eastAsia="Times New Roman" w:hAnsi="Times New Roman" w:cs="Times New Roman"/>
          <w:color w:val="000000" w:themeColor="text1"/>
          <w:sz w:val="24"/>
          <w:szCs w:val="24"/>
          <w:lang w:eastAsia="pt-BR"/>
        </w:rPr>
      </w:pPr>
    </w:p>
    <w:p w:rsidR="0009582A" w:rsidRDefault="0009582A" w:rsidP="0018407B">
      <w:pPr>
        <w:spacing w:after="0" w:line="240" w:lineRule="auto"/>
        <w:jc w:val="both"/>
        <w:rPr>
          <w:rFonts w:ascii="Times New Roman" w:eastAsia="Times New Roman" w:hAnsi="Times New Roman" w:cs="Times New Roman"/>
          <w:color w:val="000000" w:themeColor="text1"/>
          <w:sz w:val="24"/>
          <w:szCs w:val="24"/>
          <w:lang w:eastAsia="pt-BR"/>
        </w:rPr>
      </w:pPr>
    </w:p>
    <w:p w:rsidR="0009582A" w:rsidRPr="00CD3E4D" w:rsidRDefault="0009582A" w:rsidP="0018407B">
      <w:pPr>
        <w:spacing w:after="0" w:line="240" w:lineRule="auto"/>
        <w:jc w:val="both"/>
        <w:rPr>
          <w:rFonts w:ascii="Times New Roman" w:eastAsia="Times New Roman" w:hAnsi="Times New Roman" w:cs="Times New Roman"/>
          <w:color w:val="000000" w:themeColor="text1"/>
          <w:sz w:val="24"/>
          <w:szCs w:val="24"/>
          <w:lang w:eastAsia="pt-BR"/>
        </w:rPr>
      </w:pPr>
    </w:p>
    <w:p w:rsidR="0018407B" w:rsidRPr="00CD3E4D" w:rsidRDefault="0018407B" w:rsidP="0018407B">
      <w:pPr>
        <w:pStyle w:val="PargrafodaLista"/>
        <w:numPr>
          <w:ilvl w:val="0"/>
          <w:numId w:val="40"/>
        </w:numPr>
        <w:spacing w:after="0" w:line="240" w:lineRule="auto"/>
        <w:ind w:left="0" w:firstLine="0"/>
        <w:jc w:val="both"/>
        <w:rPr>
          <w:rFonts w:ascii="Times New Roman" w:eastAsia="Times New Roman" w:hAnsi="Times New Roman" w:cs="Times New Roman"/>
          <w:color w:val="000000" w:themeColor="text1"/>
          <w:sz w:val="24"/>
          <w:szCs w:val="24"/>
          <w:lang w:eastAsia="pt-BR"/>
        </w:rPr>
      </w:pPr>
      <w:r w:rsidRPr="00CD3E4D">
        <w:rPr>
          <w:rFonts w:ascii="Times New Roman" w:eastAsia="Times New Roman" w:hAnsi="Times New Roman" w:cs="Times New Roman"/>
          <w:color w:val="000000" w:themeColor="text1"/>
          <w:sz w:val="24"/>
          <w:szCs w:val="24"/>
          <w:lang w:eastAsia="pt-BR"/>
        </w:rPr>
        <w:t>Porto Seguro Seguros: incêndio, roubo e colisão aos três veículos do CAUBR:</w:t>
      </w:r>
    </w:p>
    <w:p w:rsidR="0018407B" w:rsidRPr="00CD3E4D" w:rsidRDefault="0018407B" w:rsidP="0018407B">
      <w:pPr>
        <w:pStyle w:val="PargrafodaLista"/>
        <w:spacing w:after="0" w:line="240" w:lineRule="auto"/>
        <w:ind w:left="0"/>
        <w:jc w:val="both"/>
        <w:rPr>
          <w:rFonts w:ascii="Times New Roman" w:eastAsia="Times New Roman" w:hAnsi="Times New Roman" w:cs="Times New Roman"/>
          <w:color w:val="000000" w:themeColor="text1"/>
          <w:sz w:val="24"/>
          <w:szCs w:val="24"/>
          <w:lang w:eastAsia="pt-BR"/>
        </w:rPr>
      </w:pPr>
    </w:p>
    <w:p w:rsidR="0018407B" w:rsidRPr="00CD3E4D" w:rsidRDefault="0018407B" w:rsidP="0018407B">
      <w:pPr>
        <w:pStyle w:val="PargrafodaLista"/>
        <w:numPr>
          <w:ilvl w:val="0"/>
          <w:numId w:val="47"/>
        </w:numPr>
        <w:spacing w:after="0" w:line="240" w:lineRule="auto"/>
        <w:jc w:val="both"/>
        <w:rPr>
          <w:rFonts w:ascii="Times New Roman" w:eastAsia="Times New Roman" w:hAnsi="Times New Roman" w:cs="Times New Roman"/>
          <w:color w:val="000000" w:themeColor="text1"/>
          <w:sz w:val="20"/>
          <w:szCs w:val="24"/>
          <w:lang w:eastAsia="pt-BR"/>
        </w:rPr>
      </w:pPr>
      <w:r w:rsidRPr="00CD3E4D">
        <w:rPr>
          <w:rFonts w:ascii="Times New Roman" w:eastAsia="Times New Roman" w:hAnsi="Times New Roman" w:cs="Times New Roman"/>
          <w:color w:val="000000" w:themeColor="text1"/>
          <w:sz w:val="20"/>
          <w:szCs w:val="24"/>
          <w:lang w:eastAsia="pt-BR"/>
        </w:rPr>
        <w:t>RENAULT FLUENCE SEDAN DYNAMIQUE 2.0</w:t>
      </w:r>
    </w:p>
    <w:p w:rsidR="0018407B" w:rsidRPr="00CD3E4D" w:rsidRDefault="0018407B" w:rsidP="0018407B">
      <w:pPr>
        <w:pStyle w:val="PargrafodaLista"/>
        <w:numPr>
          <w:ilvl w:val="0"/>
          <w:numId w:val="47"/>
        </w:numPr>
        <w:spacing w:after="0" w:line="240" w:lineRule="auto"/>
        <w:jc w:val="both"/>
        <w:rPr>
          <w:rFonts w:ascii="Times New Roman" w:eastAsia="Times New Roman" w:hAnsi="Times New Roman" w:cs="Times New Roman"/>
          <w:color w:val="000000" w:themeColor="text1"/>
          <w:sz w:val="20"/>
          <w:szCs w:val="24"/>
          <w:lang w:eastAsia="pt-BR"/>
        </w:rPr>
      </w:pPr>
      <w:r w:rsidRPr="00CD3E4D">
        <w:rPr>
          <w:rFonts w:ascii="Times New Roman" w:eastAsia="Times New Roman" w:hAnsi="Times New Roman" w:cs="Times New Roman"/>
          <w:color w:val="000000" w:themeColor="text1"/>
          <w:sz w:val="20"/>
          <w:szCs w:val="24"/>
          <w:lang w:eastAsia="pt-BR"/>
        </w:rPr>
        <w:t>FIAT GRAND SIENA ATTRACTIVE 1.4 FLEX</w:t>
      </w:r>
    </w:p>
    <w:p w:rsidR="0018407B" w:rsidRPr="00CD3E4D" w:rsidRDefault="0018407B" w:rsidP="0018407B">
      <w:pPr>
        <w:pStyle w:val="PargrafodaLista"/>
        <w:numPr>
          <w:ilvl w:val="0"/>
          <w:numId w:val="47"/>
        </w:numPr>
        <w:spacing w:after="0" w:line="240" w:lineRule="auto"/>
        <w:jc w:val="both"/>
        <w:rPr>
          <w:rFonts w:ascii="Times New Roman" w:eastAsia="Times New Roman" w:hAnsi="Times New Roman" w:cs="Times New Roman"/>
          <w:color w:val="000000" w:themeColor="text1"/>
          <w:sz w:val="20"/>
          <w:szCs w:val="24"/>
          <w:lang w:eastAsia="pt-BR"/>
        </w:rPr>
      </w:pPr>
      <w:r w:rsidRPr="00CD3E4D">
        <w:rPr>
          <w:rFonts w:ascii="Times New Roman" w:eastAsia="Times New Roman" w:hAnsi="Times New Roman" w:cs="Times New Roman"/>
          <w:color w:val="000000" w:themeColor="text1"/>
          <w:sz w:val="20"/>
          <w:szCs w:val="24"/>
          <w:lang w:eastAsia="pt-BR"/>
        </w:rPr>
        <w:t>FIAT GRAND SIENA ATTRACTIVE 1.4 FLEX</w:t>
      </w:r>
    </w:p>
    <w:p w:rsidR="0018407B" w:rsidRPr="007C4B12" w:rsidRDefault="0018407B" w:rsidP="0018407B">
      <w:pPr>
        <w:pStyle w:val="PargrafodaLista"/>
        <w:spacing w:after="0" w:line="240" w:lineRule="auto"/>
        <w:ind w:left="1440"/>
        <w:jc w:val="both"/>
        <w:rPr>
          <w:rFonts w:ascii="Times New Roman" w:eastAsia="Times New Roman" w:hAnsi="Times New Roman" w:cs="Times New Roman"/>
          <w:sz w:val="20"/>
          <w:szCs w:val="24"/>
          <w:lang w:eastAsia="pt-BR"/>
        </w:rPr>
      </w:pPr>
    </w:p>
    <w:p w:rsidR="00671195" w:rsidRDefault="00671195" w:rsidP="00671195">
      <w:pPr>
        <w:shd w:val="clear" w:color="auto" w:fill="FFFFFF"/>
        <w:spacing w:after="0" w:line="240" w:lineRule="auto"/>
        <w:jc w:val="both"/>
        <w:rPr>
          <w:rFonts w:ascii="Times New Roman" w:eastAsia="Times New Roman" w:hAnsi="Times New Roman" w:cs="Times New Roman"/>
          <w:b/>
          <w:sz w:val="24"/>
          <w:szCs w:val="24"/>
          <w:lang w:eastAsia="pt-BR"/>
        </w:rPr>
      </w:pPr>
    </w:p>
    <w:p w:rsidR="00C97D6A" w:rsidRDefault="00C97D6A" w:rsidP="00671195">
      <w:pPr>
        <w:shd w:val="clear" w:color="auto" w:fill="FFFFFF"/>
        <w:spacing w:after="0" w:line="240" w:lineRule="auto"/>
        <w:jc w:val="both"/>
        <w:rPr>
          <w:rFonts w:ascii="Times New Roman" w:eastAsia="Times New Roman" w:hAnsi="Times New Roman" w:cs="Times New Roman"/>
          <w:b/>
          <w:sz w:val="24"/>
          <w:szCs w:val="24"/>
          <w:lang w:eastAsia="pt-BR"/>
        </w:rPr>
      </w:pPr>
    </w:p>
    <w:p w:rsidR="00947900" w:rsidRPr="00947900" w:rsidRDefault="00947900" w:rsidP="00947900">
      <w:pPr>
        <w:spacing w:after="0" w:line="240" w:lineRule="auto"/>
        <w:jc w:val="both"/>
        <w:rPr>
          <w:rFonts w:ascii="Times New Roman" w:eastAsia="Times New Roman" w:hAnsi="Times New Roman" w:cs="Times New Roman"/>
          <w:sz w:val="24"/>
          <w:szCs w:val="24"/>
          <w:lang w:eastAsia="pt-BR"/>
        </w:rPr>
      </w:pPr>
      <w:r w:rsidRPr="00947900">
        <w:rPr>
          <w:rFonts w:ascii="Times New Roman" w:eastAsia="Times New Roman" w:hAnsi="Times New Roman" w:cs="Times New Roman"/>
          <w:b/>
          <w:bCs/>
          <w:sz w:val="24"/>
          <w:szCs w:val="24"/>
          <w:lang w:eastAsia="pt-BR"/>
        </w:rPr>
        <w:t>24. Créditos de Anuidades a Receber</w:t>
      </w:r>
      <w:r w:rsidRPr="00947900">
        <w:rPr>
          <w:rFonts w:ascii="Times New Roman" w:eastAsia="Times New Roman" w:hAnsi="Times New Roman" w:cs="Times New Roman"/>
          <w:b/>
          <w:sz w:val="24"/>
          <w:szCs w:val="24"/>
          <w:lang w:eastAsia="pt-BR"/>
        </w:rPr>
        <w:t> – </w:t>
      </w:r>
      <w:r w:rsidRPr="00947900">
        <w:rPr>
          <w:rFonts w:ascii="Times New Roman" w:eastAsia="Times New Roman" w:hAnsi="Times New Roman" w:cs="Times New Roman"/>
          <w:sz w:val="24"/>
          <w:szCs w:val="24"/>
          <w:lang w:eastAsia="pt-BR"/>
        </w:rPr>
        <w:t>O controle de créditos de anuidades a receber é feito através do Sistema SICCAU, desenvolvido e administrado pelo CAUBR, onde consta os registros de todos os arquitetos inscritos no sistema CAU. Somente os CAU/</w:t>
      </w:r>
      <w:proofErr w:type="spellStart"/>
      <w:r w:rsidRPr="00947900">
        <w:rPr>
          <w:rFonts w:ascii="Times New Roman" w:eastAsia="Times New Roman" w:hAnsi="Times New Roman" w:cs="Times New Roman"/>
          <w:sz w:val="24"/>
          <w:szCs w:val="24"/>
          <w:lang w:eastAsia="pt-BR"/>
        </w:rPr>
        <w:t>UF’s</w:t>
      </w:r>
      <w:proofErr w:type="spellEnd"/>
      <w:r w:rsidRPr="00947900">
        <w:rPr>
          <w:rFonts w:ascii="Times New Roman" w:eastAsia="Times New Roman" w:hAnsi="Times New Roman" w:cs="Times New Roman"/>
          <w:sz w:val="24"/>
          <w:szCs w:val="24"/>
          <w:lang w:eastAsia="pt-BR"/>
        </w:rPr>
        <w:t xml:space="preserve"> contabilizam os créditos de anuidades a receber, sendo que atualmente reconhecem em balanço </w:t>
      </w:r>
      <w:r w:rsidR="001D0AF1">
        <w:rPr>
          <w:rFonts w:ascii="Times New Roman" w:eastAsia="Times New Roman" w:hAnsi="Times New Roman" w:cs="Times New Roman"/>
          <w:sz w:val="24"/>
          <w:szCs w:val="24"/>
          <w:lang w:eastAsia="pt-BR"/>
        </w:rPr>
        <w:t>10</w:t>
      </w:r>
      <w:r w:rsidRPr="00947900">
        <w:rPr>
          <w:rFonts w:ascii="Times New Roman" w:eastAsia="Times New Roman" w:hAnsi="Times New Roman" w:cs="Times New Roman"/>
          <w:sz w:val="24"/>
          <w:szCs w:val="24"/>
          <w:lang w:eastAsia="pt-BR"/>
        </w:rPr>
        <w:t xml:space="preserve">0% dos valores apurados. </w:t>
      </w:r>
      <w:r w:rsidR="003A5CAE">
        <w:rPr>
          <w:rFonts w:ascii="Times New Roman" w:eastAsia="Times New Roman" w:hAnsi="Times New Roman" w:cs="Times New Roman"/>
          <w:sz w:val="24"/>
          <w:szCs w:val="24"/>
          <w:lang w:eastAsia="pt-BR"/>
        </w:rPr>
        <w:t>A</w:t>
      </w:r>
      <w:r w:rsidRPr="00947900">
        <w:rPr>
          <w:rFonts w:ascii="Times New Roman" w:eastAsia="Times New Roman" w:hAnsi="Times New Roman" w:cs="Times New Roman"/>
          <w:sz w:val="24"/>
          <w:szCs w:val="24"/>
          <w:lang w:eastAsia="pt-BR"/>
        </w:rPr>
        <w:t>penas os Conselhos Regionais estão obrigados a fazer a provisão de Créditos a Receber, uma vez que compete aos mesmos a realização de medidas administrativas de cobrança, tais como a notificação extrajudicial, a inclusão em cadastros de inadimplentes e o protesto de certidões de dívida ativa.</w:t>
      </w:r>
    </w:p>
    <w:p w:rsidR="00947900" w:rsidRPr="00947900" w:rsidRDefault="00947900" w:rsidP="00947900">
      <w:pPr>
        <w:spacing w:after="0" w:line="240" w:lineRule="auto"/>
        <w:jc w:val="both"/>
        <w:rPr>
          <w:rFonts w:ascii="Times New Roman" w:eastAsia="Times New Roman" w:hAnsi="Times New Roman" w:cs="Times New Roman"/>
          <w:sz w:val="24"/>
          <w:szCs w:val="24"/>
          <w:lang w:eastAsia="pt-BR"/>
        </w:rPr>
      </w:pPr>
      <w:r w:rsidRPr="00947900">
        <w:rPr>
          <w:rFonts w:ascii="Times New Roman" w:eastAsia="Times New Roman" w:hAnsi="Times New Roman" w:cs="Times New Roman"/>
          <w:sz w:val="24"/>
          <w:szCs w:val="24"/>
          <w:lang w:eastAsia="pt-BR"/>
        </w:rPr>
        <w:t xml:space="preserve">No relatório </w:t>
      </w:r>
      <w:proofErr w:type="spellStart"/>
      <w:r w:rsidRPr="00947900">
        <w:rPr>
          <w:rFonts w:ascii="Times New Roman" w:eastAsia="Times New Roman" w:hAnsi="Times New Roman" w:cs="Times New Roman"/>
          <w:sz w:val="24"/>
          <w:szCs w:val="24"/>
          <w:lang w:eastAsia="pt-BR"/>
        </w:rPr>
        <w:t>Siccau</w:t>
      </w:r>
      <w:proofErr w:type="spellEnd"/>
      <w:r w:rsidRPr="00947900">
        <w:rPr>
          <w:rFonts w:ascii="Times New Roman" w:eastAsia="Times New Roman" w:hAnsi="Times New Roman" w:cs="Times New Roman"/>
          <w:sz w:val="24"/>
          <w:szCs w:val="24"/>
          <w:lang w:eastAsia="pt-BR"/>
        </w:rPr>
        <w:t xml:space="preserve"> de 31/12/202</w:t>
      </w:r>
      <w:r w:rsidR="003A5CAE">
        <w:rPr>
          <w:rFonts w:ascii="Times New Roman" w:eastAsia="Times New Roman" w:hAnsi="Times New Roman" w:cs="Times New Roman"/>
          <w:sz w:val="24"/>
          <w:szCs w:val="24"/>
          <w:lang w:eastAsia="pt-BR"/>
        </w:rPr>
        <w:t>2</w:t>
      </w:r>
      <w:r w:rsidRPr="00947900">
        <w:rPr>
          <w:rFonts w:ascii="Times New Roman" w:eastAsia="Times New Roman" w:hAnsi="Times New Roman" w:cs="Times New Roman"/>
          <w:sz w:val="24"/>
          <w:szCs w:val="24"/>
          <w:lang w:eastAsia="pt-BR"/>
        </w:rPr>
        <w:t>, os valores a receber de anuidades de Profissionais e Empresas de todos os CAU/</w:t>
      </w:r>
      <w:proofErr w:type="spellStart"/>
      <w:r w:rsidRPr="00947900">
        <w:rPr>
          <w:rFonts w:ascii="Times New Roman" w:eastAsia="Times New Roman" w:hAnsi="Times New Roman" w:cs="Times New Roman"/>
          <w:sz w:val="24"/>
          <w:szCs w:val="24"/>
          <w:lang w:eastAsia="pt-BR"/>
        </w:rPr>
        <w:t>UFs</w:t>
      </w:r>
      <w:proofErr w:type="spellEnd"/>
      <w:r w:rsidRPr="00947900">
        <w:rPr>
          <w:rFonts w:ascii="Times New Roman" w:eastAsia="Times New Roman" w:hAnsi="Times New Roman" w:cs="Times New Roman"/>
          <w:sz w:val="24"/>
          <w:szCs w:val="24"/>
          <w:lang w:eastAsia="pt-BR"/>
        </w:rPr>
        <w:t xml:space="preserve"> do Período de 2012 a 202</w:t>
      </w:r>
      <w:r w:rsidR="003A5CAE">
        <w:rPr>
          <w:rFonts w:ascii="Times New Roman" w:eastAsia="Times New Roman" w:hAnsi="Times New Roman" w:cs="Times New Roman"/>
          <w:sz w:val="24"/>
          <w:szCs w:val="24"/>
          <w:lang w:eastAsia="pt-BR"/>
        </w:rPr>
        <w:t>2</w:t>
      </w:r>
      <w:r w:rsidRPr="00947900">
        <w:rPr>
          <w:rFonts w:ascii="Times New Roman" w:eastAsia="Times New Roman" w:hAnsi="Times New Roman" w:cs="Times New Roman"/>
          <w:sz w:val="24"/>
          <w:szCs w:val="24"/>
          <w:lang w:eastAsia="pt-BR"/>
        </w:rPr>
        <w:t xml:space="preserve"> são: </w:t>
      </w:r>
      <w:r w:rsidRPr="003A5CAE">
        <w:rPr>
          <w:rFonts w:ascii="Times New Roman" w:eastAsia="Times New Roman" w:hAnsi="Times New Roman" w:cs="Times New Roman"/>
          <w:b/>
          <w:sz w:val="24"/>
          <w:szCs w:val="24"/>
          <w:lang w:eastAsia="pt-BR"/>
        </w:rPr>
        <w:t>R$ 1</w:t>
      </w:r>
      <w:r w:rsidR="003A5CAE" w:rsidRPr="003A5CAE">
        <w:rPr>
          <w:rFonts w:ascii="Times New Roman" w:eastAsia="Times New Roman" w:hAnsi="Times New Roman" w:cs="Times New Roman"/>
          <w:b/>
          <w:sz w:val="24"/>
          <w:szCs w:val="24"/>
          <w:lang w:eastAsia="pt-BR"/>
        </w:rPr>
        <w:t>33</w:t>
      </w:r>
      <w:r w:rsidRPr="003A5CAE">
        <w:rPr>
          <w:rFonts w:ascii="Times New Roman" w:eastAsia="Times New Roman" w:hAnsi="Times New Roman" w:cs="Times New Roman"/>
          <w:b/>
          <w:sz w:val="24"/>
          <w:szCs w:val="24"/>
          <w:lang w:eastAsia="pt-BR"/>
        </w:rPr>
        <w:t>.</w:t>
      </w:r>
      <w:r w:rsidR="003A5CAE" w:rsidRPr="003A5CAE">
        <w:rPr>
          <w:rFonts w:ascii="Times New Roman" w:eastAsia="Times New Roman" w:hAnsi="Times New Roman" w:cs="Times New Roman"/>
          <w:b/>
          <w:sz w:val="24"/>
          <w:szCs w:val="24"/>
          <w:lang w:eastAsia="pt-BR"/>
        </w:rPr>
        <w:t>876</w:t>
      </w:r>
      <w:r w:rsidRPr="003A5CAE">
        <w:rPr>
          <w:rFonts w:ascii="Times New Roman" w:eastAsia="Times New Roman" w:hAnsi="Times New Roman" w:cs="Times New Roman"/>
          <w:b/>
          <w:sz w:val="24"/>
          <w:szCs w:val="24"/>
          <w:lang w:eastAsia="pt-BR"/>
        </w:rPr>
        <w:t>.</w:t>
      </w:r>
      <w:r w:rsidR="003A5CAE" w:rsidRPr="003A5CAE">
        <w:rPr>
          <w:rFonts w:ascii="Times New Roman" w:eastAsia="Times New Roman" w:hAnsi="Times New Roman" w:cs="Times New Roman"/>
          <w:b/>
          <w:sz w:val="24"/>
          <w:szCs w:val="24"/>
          <w:lang w:eastAsia="pt-BR"/>
        </w:rPr>
        <w:t>116</w:t>
      </w:r>
      <w:r w:rsidRPr="00947900">
        <w:rPr>
          <w:rFonts w:ascii="Times New Roman" w:eastAsia="Times New Roman" w:hAnsi="Times New Roman" w:cs="Times New Roman"/>
          <w:sz w:val="24"/>
          <w:szCs w:val="24"/>
          <w:lang w:eastAsia="pt-BR"/>
        </w:rPr>
        <w:t xml:space="preserve"> (cento e </w:t>
      </w:r>
      <w:r w:rsidR="003A5CAE">
        <w:rPr>
          <w:rFonts w:ascii="Times New Roman" w:eastAsia="Times New Roman" w:hAnsi="Times New Roman" w:cs="Times New Roman"/>
          <w:sz w:val="24"/>
          <w:szCs w:val="24"/>
          <w:lang w:eastAsia="pt-BR"/>
        </w:rPr>
        <w:t xml:space="preserve">trinta e três </w:t>
      </w:r>
      <w:r w:rsidRPr="00947900">
        <w:rPr>
          <w:rFonts w:ascii="Times New Roman" w:eastAsia="Times New Roman" w:hAnsi="Times New Roman" w:cs="Times New Roman"/>
          <w:sz w:val="24"/>
          <w:szCs w:val="24"/>
          <w:lang w:eastAsia="pt-BR"/>
        </w:rPr>
        <w:t>milhões, oitocentos e se</w:t>
      </w:r>
      <w:r w:rsidR="003A5CAE">
        <w:rPr>
          <w:rFonts w:ascii="Times New Roman" w:eastAsia="Times New Roman" w:hAnsi="Times New Roman" w:cs="Times New Roman"/>
          <w:sz w:val="24"/>
          <w:szCs w:val="24"/>
          <w:lang w:eastAsia="pt-BR"/>
        </w:rPr>
        <w:t xml:space="preserve">tenta </w:t>
      </w:r>
      <w:r w:rsidRPr="00947900">
        <w:rPr>
          <w:rFonts w:ascii="Times New Roman" w:eastAsia="Times New Roman" w:hAnsi="Times New Roman" w:cs="Times New Roman"/>
          <w:sz w:val="24"/>
          <w:szCs w:val="24"/>
          <w:lang w:eastAsia="pt-BR"/>
        </w:rPr>
        <w:t xml:space="preserve">e </w:t>
      </w:r>
      <w:r w:rsidR="003A5CAE">
        <w:rPr>
          <w:rFonts w:ascii="Times New Roman" w:eastAsia="Times New Roman" w:hAnsi="Times New Roman" w:cs="Times New Roman"/>
          <w:sz w:val="24"/>
          <w:szCs w:val="24"/>
          <w:lang w:eastAsia="pt-BR"/>
        </w:rPr>
        <w:t xml:space="preserve">seis mil, cento e dezesseis </w:t>
      </w:r>
      <w:r w:rsidRPr="00947900">
        <w:rPr>
          <w:rFonts w:ascii="Times New Roman" w:eastAsia="Times New Roman" w:hAnsi="Times New Roman" w:cs="Times New Roman"/>
          <w:sz w:val="24"/>
          <w:szCs w:val="24"/>
          <w:lang w:eastAsia="pt-BR"/>
        </w:rPr>
        <w:t xml:space="preserve">reais) e R$ </w:t>
      </w:r>
      <w:r w:rsidRPr="003A5CAE">
        <w:rPr>
          <w:rFonts w:ascii="Times New Roman" w:eastAsia="Times New Roman" w:hAnsi="Times New Roman" w:cs="Times New Roman"/>
          <w:b/>
          <w:sz w:val="24"/>
          <w:szCs w:val="24"/>
          <w:lang w:eastAsia="pt-BR"/>
        </w:rPr>
        <w:t>5</w:t>
      </w:r>
      <w:r w:rsidR="003A5CAE" w:rsidRPr="003A5CAE">
        <w:rPr>
          <w:rFonts w:ascii="Times New Roman" w:eastAsia="Times New Roman" w:hAnsi="Times New Roman" w:cs="Times New Roman"/>
          <w:b/>
          <w:sz w:val="24"/>
          <w:szCs w:val="24"/>
          <w:lang w:eastAsia="pt-BR"/>
        </w:rPr>
        <w:t>9</w:t>
      </w:r>
      <w:r w:rsidRPr="003A5CAE">
        <w:rPr>
          <w:rFonts w:ascii="Times New Roman" w:eastAsia="Times New Roman" w:hAnsi="Times New Roman" w:cs="Times New Roman"/>
          <w:b/>
          <w:sz w:val="24"/>
          <w:szCs w:val="24"/>
          <w:lang w:eastAsia="pt-BR"/>
        </w:rPr>
        <w:t>.</w:t>
      </w:r>
      <w:r w:rsidR="003A5CAE" w:rsidRPr="003A5CAE">
        <w:rPr>
          <w:rFonts w:ascii="Times New Roman" w:eastAsia="Times New Roman" w:hAnsi="Times New Roman" w:cs="Times New Roman"/>
          <w:b/>
          <w:sz w:val="24"/>
          <w:szCs w:val="24"/>
          <w:lang w:eastAsia="pt-BR"/>
        </w:rPr>
        <w:t>853</w:t>
      </w:r>
      <w:r w:rsidRPr="003A5CAE">
        <w:rPr>
          <w:rFonts w:ascii="Times New Roman" w:eastAsia="Times New Roman" w:hAnsi="Times New Roman" w:cs="Times New Roman"/>
          <w:b/>
          <w:sz w:val="24"/>
          <w:szCs w:val="24"/>
          <w:lang w:eastAsia="pt-BR"/>
        </w:rPr>
        <w:t>.</w:t>
      </w:r>
      <w:r w:rsidR="003A5CAE" w:rsidRPr="003A5CAE">
        <w:rPr>
          <w:rFonts w:ascii="Times New Roman" w:eastAsia="Times New Roman" w:hAnsi="Times New Roman" w:cs="Times New Roman"/>
          <w:b/>
          <w:sz w:val="24"/>
          <w:szCs w:val="24"/>
          <w:lang w:eastAsia="pt-BR"/>
        </w:rPr>
        <w:t>751</w:t>
      </w:r>
      <w:r w:rsidRPr="00947900">
        <w:rPr>
          <w:rFonts w:ascii="Times New Roman" w:eastAsia="Times New Roman" w:hAnsi="Times New Roman" w:cs="Times New Roman"/>
          <w:sz w:val="24"/>
          <w:szCs w:val="24"/>
          <w:lang w:eastAsia="pt-BR"/>
        </w:rPr>
        <w:t xml:space="preserve"> (cinquenta e </w:t>
      </w:r>
      <w:r w:rsidR="003A5CAE">
        <w:rPr>
          <w:rFonts w:ascii="Times New Roman" w:eastAsia="Times New Roman" w:hAnsi="Times New Roman" w:cs="Times New Roman"/>
          <w:sz w:val="24"/>
          <w:szCs w:val="24"/>
          <w:lang w:eastAsia="pt-BR"/>
        </w:rPr>
        <w:t>n</w:t>
      </w:r>
      <w:r w:rsidRPr="00947900">
        <w:rPr>
          <w:rFonts w:ascii="Times New Roman" w:eastAsia="Times New Roman" w:hAnsi="Times New Roman" w:cs="Times New Roman"/>
          <w:sz w:val="24"/>
          <w:szCs w:val="24"/>
          <w:lang w:eastAsia="pt-BR"/>
        </w:rPr>
        <w:t>o</w:t>
      </w:r>
      <w:r w:rsidR="003A5CAE">
        <w:rPr>
          <w:rFonts w:ascii="Times New Roman" w:eastAsia="Times New Roman" w:hAnsi="Times New Roman" w:cs="Times New Roman"/>
          <w:sz w:val="24"/>
          <w:szCs w:val="24"/>
          <w:lang w:eastAsia="pt-BR"/>
        </w:rPr>
        <w:t xml:space="preserve">ve </w:t>
      </w:r>
      <w:r w:rsidRPr="00947900">
        <w:rPr>
          <w:rFonts w:ascii="Times New Roman" w:eastAsia="Times New Roman" w:hAnsi="Times New Roman" w:cs="Times New Roman"/>
          <w:sz w:val="24"/>
          <w:szCs w:val="24"/>
          <w:lang w:eastAsia="pt-BR"/>
        </w:rPr>
        <w:t xml:space="preserve">milhões, </w:t>
      </w:r>
      <w:r w:rsidR="003A5CAE">
        <w:rPr>
          <w:rFonts w:ascii="Times New Roman" w:eastAsia="Times New Roman" w:hAnsi="Times New Roman" w:cs="Times New Roman"/>
          <w:sz w:val="24"/>
          <w:szCs w:val="24"/>
          <w:lang w:eastAsia="pt-BR"/>
        </w:rPr>
        <w:t xml:space="preserve">oitocentos e </w:t>
      </w:r>
      <w:r w:rsidRPr="00947900">
        <w:rPr>
          <w:rFonts w:ascii="Times New Roman" w:eastAsia="Times New Roman" w:hAnsi="Times New Roman" w:cs="Times New Roman"/>
          <w:sz w:val="24"/>
          <w:szCs w:val="24"/>
          <w:lang w:eastAsia="pt-BR"/>
        </w:rPr>
        <w:t xml:space="preserve">cinquenta e </w:t>
      </w:r>
      <w:r w:rsidR="003A5CAE">
        <w:rPr>
          <w:rFonts w:ascii="Times New Roman" w:eastAsia="Times New Roman" w:hAnsi="Times New Roman" w:cs="Times New Roman"/>
          <w:sz w:val="24"/>
          <w:szCs w:val="24"/>
          <w:lang w:eastAsia="pt-BR"/>
        </w:rPr>
        <w:t xml:space="preserve">três </w:t>
      </w:r>
      <w:r w:rsidRPr="00947900">
        <w:rPr>
          <w:rFonts w:ascii="Times New Roman" w:eastAsia="Times New Roman" w:hAnsi="Times New Roman" w:cs="Times New Roman"/>
          <w:sz w:val="24"/>
          <w:szCs w:val="24"/>
          <w:lang w:eastAsia="pt-BR"/>
        </w:rPr>
        <w:t xml:space="preserve">mil, </w:t>
      </w:r>
      <w:r w:rsidR="003A5CAE">
        <w:rPr>
          <w:rFonts w:ascii="Times New Roman" w:eastAsia="Times New Roman" w:hAnsi="Times New Roman" w:cs="Times New Roman"/>
          <w:sz w:val="24"/>
          <w:szCs w:val="24"/>
          <w:lang w:eastAsia="pt-BR"/>
        </w:rPr>
        <w:t xml:space="preserve">setecentos e cinquenta e um </w:t>
      </w:r>
      <w:r w:rsidRPr="00947900">
        <w:rPr>
          <w:rFonts w:ascii="Times New Roman" w:eastAsia="Times New Roman" w:hAnsi="Times New Roman" w:cs="Times New Roman"/>
          <w:sz w:val="24"/>
          <w:szCs w:val="24"/>
          <w:lang w:eastAsia="pt-BR"/>
        </w:rPr>
        <w:t xml:space="preserve">reais), respectivamente, totalizando R$ </w:t>
      </w:r>
      <w:r w:rsidRPr="003A5CAE">
        <w:rPr>
          <w:rFonts w:ascii="Times New Roman" w:eastAsia="Times New Roman" w:hAnsi="Times New Roman" w:cs="Times New Roman"/>
          <w:b/>
          <w:sz w:val="24"/>
          <w:szCs w:val="24"/>
          <w:lang w:eastAsia="pt-BR"/>
        </w:rPr>
        <w:t>1</w:t>
      </w:r>
      <w:r w:rsidR="003A5CAE" w:rsidRPr="003A5CAE">
        <w:rPr>
          <w:rFonts w:ascii="Times New Roman" w:eastAsia="Times New Roman" w:hAnsi="Times New Roman" w:cs="Times New Roman"/>
          <w:b/>
          <w:sz w:val="24"/>
          <w:szCs w:val="24"/>
          <w:lang w:eastAsia="pt-BR"/>
        </w:rPr>
        <w:t>93</w:t>
      </w:r>
      <w:r w:rsidRPr="003A5CAE">
        <w:rPr>
          <w:rFonts w:ascii="Times New Roman" w:eastAsia="Times New Roman" w:hAnsi="Times New Roman" w:cs="Times New Roman"/>
          <w:b/>
          <w:sz w:val="24"/>
          <w:szCs w:val="24"/>
          <w:lang w:eastAsia="pt-BR"/>
        </w:rPr>
        <w:t>.</w:t>
      </w:r>
      <w:r w:rsidR="003A5CAE">
        <w:rPr>
          <w:rFonts w:ascii="Times New Roman" w:eastAsia="Times New Roman" w:hAnsi="Times New Roman" w:cs="Times New Roman"/>
          <w:b/>
          <w:sz w:val="24"/>
          <w:szCs w:val="24"/>
          <w:lang w:eastAsia="pt-BR"/>
        </w:rPr>
        <w:t>729</w:t>
      </w:r>
      <w:r w:rsidRPr="003A5CAE">
        <w:rPr>
          <w:rFonts w:ascii="Times New Roman" w:eastAsia="Times New Roman" w:hAnsi="Times New Roman" w:cs="Times New Roman"/>
          <w:b/>
          <w:sz w:val="24"/>
          <w:szCs w:val="24"/>
          <w:lang w:eastAsia="pt-BR"/>
        </w:rPr>
        <w:t>.</w:t>
      </w:r>
      <w:r w:rsidR="003A5CAE">
        <w:rPr>
          <w:rFonts w:ascii="Times New Roman" w:eastAsia="Times New Roman" w:hAnsi="Times New Roman" w:cs="Times New Roman"/>
          <w:b/>
          <w:sz w:val="24"/>
          <w:szCs w:val="24"/>
          <w:lang w:eastAsia="pt-BR"/>
        </w:rPr>
        <w:t>867</w:t>
      </w:r>
      <w:r w:rsidRPr="00947900">
        <w:rPr>
          <w:rFonts w:ascii="Times New Roman" w:eastAsia="Times New Roman" w:hAnsi="Times New Roman" w:cs="Times New Roman"/>
          <w:sz w:val="24"/>
          <w:szCs w:val="24"/>
          <w:lang w:eastAsia="pt-BR"/>
        </w:rPr>
        <w:t xml:space="preserve"> (cento e </w:t>
      </w:r>
      <w:r w:rsidR="003A5CAE">
        <w:rPr>
          <w:rFonts w:ascii="Times New Roman" w:eastAsia="Times New Roman" w:hAnsi="Times New Roman" w:cs="Times New Roman"/>
          <w:sz w:val="24"/>
          <w:szCs w:val="24"/>
          <w:lang w:eastAsia="pt-BR"/>
        </w:rPr>
        <w:t>noventa e três m</w:t>
      </w:r>
      <w:r w:rsidRPr="00947900">
        <w:rPr>
          <w:rFonts w:ascii="Times New Roman" w:eastAsia="Times New Roman" w:hAnsi="Times New Roman" w:cs="Times New Roman"/>
          <w:sz w:val="24"/>
          <w:szCs w:val="24"/>
          <w:lang w:eastAsia="pt-BR"/>
        </w:rPr>
        <w:t xml:space="preserve">ilhões, </w:t>
      </w:r>
      <w:r w:rsidR="003A5CAE">
        <w:rPr>
          <w:rFonts w:ascii="Times New Roman" w:eastAsia="Times New Roman" w:hAnsi="Times New Roman" w:cs="Times New Roman"/>
          <w:sz w:val="24"/>
          <w:szCs w:val="24"/>
          <w:lang w:eastAsia="pt-BR"/>
        </w:rPr>
        <w:t xml:space="preserve">setecentos e vinte e nove </w:t>
      </w:r>
      <w:r w:rsidRPr="00947900">
        <w:rPr>
          <w:rFonts w:ascii="Times New Roman" w:eastAsia="Times New Roman" w:hAnsi="Times New Roman" w:cs="Times New Roman"/>
          <w:sz w:val="24"/>
          <w:szCs w:val="24"/>
          <w:lang w:eastAsia="pt-BR"/>
        </w:rPr>
        <w:t>mil</w:t>
      </w:r>
      <w:r w:rsidR="003A5CAE">
        <w:rPr>
          <w:rFonts w:ascii="Times New Roman" w:eastAsia="Times New Roman" w:hAnsi="Times New Roman" w:cs="Times New Roman"/>
          <w:sz w:val="24"/>
          <w:szCs w:val="24"/>
          <w:lang w:eastAsia="pt-BR"/>
        </w:rPr>
        <w:t xml:space="preserve">, </w:t>
      </w:r>
      <w:r w:rsidRPr="00947900">
        <w:rPr>
          <w:rFonts w:ascii="Times New Roman" w:eastAsia="Times New Roman" w:hAnsi="Times New Roman" w:cs="Times New Roman"/>
          <w:sz w:val="24"/>
          <w:szCs w:val="24"/>
          <w:lang w:eastAsia="pt-BR"/>
        </w:rPr>
        <w:t xml:space="preserve"> </w:t>
      </w:r>
      <w:r w:rsidR="003A5CAE">
        <w:rPr>
          <w:rFonts w:ascii="Times New Roman" w:eastAsia="Times New Roman" w:hAnsi="Times New Roman" w:cs="Times New Roman"/>
          <w:sz w:val="24"/>
          <w:szCs w:val="24"/>
          <w:lang w:eastAsia="pt-BR"/>
        </w:rPr>
        <w:t xml:space="preserve">oitocentos e sessenta e seis  </w:t>
      </w:r>
      <w:r w:rsidRPr="00947900">
        <w:rPr>
          <w:rFonts w:ascii="Times New Roman" w:eastAsia="Times New Roman" w:hAnsi="Times New Roman" w:cs="Times New Roman"/>
          <w:sz w:val="24"/>
          <w:szCs w:val="24"/>
          <w:lang w:eastAsia="pt-BR"/>
        </w:rPr>
        <w:t>reais) de créditos de anuidades a receber. Vinte por cento</w:t>
      </w:r>
      <w:r w:rsidR="003A5CAE">
        <w:rPr>
          <w:rFonts w:ascii="Times New Roman" w:eastAsia="Times New Roman" w:hAnsi="Times New Roman" w:cs="Times New Roman"/>
          <w:sz w:val="24"/>
          <w:szCs w:val="24"/>
          <w:lang w:eastAsia="pt-BR"/>
        </w:rPr>
        <w:t xml:space="preserve"> (20%)</w:t>
      </w:r>
      <w:r w:rsidRPr="00947900">
        <w:rPr>
          <w:rFonts w:ascii="Times New Roman" w:eastAsia="Times New Roman" w:hAnsi="Times New Roman" w:cs="Times New Roman"/>
          <w:sz w:val="24"/>
          <w:szCs w:val="24"/>
          <w:lang w:eastAsia="pt-BR"/>
        </w:rPr>
        <w:t xml:space="preserve"> desse montante, ou seja, R$ </w:t>
      </w:r>
      <w:r w:rsidRPr="003A5CAE">
        <w:rPr>
          <w:rFonts w:ascii="Times New Roman" w:eastAsia="Times New Roman" w:hAnsi="Times New Roman" w:cs="Times New Roman"/>
          <w:b/>
          <w:sz w:val="24"/>
          <w:szCs w:val="24"/>
          <w:lang w:eastAsia="pt-BR"/>
        </w:rPr>
        <w:t>3</w:t>
      </w:r>
      <w:r w:rsidR="003A5CAE" w:rsidRPr="003A5CAE">
        <w:rPr>
          <w:rFonts w:ascii="Times New Roman" w:eastAsia="Times New Roman" w:hAnsi="Times New Roman" w:cs="Times New Roman"/>
          <w:b/>
          <w:sz w:val="24"/>
          <w:szCs w:val="24"/>
          <w:lang w:eastAsia="pt-BR"/>
        </w:rPr>
        <w:t>8</w:t>
      </w:r>
      <w:r w:rsidRPr="003A5CAE">
        <w:rPr>
          <w:rFonts w:ascii="Times New Roman" w:eastAsia="Times New Roman" w:hAnsi="Times New Roman" w:cs="Times New Roman"/>
          <w:b/>
          <w:sz w:val="24"/>
          <w:szCs w:val="24"/>
          <w:lang w:eastAsia="pt-BR"/>
        </w:rPr>
        <w:t>.</w:t>
      </w:r>
      <w:r w:rsidR="003A5CAE" w:rsidRPr="003A5CAE">
        <w:rPr>
          <w:rFonts w:ascii="Times New Roman" w:eastAsia="Times New Roman" w:hAnsi="Times New Roman" w:cs="Times New Roman"/>
          <w:b/>
          <w:sz w:val="24"/>
          <w:szCs w:val="24"/>
          <w:lang w:eastAsia="pt-BR"/>
        </w:rPr>
        <w:t>745</w:t>
      </w:r>
      <w:r w:rsidRPr="003A5CAE">
        <w:rPr>
          <w:rFonts w:ascii="Times New Roman" w:eastAsia="Times New Roman" w:hAnsi="Times New Roman" w:cs="Times New Roman"/>
          <w:b/>
          <w:sz w:val="24"/>
          <w:szCs w:val="24"/>
          <w:lang w:eastAsia="pt-BR"/>
        </w:rPr>
        <w:t>.</w:t>
      </w:r>
      <w:r w:rsidR="003A5CAE" w:rsidRPr="003A5CAE">
        <w:rPr>
          <w:rFonts w:ascii="Times New Roman" w:eastAsia="Times New Roman" w:hAnsi="Times New Roman" w:cs="Times New Roman"/>
          <w:b/>
          <w:sz w:val="24"/>
          <w:szCs w:val="24"/>
          <w:lang w:eastAsia="pt-BR"/>
        </w:rPr>
        <w:t>973</w:t>
      </w:r>
      <w:r w:rsidRPr="00947900">
        <w:rPr>
          <w:rFonts w:ascii="Times New Roman" w:eastAsia="Times New Roman" w:hAnsi="Times New Roman" w:cs="Times New Roman"/>
          <w:sz w:val="24"/>
          <w:szCs w:val="24"/>
          <w:lang w:eastAsia="pt-BR"/>
        </w:rPr>
        <w:t xml:space="preserve"> (trinta e </w:t>
      </w:r>
      <w:r w:rsidR="003A5CAE">
        <w:rPr>
          <w:rFonts w:ascii="Times New Roman" w:eastAsia="Times New Roman" w:hAnsi="Times New Roman" w:cs="Times New Roman"/>
          <w:sz w:val="24"/>
          <w:szCs w:val="24"/>
          <w:lang w:eastAsia="pt-BR"/>
        </w:rPr>
        <w:t xml:space="preserve">oito </w:t>
      </w:r>
      <w:r w:rsidRPr="00947900">
        <w:rPr>
          <w:rFonts w:ascii="Times New Roman" w:eastAsia="Times New Roman" w:hAnsi="Times New Roman" w:cs="Times New Roman"/>
          <w:sz w:val="24"/>
          <w:szCs w:val="24"/>
          <w:lang w:eastAsia="pt-BR"/>
        </w:rPr>
        <w:t xml:space="preserve">milhões, </w:t>
      </w:r>
      <w:r w:rsidR="003A5CAE">
        <w:rPr>
          <w:rFonts w:ascii="Times New Roman" w:eastAsia="Times New Roman" w:hAnsi="Times New Roman" w:cs="Times New Roman"/>
          <w:sz w:val="24"/>
          <w:szCs w:val="24"/>
          <w:lang w:eastAsia="pt-BR"/>
        </w:rPr>
        <w:t xml:space="preserve">setecentos e quarenta e cinco </w:t>
      </w:r>
      <w:r w:rsidRPr="00947900">
        <w:rPr>
          <w:rFonts w:ascii="Times New Roman" w:eastAsia="Times New Roman" w:hAnsi="Times New Roman" w:cs="Times New Roman"/>
          <w:sz w:val="24"/>
          <w:szCs w:val="24"/>
          <w:lang w:eastAsia="pt-BR"/>
        </w:rPr>
        <w:t>mil</w:t>
      </w:r>
      <w:r w:rsidR="003A5CAE">
        <w:rPr>
          <w:rFonts w:ascii="Times New Roman" w:eastAsia="Times New Roman" w:hAnsi="Times New Roman" w:cs="Times New Roman"/>
          <w:sz w:val="24"/>
          <w:szCs w:val="24"/>
          <w:lang w:eastAsia="pt-BR"/>
        </w:rPr>
        <w:t>,</w:t>
      </w:r>
      <w:r w:rsidRPr="00947900">
        <w:rPr>
          <w:rFonts w:ascii="Times New Roman" w:eastAsia="Times New Roman" w:hAnsi="Times New Roman" w:cs="Times New Roman"/>
          <w:sz w:val="24"/>
          <w:szCs w:val="24"/>
          <w:lang w:eastAsia="pt-BR"/>
        </w:rPr>
        <w:t xml:space="preserve"> </w:t>
      </w:r>
      <w:r w:rsidR="003A5CAE">
        <w:rPr>
          <w:rFonts w:ascii="Times New Roman" w:eastAsia="Times New Roman" w:hAnsi="Times New Roman" w:cs="Times New Roman"/>
          <w:sz w:val="24"/>
          <w:szCs w:val="24"/>
          <w:lang w:eastAsia="pt-BR"/>
        </w:rPr>
        <w:t xml:space="preserve">novecentos e setenta e </w:t>
      </w:r>
      <w:r w:rsidRPr="00947900">
        <w:rPr>
          <w:rFonts w:ascii="Times New Roman" w:eastAsia="Times New Roman" w:hAnsi="Times New Roman" w:cs="Times New Roman"/>
          <w:sz w:val="24"/>
          <w:szCs w:val="24"/>
          <w:lang w:eastAsia="pt-BR"/>
        </w:rPr>
        <w:t>três reais) serão potencialmente receitas do CAUBR à medida que os CAU</w:t>
      </w:r>
      <w:r w:rsidR="006E24F3">
        <w:rPr>
          <w:rFonts w:ascii="Times New Roman" w:eastAsia="Times New Roman" w:hAnsi="Times New Roman" w:cs="Times New Roman"/>
          <w:sz w:val="24"/>
          <w:szCs w:val="24"/>
          <w:lang w:eastAsia="pt-BR"/>
        </w:rPr>
        <w:t>/</w:t>
      </w:r>
      <w:proofErr w:type="spellStart"/>
      <w:r w:rsidRPr="00947900">
        <w:rPr>
          <w:rFonts w:ascii="Times New Roman" w:eastAsia="Times New Roman" w:hAnsi="Times New Roman" w:cs="Times New Roman"/>
          <w:sz w:val="24"/>
          <w:szCs w:val="24"/>
          <w:lang w:eastAsia="pt-BR"/>
        </w:rPr>
        <w:t>UFs</w:t>
      </w:r>
      <w:proofErr w:type="spellEnd"/>
      <w:r w:rsidRPr="00947900">
        <w:rPr>
          <w:rFonts w:ascii="Times New Roman" w:eastAsia="Times New Roman" w:hAnsi="Times New Roman" w:cs="Times New Roman"/>
          <w:sz w:val="24"/>
          <w:szCs w:val="24"/>
          <w:lang w:eastAsia="pt-BR"/>
        </w:rPr>
        <w:t xml:space="preserve"> receberem os referidos Créditos a Receber.   </w:t>
      </w:r>
    </w:p>
    <w:p w:rsidR="00671195" w:rsidRDefault="00671195" w:rsidP="0018407B">
      <w:pPr>
        <w:spacing w:after="0" w:line="240" w:lineRule="auto"/>
        <w:jc w:val="both"/>
        <w:rPr>
          <w:rFonts w:ascii="Times New Roman" w:eastAsia="Times New Roman" w:hAnsi="Times New Roman" w:cs="Times New Roman"/>
          <w:b/>
          <w:sz w:val="24"/>
          <w:szCs w:val="24"/>
          <w:lang w:eastAsia="pt-BR"/>
        </w:rPr>
      </w:pPr>
    </w:p>
    <w:p w:rsidR="00671195" w:rsidRDefault="00671195" w:rsidP="0018407B">
      <w:pPr>
        <w:spacing w:after="0" w:line="240" w:lineRule="auto"/>
        <w:jc w:val="both"/>
        <w:rPr>
          <w:rFonts w:ascii="Times New Roman" w:eastAsia="Times New Roman" w:hAnsi="Times New Roman" w:cs="Times New Roman"/>
          <w:b/>
          <w:sz w:val="24"/>
          <w:szCs w:val="24"/>
          <w:lang w:eastAsia="pt-BR"/>
        </w:rPr>
      </w:pPr>
    </w:p>
    <w:p w:rsidR="00FF62EC" w:rsidRDefault="00FF62EC" w:rsidP="0018407B">
      <w:pPr>
        <w:spacing w:after="0" w:line="240" w:lineRule="auto"/>
        <w:jc w:val="both"/>
        <w:rPr>
          <w:rFonts w:ascii="Times New Roman" w:eastAsia="Times New Roman" w:hAnsi="Times New Roman" w:cs="Times New Roman"/>
          <w:b/>
          <w:sz w:val="24"/>
          <w:szCs w:val="24"/>
          <w:lang w:eastAsia="pt-BR"/>
        </w:rPr>
      </w:pPr>
    </w:p>
    <w:p w:rsidR="0018407B" w:rsidRDefault="0018407B" w:rsidP="0018407B">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2</w:t>
      </w:r>
      <w:r w:rsidR="00671195">
        <w:rPr>
          <w:rFonts w:ascii="Times New Roman" w:eastAsia="Times New Roman" w:hAnsi="Times New Roman" w:cs="Times New Roman"/>
          <w:b/>
          <w:sz w:val="24"/>
          <w:szCs w:val="24"/>
          <w:lang w:eastAsia="pt-BR"/>
        </w:rPr>
        <w:t>5</w:t>
      </w:r>
      <w:r w:rsidRPr="00967CFC">
        <w:rPr>
          <w:rFonts w:ascii="Times New Roman" w:eastAsia="Times New Roman" w:hAnsi="Times New Roman" w:cs="Times New Roman"/>
          <w:b/>
          <w:sz w:val="24"/>
          <w:szCs w:val="24"/>
          <w:lang w:eastAsia="pt-BR"/>
        </w:rPr>
        <w:t>.  Relacionamento com os auditores independentes</w:t>
      </w:r>
    </w:p>
    <w:p w:rsidR="0018407B" w:rsidRPr="00967CFC" w:rsidRDefault="0018407B" w:rsidP="0018407B">
      <w:pPr>
        <w:spacing w:after="0" w:line="240" w:lineRule="auto"/>
        <w:jc w:val="both"/>
        <w:rPr>
          <w:rFonts w:ascii="Times New Roman" w:eastAsia="Times New Roman" w:hAnsi="Times New Roman" w:cs="Times New Roman"/>
          <w:b/>
          <w:sz w:val="24"/>
          <w:szCs w:val="24"/>
          <w:lang w:eastAsia="pt-BR"/>
        </w:rPr>
      </w:pPr>
    </w:p>
    <w:p w:rsidR="0018407B" w:rsidRPr="00CE2B53"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xml:space="preserve">A contratação dos auditores independentes deu-se pelo Conselho de Arquitetura </w:t>
      </w:r>
      <w:r>
        <w:rPr>
          <w:rFonts w:ascii="Times New Roman" w:eastAsia="Times New Roman" w:hAnsi="Times New Roman" w:cs="Times New Roman"/>
          <w:sz w:val="24"/>
          <w:szCs w:val="24"/>
          <w:lang w:eastAsia="pt-BR"/>
        </w:rPr>
        <w:t>e Urbanismo do Brasil – CAU/BR por meio de processo licitatório</w:t>
      </w:r>
      <w:r w:rsidRPr="00CE2B53">
        <w:rPr>
          <w:rFonts w:ascii="Times New Roman" w:eastAsia="Times New Roman" w:hAnsi="Times New Roman" w:cs="Times New Roman"/>
          <w:sz w:val="24"/>
          <w:szCs w:val="24"/>
          <w:lang w:eastAsia="pt-BR"/>
        </w:rPr>
        <w:t>, não send</w:t>
      </w:r>
      <w:r>
        <w:rPr>
          <w:rFonts w:ascii="Times New Roman" w:eastAsia="Times New Roman" w:hAnsi="Times New Roman" w:cs="Times New Roman"/>
          <w:sz w:val="24"/>
          <w:szCs w:val="24"/>
          <w:lang w:eastAsia="pt-BR"/>
        </w:rPr>
        <w:t>o contratados outros serviços a</w:t>
      </w:r>
      <w:r w:rsidRPr="00CE2B53">
        <w:rPr>
          <w:rFonts w:ascii="Times New Roman" w:eastAsia="Times New Roman" w:hAnsi="Times New Roman" w:cs="Times New Roman"/>
          <w:sz w:val="24"/>
          <w:szCs w:val="24"/>
          <w:lang w:eastAsia="pt-BR"/>
        </w:rPr>
        <w:t xml:space="preserve"> não ser os trabalhos de auditoria das demonstrações contábeis.</w:t>
      </w:r>
    </w:p>
    <w:p w:rsidR="0018407B" w:rsidRDefault="0018407B" w:rsidP="0018407B">
      <w:pPr>
        <w:spacing w:after="0" w:line="240" w:lineRule="auto"/>
        <w:jc w:val="both"/>
        <w:rPr>
          <w:rFonts w:ascii="Times New Roman" w:eastAsia="Times New Roman" w:hAnsi="Times New Roman" w:cs="Times New Roman"/>
          <w:sz w:val="24"/>
          <w:szCs w:val="24"/>
          <w:lang w:eastAsia="pt-BR"/>
        </w:rPr>
      </w:pPr>
    </w:p>
    <w:p w:rsidR="00C97D6A" w:rsidRDefault="00C97D6A" w:rsidP="0018407B">
      <w:pPr>
        <w:spacing w:after="0" w:line="240" w:lineRule="auto"/>
        <w:jc w:val="both"/>
        <w:rPr>
          <w:rFonts w:ascii="Times New Roman" w:eastAsia="Times New Roman" w:hAnsi="Times New Roman" w:cs="Times New Roman"/>
          <w:sz w:val="24"/>
          <w:szCs w:val="24"/>
          <w:lang w:eastAsia="pt-BR"/>
        </w:rPr>
      </w:pPr>
    </w:p>
    <w:p w:rsidR="00C97D6A" w:rsidRDefault="00C97D6A" w:rsidP="0018407B">
      <w:pPr>
        <w:spacing w:after="0" w:line="240" w:lineRule="auto"/>
        <w:jc w:val="both"/>
        <w:rPr>
          <w:rFonts w:ascii="Times New Roman" w:eastAsia="Times New Roman" w:hAnsi="Times New Roman" w:cs="Times New Roman"/>
          <w:sz w:val="24"/>
          <w:szCs w:val="24"/>
          <w:lang w:eastAsia="pt-BR"/>
        </w:rPr>
      </w:pPr>
    </w:p>
    <w:p w:rsidR="00FF62EC" w:rsidRDefault="00FF62EC" w:rsidP="0018407B">
      <w:pPr>
        <w:spacing w:after="0" w:line="240" w:lineRule="auto"/>
        <w:jc w:val="both"/>
        <w:rPr>
          <w:rFonts w:ascii="Times New Roman" w:eastAsia="Times New Roman" w:hAnsi="Times New Roman" w:cs="Times New Roman"/>
          <w:b/>
          <w:sz w:val="24"/>
          <w:szCs w:val="24"/>
          <w:lang w:eastAsia="pt-BR"/>
        </w:rPr>
      </w:pPr>
    </w:p>
    <w:p w:rsidR="0018407B" w:rsidRDefault="0018407B" w:rsidP="0018407B">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2</w:t>
      </w:r>
      <w:r w:rsidR="00671195">
        <w:rPr>
          <w:rFonts w:ascii="Times New Roman" w:eastAsia="Times New Roman" w:hAnsi="Times New Roman" w:cs="Times New Roman"/>
          <w:b/>
          <w:sz w:val="24"/>
          <w:szCs w:val="24"/>
          <w:lang w:eastAsia="pt-BR"/>
        </w:rPr>
        <w:t>6</w:t>
      </w:r>
      <w:r w:rsidRPr="00967CFC">
        <w:rPr>
          <w:rFonts w:ascii="Times New Roman" w:eastAsia="Times New Roman" w:hAnsi="Times New Roman" w:cs="Times New Roman"/>
          <w:b/>
          <w:sz w:val="24"/>
          <w:szCs w:val="24"/>
          <w:lang w:eastAsia="pt-BR"/>
        </w:rPr>
        <w:t>.  </w:t>
      </w:r>
      <w:r>
        <w:rPr>
          <w:rFonts w:ascii="Times New Roman" w:eastAsia="Times New Roman" w:hAnsi="Times New Roman" w:cs="Times New Roman"/>
          <w:b/>
          <w:sz w:val="24"/>
          <w:szCs w:val="24"/>
          <w:lang w:eastAsia="pt-BR"/>
        </w:rPr>
        <w:t>Eventos Subsequente</w:t>
      </w:r>
    </w:p>
    <w:p w:rsidR="0018407B" w:rsidRDefault="0018407B" w:rsidP="0018407B">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w:t>
      </w:r>
    </w:p>
    <w:p w:rsidR="0018407B" w:rsidRDefault="0018407B" w:rsidP="0018407B">
      <w:pPr>
        <w:spacing w:after="0" w:line="240" w:lineRule="auto"/>
        <w:jc w:val="both"/>
        <w:rPr>
          <w:rFonts w:ascii="Times New Roman" w:eastAsia="Times New Roman" w:hAnsi="Times New Roman" w:cs="Times New Roman"/>
          <w:sz w:val="24"/>
          <w:szCs w:val="24"/>
          <w:lang w:eastAsia="pt-BR"/>
        </w:rPr>
      </w:pPr>
      <w:r w:rsidRPr="00967CFC">
        <w:rPr>
          <w:rFonts w:ascii="Times New Roman" w:eastAsia="Times New Roman" w:hAnsi="Times New Roman" w:cs="Times New Roman"/>
          <w:sz w:val="24"/>
          <w:szCs w:val="24"/>
          <w:lang w:eastAsia="pt-BR"/>
        </w:rPr>
        <w:t xml:space="preserve">Não houve eventos subsequente significativos que pudessem alterar as demonstrações contábeis de </w:t>
      </w:r>
      <w:r>
        <w:rPr>
          <w:rFonts w:ascii="Times New Roman" w:eastAsia="Times New Roman" w:hAnsi="Times New Roman" w:cs="Times New Roman"/>
          <w:sz w:val="24"/>
          <w:szCs w:val="24"/>
          <w:lang w:eastAsia="pt-BR"/>
        </w:rPr>
        <w:t>31 de dezembro de 202</w:t>
      </w:r>
      <w:r w:rsidR="00381EAD">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w:t>
      </w:r>
    </w:p>
    <w:p w:rsidR="00140DBA" w:rsidRDefault="00140DBA" w:rsidP="0018407B">
      <w:pPr>
        <w:spacing w:after="0" w:line="240" w:lineRule="auto"/>
        <w:jc w:val="both"/>
        <w:rPr>
          <w:rFonts w:ascii="Times New Roman" w:eastAsia="Times New Roman" w:hAnsi="Times New Roman" w:cs="Times New Roman"/>
          <w:sz w:val="24"/>
          <w:szCs w:val="24"/>
          <w:lang w:eastAsia="pt-BR"/>
        </w:rPr>
      </w:pPr>
    </w:p>
    <w:p w:rsidR="00140DBA" w:rsidRDefault="00140DBA" w:rsidP="0018407B">
      <w:pPr>
        <w:spacing w:after="0" w:line="240" w:lineRule="auto"/>
        <w:jc w:val="right"/>
        <w:rPr>
          <w:rFonts w:ascii="Times New Roman" w:eastAsia="Times New Roman" w:hAnsi="Times New Roman" w:cs="Times New Roman"/>
          <w:sz w:val="24"/>
          <w:szCs w:val="24"/>
          <w:lang w:eastAsia="pt-BR"/>
        </w:rPr>
      </w:pPr>
    </w:p>
    <w:p w:rsidR="0018407B" w:rsidRPr="00CE2B53" w:rsidRDefault="0018407B" w:rsidP="0018407B">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Brasília-DF, </w:t>
      </w:r>
      <w:r w:rsidR="00C97D6A">
        <w:rPr>
          <w:rFonts w:ascii="Times New Roman" w:eastAsia="Times New Roman" w:hAnsi="Times New Roman" w:cs="Times New Roman"/>
          <w:sz w:val="24"/>
          <w:szCs w:val="24"/>
          <w:lang w:eastAsia="pt-BR"/>
        </w:rPr>
        <w:t>16</w:t>
      </w:r>
      <w:r w:rsidRPr="00CE2B53">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fevereiro de 2022</w:t>
      </w:r>
      <w:r w:rsidRPr="00CE2B53">
        <w:rPr>
          <w:rFonts w:ascii="Times New Roman" w:eastAsia="Times New Roman" w:hAnsi="Times New Roman" w:cs="Times New Roman"/>
          <w:sz w:val="24"/>
          <w:szCs w:val="24"/>
          <w:lang w:eastAsia="pt-BR"/>
        </w:rPr>
        <w:t>.</w:t>
      </w:r>
    </w:p>
    <w:p w:rsidR="0018407B" w:rsidRDefault="0018407B" w:rsidP="0018407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w:t>
      </w:r>
    </w:p>
    <w:p w:rsidR="00381EAD" w:rsidRDefault="00381EAD" w:rsidP="0018407B">
      <w:pPr>
        <w:spacing w:after="0" w:line="240" w:lineRule="auto"/>
        <w:jc w:val="both"/>
        <w:rPr>
          <w:rFonts w:ascii="Times New Roman" w:eastAsia="Times New Roman" w:hAnsi="Times New Roman" w:cs="Times New Roman"/>
          <w:sz w:val="24"/>
          <w:szCs w:val="24"/>
          <w:lang w:eastAsia="pt-BR"/>
        </w:rPr>
      </w:pPr>
    </w:p>
    <w:p w:rsidR="0018407B" w:rsidRDefault="0018407B" w:rsidP="0018407B">
      <w:pPr>
        <w:spacing w:after="0" w:line="240" w:lineRule="auto"/>
        <w:jc w:val="both"/>
        <w:rPr>
          <w:rFonts w:ascii="Times New Roman" w:eastAsia="Times New Roman" w:hAnsi="Times New Roman" w:cs="Times New Roman"/>
          <w:sz w:val="24"/>
          <w:szCs w:val="24"/>
          <w:lang w:eastAsia="pt-BR"/>
        </w:rPr>
      </w:pPr>
    </w:p>
    <w:p w:rsidR="0018407B" w:rsidRDefault="0018407B" w:rsidP="0018407B">
      <w:pPr>
        <w:spacing w:after="0" w:line="240" w:lineRule="auto"/>
        <w:jc w:val="both"/>
        <w:rPr>
          <w:rFonts w:ascii="Times New Roman" w:eastAsia="Times New Roman" w:hAnsi="Times New Roman" w:cs="Times New Roman"/>
          <w:sz w:val="24"/>
          <w:szCs w:val="24"/>
          <w:lang w:eastAsia="pt-BR"/>
        </w:rPr>
      </w:pPr>
      <w:bookmarkStart w:id="2" w:name="_GoBack"/>
      <w:bookmarkEnd w:id="2"/>
    </w:p>
    <w:p w:rsidR="0018407B" w:rsidRPr="00CE2B53" w:rsidRDefault="0018407B" w:rsidP="00FC76FA">
      <w:pPr>
        <w:spacing w:after="0" w:line="240" w:lineRule="auto"/>
        <w:jc w:val="center"/>
        <w:rPr>
          <w:rFonts w:ascii="Times New Roman" w:eastAsia="Times New Roman" w:hAnsi="Times New Roman" w:cs="Times New Roman"/>
          <w:sz w:val="24"/>
          <w:szCs w:val="24"/>
          <w:lang w:eastAsia="pt-BR"/>
        </w:rPr>
      </w:pPr>
    </w:p>
    <w:p w:rsidR="0018407B" w:rsidRPr="0062288F" w:rsidRDefault="0018407B" w:rsidP="00FC76FA">
      <w:pPr>
        <w:spacing w:after="0" w:line="240" w:lineRule="auto"/>
        <w:jc w:val="center"/>
        <w:rPr>
          <w:rFonts w:ascii="Times New Roman" w:eastAsia="Times New Roman" w:hAnsi="Times New Roman" w:cs="Times New Roman"/>
          <w:color w:val="000000" w:themeColor="text1"/>
          <w:szCs w:val="24"/>
          <w:lang w:eastAsia="pt-BR"/>
        </w:rPr>
      </w:pPr>
      <w:r w:rsidRPr="0062288F">
        <w:rPr>
          <w:rFonts w:ascii="Times New Roman" w:eastAsia="Times New Roman" w:hAnsi="Times New Roman" w:cs="Times New Roman"/>
          <w:color w:val="000000" w:themeColor="text1"/>
          <w:szCs w:val="24"/>
          <w:lang w:eastAsia="pt-BR"/>
        </w:rPr>
        <w:t>LEOMAR ALMEIDA PEREIRA</w:t>
      </w:r>
    </w:p>
    <w:p w:rsidR="0018407B" w:rsidRPr="0062288F" w:rsidRDefault="0018407B" w:rsidP="00FC76FA">
      <w:pPr>
        <w:spacing w:after="0" w:line="240" w:lineRule="auto"/>
        <w:jc w:val="center"/>
        <w:rPr>
          <w:rFonts w:ascii="Times New Roman" w:eastAsia="Times New Roman" w:hAnsi="Times New Roman" w:cs="Times New Roman"/>
          <w:color w:val="000000" w:themeColor="text1"/>
          <w:sz w:val="24"/>
          <w:szCs w:val="24"/>
          <w:lang w:eastAsia="pt-BR"/>
        </w:rPr>
      </w:pPr>
      <w:r w:rsidRPr="0062288F">
        <w:rPr>
          <w:rFonts w:ascii="Times New Roman" w:eastAsia="Times New Roman" w:hAnsi="Times New Roman" w:cs="Times New Roman"/>
          <w:color w:val="000000" w:themeColor="text1"/>
          <w:sz w:val="24"/>
          <w:szCs w:val="24"/>
          <w:lang w:eastAsia="pt-BR"/>
        </w:rPr>
        <w:t>CRC DF nº 011176/O-1</w:t>
      </w:r>
    </w:p>
    <w:p w:rsidR="0018407B" w:rsidRPr="00300D14" w:rsidRDefault="0018407B" w:rsidP="00FC76FA">
      <w:pPr>
        <w:spacing w:after="0" w:line="240" w:lineRule="auto"/>
        <w:jc w:val="center"/>
      </w:pPr>
      <w:r w:rsidRPr="0062288F">
        <w:rPr>
          <w:rFonts w:ascii="Times New Roman" w:eastAsia="Times New Roman" w:hAnsi="Times New Roman" w:cs="Times New Roman"/>
          <w:color w:val="000000" w:themeColor="text1"/>
          <w:sz w:val="24"/>
          <w:szCs w:val="24"/>
          <w:lang w:eastAsia="pt-BR"/>
        </w:rPr>
        <w:t>Contador CAUBR</w:t>
      </w:r>
    </w:p>
    <w:p w:rsidR="00C74C75" w:rsidRPr="0018407B" w:rsidRDefault="00C74C75" w:rsidP="0018407B"/>
    <w:sectPr w:rsidR="00C74C75" w:rsidRPr="0018407B" w:rsidSect="00532DB2">
      <w:headerReference w:type="default" r:id="rId17"/>
      <w:footerReference w:type="default" r:id="rId18"/>
      <w:pgSz w:w="12240" w:h="15840" w:code="1"/>
      <w:pgMar w:top="1139" w:right="851" w:bottom="851" w:left="1418" w:header="1134" w:footer="562"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369" w:rsidRDefault="00114369" w:rsidP="00864B94">
      <w:pPr>
        <w:spacing w:after="0" w:line="240" w:lineRule="auto"/>
      </w:pPr>
      <w:r>
        <w:separator/>
      </w:r>
    </w:p>
  </w:endnote>
  <w:endnote w:type="continuationSeparator" w:id="0">
    <w:p w:rsidR="00114369" w:rsidRDefault="00114369" w:rsidP="00864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egrito">
    <w:altName w:val="Arial"/>
    <w:panose1 w:val="00000000000000000000"/>
    <w:charset w:val="00"/>
    <w:family w:val="roman"/>
    <w:notTrueType/>
    <w:pitch w:val="default"/>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369" w:rsidRDefault="00114369">
    <w:pPr>
      <w:pStyle w:val="Rodap"/>
    </w:pPr>
    <w:r>
      <w:rPr>
        <w:noProof/>
        <w:lang w:eastAsia="pt-BR"/>
      </w:rPr>
      <w:drawing>
        <wp:anchor distT="0" distB="0" distL="114300" distR="114300" simplePos="0" relativeHeight="251660288" behindDoc="0" locked="0" layoutInCell="1" allowOverlap="1" wp14:anchorId="1ECEB9A6" wp14:editId="7BB4D703">
          <wp:simplePos x="0" y="0"/>
          <wp:positionH relativeFrom="column">
            <wp:posOffset>-1209675</wp:posOffset>
          </wp:positionH>
          <wp:positionV relativeFrom="paragraph">
            <wp:posOffset>27940</wp:posOffset>
          </wp:positionV>
          <wp:extent cx="7560000" cy="720000"/>
          <wp:effectExtent l="0" t="0" r="3175" b="4445"/>
          <wp:wrapNone/>
          <wp:docPr id="24" name="Imagem 2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14369" w:rsidRPr="007847A4" w:rsidRDefault="00114369" w:rsidP="007847A4">
    <w:pPr>
      <w:pStyle w:val="Rodap"/>
      <w:framePr w:w="1066" w:h="362" w:hRule="exact" w:wrap="around" w:vAnchor="text" w:hAnchor="page" w:x="10594" w:y="45"/>
      <w:jc w:val="right"/>
      <w:rPr>
        <w:rStyle w:val="Nmerodepgina"/>
        <w:rFonts w:ascii="Arial" w:hAnsi="Arial"/>
        <w:b/>
        <w:color w:val="31849B" w:themeColor="accent5" w:themeShade="BF"/>
        <w:sz w:val="16"/>
        <w:szCs w:val="20"/>
      </w:rPr>
    </w:pPr>
    <w:r w:rsidRPr="007847A4">
      <w:rPr>
        <w:rStyle w:val="Nmerodepgina"/>
        <w:rFonts w:ascii="Arial" w:hAnsi="Arial"/>
        <w:b/>
        <w:color w:val="31849B" w:themeColor="accent5" w:themeShade="BF"/>
        <w:sz w:val="16"/>
        <w:szCs w:val="20"/>
      </w:rPr>
      <w:fldChar w:fldCharType="begin"/>
    </w:r>
    <w:r w:rsidRPr="007847A4">
      <w:rPr>
        <w:rStyle w:val="Nmerodepgina"/>
        <w:rFonts w:ascii="Arial" w:hAnsi="Arial"/>
        <w:b/>
        <w:color w:val="31849B" w:themeColor="accent5" w:themeShade="BF"/>
        <w:sz w:val="16"/>
        <w:szCs w:val="20"/>
      </w:rPr>
      <w:instrText xml:space="preserve">PAGE  </w:instrText>
    </w:r>
    <w:r w:rsidRPr="007847A4">
      <w:rPr>
        <w:rStyle w:val="Nmerodepgina"/>
        <w:rFonts w:ascii="Arial" w:hAnsi="Arial"/>
        <w:b/>
        <w:color w:val="31849B" w:themeColor="accent5" w:themeShade="BF"/>
        <w:sz w:val="16"/>
        <w:szCs w:val="20"/>
      </w:rPr>
      <w:fldChar w:fldCharType="separate"/>
    </w:r>
    <w:r w:rsidR="00FF62EC">
      <w:rPr>
        <w:rStyle w:val="Nmerodepgina"/>
        <w:rFonts w:ascii="Arial" w:hAnsi="Arial"/>
        <w:b/>
        <w:noProof/>
        <w:color w:val="31849B" w:themeColor="accent5" w:themeShade="BF"/>
        <w:sz w:val="16"/>
        <w:szCs w:val="20"/>
      </w:rPr>
      <w:t>15</w:t>
    </w:r>
    <w:r w:rsidRPr="007847A4">
      <w:rPr>
        <w:rStyle w:val="Nmerodepgina"/>
        <w:rFonts w:ascii="Arial" w:hAnsi="Arial"/>
        <w:b/>
        <w:color w:val="31849B" w:themeColor="accent5" w:themeShade="BF"/>
        <w:sz w:val="16"/>
        <w:szCs w:val="20"/>
      </w:rPr>
      <w:fldChar w:fldCharType="end"/>
    </w:r>
  </w:p>
  <w:p w:rsidR="00114369" w:rsidRDefault="0011436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369" w:rsidRDefault="00114369" w:rsidP="00864B94">
      <w:pPr>
        <w:spacing w:after="0" w:line="240" w:lineRule="auto"/>
      </w:pPr>
      <w:r>
        <w:separator/>
      </w:r>
    </w:p>
  </w:footnote>
  <w:footnote w:type="continuationSeparator" w:id="0">
    <w:p w:rsidR="00114369" w:rsidRDefault="00114369" w:rsidP="00864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369" w:rsidRDefault="00114369">
    <w:pPr>
      <w:pStyle w:val="Cabealho"/>
    </w:pPr>
    <w:r>
      <w:rPr>
        <w:noProof/>
        <w:lang w:eastAsia="pt-BR"/>
      </w:rPr>
      <w:drawing>
        <wp:anchor distT="0" distB="0" distL="114300" distR="114300" simplePos="0" relativeHeight="251658240" behindDoc="0" locked="0" layoutInCell="1" allowOverlap="1" wp14:anchorId="05F078D5" wp14:editId="75583A00">
          <wp:simplePos x="0" y="0"/>
          <wp:positionH relativeFrom="page">
            <wp:posOffset>12065</wp:posOffset>
          </wp:positionH>
          <wp:positionV relativeFrom="paragraph">
            <wp:posOffset>-783968</wp:posOffset>
          </wp:positionV>
          <wp:extent cx="7760335" cy="1080770"/>
          <wp:effectExtent l="0" t="0" r="0" b="5080"/>
          <wp:wrapNone/>
          <wp:docPr id="23" name="Imagem 23" descr="CAU-BR-timbrado2015--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U-BR-timbrado2015--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335" cy="1080770"/>
                  </a:xfrm>
                  <a:prstGeom prst="rect">
                    <a:avLst/>
                  </a:prstGeom>
                  <a:noFill/>
                </pic:spPr>
              </pic:pic>
            </a:graphicData>
          </a:graphic>
          <wp14:sizeRelH relativeFrom="page">
            <wp14:pctWidth>0</wp14:pctWidth>
          </wp14:sizeRelH>
          <wp14:sizeRelV relativeFrom="page">
            <wp14:pctHeight>0</wp14:pctHeight>
          </wp14:sizeRelV>
        </wp:anchor>
      </w:drawing>
    </w:r>
  </w:p>
  <w:p w:rsidR="00114369" w:rsidRDefault="0011436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2C28"/>
    <w:multiLevelType w:val="hybridMultilevel"/>
    <w:tmpl w:val="6D329E5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15:restartNumberingAfterBreak="0">
    <w:nsid w:val="05DA3847"/>
    <w:multiLevelType w:val="hybridMultilevel"/>
    <w:tmpl w:val="A98E4D9A"/>
    <w:lvl w:ilvl="0" w:tplc="9FEC88E6">
      <w:start w:val="1"/>
      <w:numFmt w:val="lowerLetter"/>
      <w:lvlText w:val="%1)"/>
      <w:lvlJc w:val="left"/>
      <w:pPr>
        <w:ind w:left="720" w:hanging="360"/>
      </w:pPr>
      <w:rPr>
        <w:rFonts w:ascii="Times New Roman" w:eastAsia="Times New Roman" w:hAnsi="Times New Roman" w:cs="Times New Roman"/>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70E478A"/>
    <w:multiLevelType w:val="hybridMultilevel"/>
    <w:tmpl w:val="CA04A9DE"/>
    <w:lvl w:ilvl="0" w:tplc="04160017">
      <w:start w:val="1"/>
      <w:numFmt w:val="lowerLetter"/>
      <w:lvlText w:val="%1)"/>
      <w:lvlJc w:val="left"/>
      <w:pPr>
        <w:ind w:left="502"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08A97AE0"/>
    <w:multiLevelType w:val="hybridMultilevel"/>
    <w:tmpl w:val="E22C419E"/>
    <w:lvl w:ilvl="0" w:tplc="D2FCC39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0CFE25C7"/>
    <w:multiLevelType w:val="hybridMultilevel"/>
    <w:tmpl w:val="2ED871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1A12DE"/>
    <w:multiLevelType w:val="hybridMultilevel"/>
    <w:tmpl w:val="F126E612"/>
    <w:lvl w:ilvl="0" w:tplc="04160001">
      <w:start w:val="1"/>
      <w:numFmt w:val="bullet"/>
      <w:lvlText w:val=""/>
      <w:lvlJc w:val="left"/>
      <w:pPr>
        <w:ind w:left="810" w:hanging="45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0EE1BC0"/>
    <w:multiLevelType w:val="multilevel"/>
    <w:tmpl w:val="889070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4524CBB"/>
    <w:multiLevelType w:val="hybridMultilevel"/>
    <w:tmpl w:val="B49691E8"/>
    <w:lvl w:ilvl="0" w:tplc="6D62CA34">
      <w:start w:val="1"/>
      <w:numFmt w:val="lowerLetter"/>
      <w:lvlText w:val="%1)"/>
      <w:lvlJc w:val="left"/>
      <w:pPr>
        <w:ind w:left="1788" w:hanging="360"/>
      </w:pPr>
      <w:rPr>
        <w:rFonts w:hint="default"/>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8" w15:restartNumberingAfterBreak="0">
    <w:nsid w:val="14663CF2"/>
    <w:multiLevelType w:val="multilevel"/>
    <w:tmpl w:val="9B548E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A12975"/>
    <w:multiLevelType w:val="hybridMultilevel"/>
    <w:tmpl w:val="2FA88AD6"/>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0" w15:restartNumberingAfterBreak="0">
    <w:nsid w:val="181C3266"/>
    <w:multiLevelType w:val="hybridMultilevel"/>
    <w:tmpl w:val="32D8E8FE"/>
    <w:lvl w:ilvl="0" w:tplc="864CAC30">
      <w:start w:val="1"/>
      <w:numFmt w:val="decimal"/>
      <w:lvlText w:val="%1)"/>
      <w:lvlJc w:val="left"/>
      <w:pPr>
        <w:ind w:left="1788" w:hanging="360"/>
      </w:pPr>
      <w:rPr>
        <w:rFonts w:hint="default"/>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1" w15:restartNumberingAfterBreak="0">
    <w:nsid w:val="1A962BAB"/>
    <w:multiLevelType w:val="hybridMultilevel"/>
    <w:tmpl w:val="69CEA224"/>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B35025D"/>
    <w:multiLevelType w:val="hybridMultilevel"/>
    <w:tmpl w:val="45AA1366"/>
    <w:lvl w:ilvl="0" w:tplc="009E2B3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1B8E436D"/>
    <w:multiLevelType w:val="hybridMultilevel"/>
    <w:tmpl w:val="8D3CC1E2"/>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1D0D31ED"/>
    <w:multiLevelType w:val="hybridMultilevel"/>
    <w:tmpl w:val="A456DEEA"/>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1F5D5EAE"/>
    <w:multiLevelType w:val="multilevel"/>
    <w:tmpl w:val="F5346380"/>
    <w:lvl w:ilvl="0">
      <w:start w:val="4"/>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16" w15:restartNumberingAfterBreak="0">
    <w:nsid w:val="20261021"/>
    <w:multiLevelType w:val="multilevel"/>
    <w:tmpl w:val="D55A5666"/>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3F466A"/>
    <w:multiLevelType w:val="hybridMultilevel"/>
    <w:tmpl w:val="5114EC8C"/>
    <w:lvl w:ilvl="0" w:tplc="02A6E344">
      <w:start w:val="1"/>
      <w:numFmt w:val="lowerLetter"/>
      <w:lvlText w:val="%1)"/>
      <w:lvlJc w:val="left"/>
      <w:pPr>
        <w:ind w:left="1068" w:hanging="360"/>
      </w:pPr>
      <w:rPr>
        <w:rFonts w:hint="default"/>
        <w:u w:val="none"/>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2DFF5C22"/>
    <w:multiLevelType w:val="hybridMultilevel"/>
    <w:tmpl w:val="4EFA39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2C3319A"/>
    <w:multiLevelType w:val="hybridMultilevel"/>
    <w:tmpl w:val="2282192C"/>
    <w:lvl w:ilvl="0" w:tplc="04160019">
      <w:start w:val="1"/>
      <w:numFmt w:val="lowerLetter"/>
      <w:lvlText w:val="%1."/>
      <w:lvlJc w:val="left"/>
      <w:pPr>
        <w:ind w:left="1788" w:hanging="360"/>
      </w:p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20" w15:restartNumberingAfterBreak="0">
    <w:nsid w:val="34D92BE0"/>
    <w:multiLevelType w:val="hybridMultilevel"/>
    <w:tmpl w:val="E93EA9F2"/>
    <w:lvl w:ilvl="0" w:tplc="72E67C9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39E11D86"/>
    <w:multiLevelType w:val="hybridMultilevel"/>
    <w:tmpl w:val="0CF8DDC0"/>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2" w15:restartNumberingAfterBreak="0">
    <w:nsid w:val="3A244963"/>
    <w:multiLevelType w:val="hybridMultilevel"/>
    <w:tmpl w:val="FFF05D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D453FC3"/>
    <w:multiLevelType w:val="hybridMultilevel"/>
    <w:tmpl w:val="3112CAB2"/>
    <w:lvl w:ilvl="0" w:tplc="9604A408">
      <w:start w:val="1"/>
      <w:numFmt w:val="decimal"/>
      <w:lvlText w:val="%1)"/>
      <w:lvlJc w:val="left"/>
      <w:pPr>
        <w:ind w:left="1788" w:hanging="360"/>
      </w:pPr>
      <w:rPr>
        <w:rFonts w:hint="default"/>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24" w15:restartNumberingAfterBreak="0">
    <w:nsid w:val="3D8C57E5"/>
    <w:multiLevelType w:val="hybridMultilevel"/>
    <w:tmpl w:val="296EA5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EB6125D"/>
    <w:multiLevelType w:val="multilevel"/>
    <w:tmpl w:val="576AD96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28771AF"/>
    <w:multiLevelType w:val="hybridMultilevel"/>
    <w:tmpl w:val="D8745CC6"/>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6625EDF"/>
    <w:multiLevelType w:val="hybridMultilevel"/>
    <w:tmpl w:val="E042D58A"/>
    <w:lvl w:ilvl="0" w:tplc="708E5BD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15:restartNumberingAfterBreak="0">
    <w:nsid w:val="4B802EE2"/>
    <w:multiLevelType w:val="hybridMultilevel"/>
    <w:tmpl w:val="99BA076C"/>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9" w15:restartNumberingAfterBreak="0">
    <w:nsid w:val="4BAC38CF"/>
    <w:multiLevelType w:val="hybridMultilevel"/>
    <w:tmpl w:val="179893A8"/>
    <w:lvl w:ilvl="0" w:tplc="04160017">
      <w:start w:val="1"/>
      <w:numFmt w:val="lowerLetter"/>
      <w:lvlText w:val="%1)"/>
      <w:lvlJc w:val="left"/>
      <w:pPr>
        <w:ind w:left="1374" w:hanging="360"/>
      </w:pPr>
      <w:rPr>
        <w:rFonts w:hint="default"/>
      </w:rPr>
    </w:lvl>
    <w:lvl w:ilvl="1" w:tplc="04160003" w:tentative="1">
      <w:start w:val="1"/>
      <w:numFmt w:val="bullet"/>
      <w:lvlText w:val="o"/>
      <w:lvlJc w:val="left"/>
      <w:pPr>
        <w:ind w:left="2094" w:hanging="360"/>
      </w:pPr>
      <w:rPr>
        <w:rFonts w:ascii="Courier New" w:hAnsi="Courier New" w:cs="Courier New" w:hint="default"/>
      </w:rPr>
    </w:lvl>
    <w:lvl w:ilvl="2" w:tplc="04160005" w:tentative="1">
      <w:start w:val="1"/>
      <w:numFmt w:val="bullet"/>
      <w:lvlText w:val=""/>
      <w:lvlJc w:val="left"/>
      <w:pPr>
        <w:ind w:left="2814" w:hanging="360"/>
      </w:pPr>
      <w:rPr>
        <w:rFonts w:ascii="Wingdings" w:hAnsi="Wingdings" w:hint="default"/>
      </w:rPr>
    </w:lvl>
    <w:lvl w:ilvl="3" w:tplc="04160001" w:tentative="1">
      <w:start w:val="1"/>
      <w:numFmt w:val="bullet"/>
      <w:lvlText w:val=""/>
      <w:lvlJc w:val="left"/>
      <w:pPr>
        <w:ind w:left="3534" w:hanging="360"/>
      </w:pPr>
      <w:rPr>
        <w:rFonts w:ascii="Symbol" w:hAnsi="Symbol" w:hint="default"/>
      </w:rPr>
    </w:lvl>
    <w:lvl w:ilvl="4" w:tplc="04160003" w:tentative="1">
      <w:start w:val="1"/>
      <w:numFmt w:val="bullet"/>
      <w:lvlText w:val="o"/>
      <w:lvlJc w:val="left"/>
      <w:pPr>
        <w:ind w:left="4254" w:hanging="360"/>
      </w:pPr>
      <w:rPr>
        <w:rFonts w:ascii="Courier New" w:hAnsi="Courier New" w:cs="Courier New" w:hint="default"/>
      </w:rPr>
    </w:lvl>
    <w:lvl w:ilvl="5" w:tplc="04160005" w:tentative="1">
      <w:start w:val="1"/>
      <w:numFmt w:val="bullet"/>
      <w:lvlText w:val=""/>
      <w:lvlJc w:val="left"/>
      <w:pPr>
        <w:ind w:left="4974" w:hanging="360"/>
      </w:pPr>
      <w:rPr>
        <w:rFonts w:ascii="Wingdings" w:hAnsi="Wingdings" w:hint="default"/>
      </w:rPr>
    </w:lvl>
    <w:lvl w:ilvl="6" w:tplc="04160001" w:tentative="1">
      <w:start w:val="1"/>
      <w:numFmt w:val="bullet"/>
      <w:lvlText w:val=""/>
      <w:lvlJc w:val="left"/>
      <w:pPr>
        <w:ind w:left="5694" w:hanging="360"/>
      </w:pPr>
      <w:rPr>
        <w:rFonts w:ascii="Symbol" w:hAnsi="Symbol" w:hint="default"/>
      </w:rPr>
    </w:lvl>
    <w:lvl w:ilvl="7" w:tplc="04160003" w:tentative="1">
      <w:start w:val="1"/>
      <w:numFmt w:val="bullet"/>
      <w:lvlText w:val="o"/>
      <w:lvlJc w:val="left"/>
      <w:pPr>
        <w:ind w:left="6414" w:hanging="360"/>
      </w:pPr>
      <w:rPr>
        <w:rFonts w:ascii="Courier New" w:hAnsi="Courier New" w:cs="Courier New" w:hint="default"/>
      </w:rPr>
    </w:lvl>
    <w:lvl w:ilvl="8" w:tplc="04160005" w:tentative="1">
      <w:start w:val="1"/>
      <w:numFmt w:val="bullet"/>
      <w:lvlText w:val=""/>
      <w:lvlJc w:val="left"/>
      <w:pPr>
        <w:ind w:left="7134" w:hanging="360"/>
      </w:pPr>
      <w:rPr>
        <w:rFonts w:ascii="Wingdings" w:hAnsi="Wingdings" w:hint="default"/>
      </w:rPr>
    </w:lvl>
  </w:abstractNum>
  <w:abstractNum w:abstractNumId="30" w15:restartNumberingAfterBreak="0">
    <w:nsid w:val="4E0A15FA"/>
    <w:multiLevelType w:val="multilevel"/>
    <w:tmpl w:val="97EE011C"/>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B8128E8"/>
    <w:multiLevelType w:val="hybridMultilevel"/>
    <w:tmpl w:val="534045F8"/>
    <w:lvl w:ilvl="0" w:tplc="0416000B">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2" w15:restartNumberingAfterBreak="0">
    <w:nsid w:val="5D8332DA"/>
    <w:multiLevelType w:val="hybridMultilevel"/>
    <w:tmpl w:val="E944621C"/>
    <w:lvl w:ilvl="0" w:tplc="AC9A3D02">
      <w:start w:val="1"/>
      <w:numFmt w:val="lowerLetter"/>
      <w:lvlText w:val="%1)"/>
      <w:lvlJc w:val="left"/>
      <w:pPr>
        <w:ind w:left="885" w:hanging="360"/>
      </w:pPr>
      <w:rPr>
        <w:rFonts w:hint="default"/>
        <w:b/>
      </w:rPr>
    </w:lvl>
    <w:lvl w:ilvl="1" w:tplc="04160019" w:tentative="1">
      <w:start w:val="1"/>
      <w:numFmt w:val="lowerLetter"/>
      <w:lvlText w:val="%2."/>
      <w:lvlJc w:val="left"/>
      <w:pPr>
        <w:ind w:left="1605" w:hanging="360"/>
      </w:p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abstractNum w:abstractNumId="33" w15:restartNumberingAfterBreak="0">
    <w:nsid w:val="6031128F"/>
    <w:multiLevelType w:val="hybridMultilevel"/>
    <w:tmpl w:val="E22C419E"/>
    <w:lvl w:ilvl="0" w:tplc="D2FCC39C">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4" w15:restartNumberingAfterBreak="0">
    <w:nsid w:val="61AA101A"/>
    <w:multiLevelType w:val="hybridMultilevel"/>
    <w:tmpl w:val="DDC44406"/>
    <w:lvl w:ilvl="0" w:tplc="50343E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5" w15:restartNumberingAfterBreak="0">
    <w:nsid w:val="63BF6C40"/>
    <w:multiLevelType w:val="hybridMultilevel"/>
    <w:tmpl w:val="15BE5836"/>
    <w:lvl w:ilvl="0" w:tplc="51F0ED88">
      <w:start w:val="1"/>
      <w:numFmt w:val="lowerLetter"/>
      <w:lvlText w:val="%1)"/>
      <w:lvlJc w:val="left"/>
      <w:pPr>
        <w:ind w:left="1788" w:hanging="360"/>
      </w:pPr>
      <w:rPr>
        <w:rFonts w:hint="default"/>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36" w15:restartNumberingAfterBreak="0">
    <w:nsid w:val="6A312C35"/>
    <w:multiLevelType w:val="hybridMultilevel"/>
    <w:tmpl w:val="E5F48502"/>
    <w:lvl w:ilvl="0" w:tplc="0416000B">
      <w:start w:val="1"/>
      <w:numFmt w:val="bullet"/>
      <w:lvlText w:val=""/>
      <w:lvlJc w:val="left"/>
      <w:pPr>
        <w:ind w:left="1428" w:hanging="360"/>
      </w:pPr>
      <w:rPr>
        <w:rFonts w:ascii="Wingdings" w:hAnsi="Wingdings" w:hint="default"/>
      </w:rPr>
    </w:lvl>
    <w:lvl w:ilvl="1" w:tplc="04160003">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7" w15:restartNumberingAfterBreak="0">
    <w:nsid w:val="6DEF3431"/>
    <w:multiLevelType w:val="hybridMultilevel"/>
    <w:tmpl w:val="F92E0FAC"/>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8" w15:restartNumberingAfterBreak="0">
    <w:nsid w:val="6FEA4469"/>
    <w:multiLevelType w:val="hybridMultilevel"/>
    <w:tmpl w:val="7C3C6AAA"/>
    <w:lvl w:ilvl="0" w:tplc="EFA2BB6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9" w15:restartNumberingAfterBreak="0">
    <w:nsid w:val="73415DA2"/>
    <w:multiLevelType w:val="hybridMultilevel"/>
    <w:tmpl w:val="83920A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4D570A4"/>
    <w:multiLevelType w:val="hybridMultilevel"/>
    <w:tmpl w:val="EC3E87F8"/>
    <w:lvl w:ilvl="0" w:tplc="318893C8">
      <w:start w:val="1"/>
      <w:numFmt w:val="lowerLetter"/>
      <w:lvlText w:val="%1)"/>
      <w:lvlJc w:val="left"/>
      <w:pPr>
        <w:ind w:left="855" w:hanging="4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6486DCA"/>
    <w:multiLevelType w:val="hybridMultilevel"/>
    <w:tmpl w:val="3238FBE8"/>
    <w:lvl w:ilvl="0" w:tplc="442229E8">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42" w15:restartNumberingAfterBreak="0">
    <w:nsid w:val="76D92DFE"/>
    <w:multiLevelType w:val="hybridMultilevel"/>
    <w:tmpl w:val="A8C06742"/>
    <w:lvl w:ilvl="0" w:tplc="DEB66928">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3" w15:restartNumberingAfterBreak="0">
    <w:nsid w:val="7A3F19E0"/>
    <w:multiLevelType w:val="hybridMultilevel"/>
    <w:tmpl w:val="8D3CC1E2"/>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4" w15:restartNumberingAfterBreak="0">
    <w:nsid w:val="7AC11DC0"/>
    <w:multiLevelType w:val="hybridMultilevel"/>
    <w:tmpl w:val="E7D8D668"/>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5" w15:restartNumberingAfterBreak="0">
    <w:nsid w:val="7BBC3052"/>
    <w:multiLevelType w:val="hybridMultilevel"/>
    <w:tmpl w:val="8482CE18"/>
    <w:lvl w:ilvl="0" w:tplc="EEF612E4">
      <w:start w:val="1"/>
      <w:numFmt w:val="lowerLetter"/>
      <w:lvlText w:val="%1)"/>
      <w:lvlJc w:val="left"/>
      <w:pPr>
        <w:ind w:left="1350" w:hanging="36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6" w15:restartNumberingAfterBreak="0">
    <w:nsid w:val="7D1D17AB"/>
    <w:multiLevelType w:val="hybridMultilevel"/>
    <w:tmpl w:val="D6283BC2"/>
    <w:lvl w:ilvl="0" w:tplc="6518D734">
      <w:start w:val="1"/>
      <w:numFmt w:val="bullet"/>
      <w:lvlText w:val=""/>
      <w:lvlJc w:val="left"/>
      <w:pPr>
        <w:ind w:left="1068" w:hanging="360"/>
      </w:pPr>
      <w:rPr>
        <w:rFonts w:ascii="Symbol" w:hAnsi="Symbol" w:hint="default"/>
        <w:color w:val="auto"/>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num w:numId="1">
    <w:abstractNumId w:val="22"/>
  </w:num>
  <w:num w:numId="2">
    <w:abstractNumId w:val="6"/>
  </w:num>
  <w:num w:numId="3">
    <w:abstractNumId w:val="24"/>
  </w:num>
  <w:num w:numId="4">
    <w:abstractNumId w:val="2"/>
  </w:num>
  <w:num w:numId="5">
    <w:abstractNumId w:val="36"/>
  </w:num>
  <w:num w:numId="6">
    <w:abstractNumId w:val="37"/>
  </w:num>
  <w:num w:numId="7">
    <w:abstractNumId w:val="4"/>
  </w:num>
  <w:num w:numId="8">
    <w:abstractNumId w:val="11"/>
  </w:num>
  <w:num w:numId="9">
    <w:abstractNumId w:val="31"/>
  </w:num>
  <w:num w:numId="10">
    <w:abstractNumId w:val="44"/>
  </w:num>
  <w:num w:numId="11">
    <w:abstractNumId w:val="28"/>
  </w:num>
  <w:num w:numId="12">
    <w:abstractNumId w:val="10"/>
  </w:num>
  <w:num w:numId="13">
    <w:abstractNumId w:val="23"/>
  </w:num>
  <w:num w:numId="14">
    <w:abstractNumId w:val="41"/>
  </w:num>
  <w:num w:numId="15">
    <w:abstractNumId w:val="38"/>
  </w:num>
  <w:num w:numId="16">
    <w:abstractNumId w:val="27"/>
  </w:num>
  <w:num w:numId="17">
    <w:abstractNumId w:val="17"/>
  </w:num>
  <w:num w:numId="18">
    <w:abstractNumId w:val="12"/>
  </w:num>
  <w:num w:numId="19">
    <w:abstractNumId w:val="13"/>
  </w:num>
  <w:num w:numId="20">
    <w:abstractNumId w:val="20"/>
  </w:num>
  <w:num w:numId="21">
    <w:abstractNumId w:val="33"/>
  </w:num>
  <w:num w:numId="22">
    <w:abstractNumId w:val="35"/>
  </w:num>
  <w:num w:numId="23">
    <w:abstractNumId w:val="42"/>
  </w:num>
  <w:num w:numId="24">
    <w:abstractNumId w:val="7"/>
  </w:num>
  <w:num w:numId="25">
    <w:abstractNumId w:val="21"/>
  </w:num>
  <w:num w:numId="26">
    <w:abstractNumId w:val="46"/>
  </w:num>
  <w:num w:numId="27">
    <w:abstractNumId w:val="30"/>
  </w:num>
  <w:num w:numId="28">
    <w:abstractNumId w:val="8"/>
  </w:num>
  <w:num w:numId="29">
    <w:abstractNumId w:val="43"/>
  </w:num>
  <w:num w:numId="30">
    <w:abstractNumId w:val="14"/>
  </w:num>
  <w:num w:numId="31">
    <w:abstractNumId w:val="3"/>
  </w:num>
  <w:num w:numId="32">
    <w:abstractNumId w:val="34"/>
  </w:num>
  <w:num w:numId="33">
    <w:abstractNumId w:val="25"/>
  </w:num>
  <w:num w:numId="34">
    <w:abstractNumId w:val="16"/>
  </w:num>
  <w:num w:numId="35">
    <w:abstractNumId w:val="32"/>
  </w:num>
  <w:num w:numId="36">
    <w:abstractNumId w:val="19"/>
  </w:num>
  <w:num w:numId="37">
    <w:abstractNumId w:val="40"/>
  </w:num>
  <w:num w:numId="38">
    <w:abstractNumId w:val="5"/>
  </w:num>
  <w:num w:numId="39">
    <w:abstractNumId w:val="29"/>
  </w:num>
  <w:num w:numId="40">
    <w:abstractNumId w:val="1"/>
  </w:num>
  <w:num w:numId="41">
    <w:abstractNumId w:val="0"/>
  </w:num>
  <w:num w:numId="42">
    <w:abstractNumId w:val="26"/>
  </w:num>
  <w:num w:numId="43">
    <w:abstractNumId w:val="18"/>
  </w:num>
  <w:num w:numId="44">
    <w:abstractNumId w:val="39"/>
  </w:num>
  <w:num w:numId="45">
    <w:abstractNumId w:val="15"/>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EC"/>
    <w:rsid w:val="00000829"/>
    <w:rsid w:val="000033A8"/>
    <w:rsid w:val="000117CC"/>
    <w:rsid w:val="00015868"/>
    <w:rsid w:val="00022A3D"/>
    <w:rsid w:val="00023F8D"/>
    <w:rsid w:val="00026B53"/>
    <w:rsid w:val="00026CE4"/>
    <w:rsid w:val="00026F83"/>
    <w:rsid w:val="00035688"/>
    <w:rsid w:val="00040A04"/>
    <w:rsid w:val="00044CC3"/>
    <w:rsid w:val="00045707"/>
    <w:rsid w:val="00047FA2"/>
    <w:rsid w:val="00050EE8"/>
    <w:rsid w:val="0005239A"/>
    <w:rsid w:val="00053D91"/>
    <w:rsid w:val="00055DCE"/>
    <w:rsid w:val="00056736"/>
    <w:rsid w:val="000602C7"/>
    <w:rsid w:val="0006440A"/>
    <w:rsid w:val="0006491F"/>
    <w:rsid w:val="000702C5"/>
    <w:rsid w:val="00071CA2"/>
    <w:rsid w:val="00074AEE"/>
    <w:rsid w:val="00076A57"/>
    <w:rsid w:val="00082764"/>
    <w:rsid w:val="00086871"/>
    <w:rsid w:val="00086E0F"/>
    <w:rsid w:val="00091E1E"/>
    <w:rsid w:val="00095141"/>
    <w:rsid w:val="0009582A"/>
    <w:rsid w:val="0009621D"/>
    <w:rsid w:val="000A49B6"/>
    <w:rsid w:val="000B15B9"/>
    <w:rsid w:val="000B16B8"/>
    <w:rsid w:val="000B5B9F"/>
    <w:rsid w:val="000C3D93"/>
    <w:rsid w:val="000C59F1"/>
    <w:rsid w:val="000C73D0"/>
    <w:rsid w:val="000E0DBB"/>
    <w:rsid w:val="000E2552"/>
    <w:rsid w:val="000E27F1"/>
    <w:rsid w:val="000E67BC"/>
    <w:rsid w:val="000F28DE"/>
    <w:rsid w:val="000F5506"/>
    <w:rsid w:val="000F5643"/>
    <w:rsid w:val="000F597B"/>
    <w:rsid w:val="000F7A3D"/>
    <w:rsid w:val="000F7CCD"/>
    <w:rsid w:val="0010151F"/>
    <w:rsid w:val="00112816"/>
    <w:rsid w:val="0011345B"/>
    <w:rsid w:val="0011382A"/>
    <w:rsid w:val="00114369"/>
    <w:rsid w:val="001156FB"/>
    <w:rsid w:val="00116325"/>
    <w:rsid w:val="00117112"/>
    <w:rsid w:val="00122195"/>
    <w:rsid w:val="00123003"/>
    <w:rsid w:val="0012388E"/>
    <w:rsid w:val="00125DD6"/>
    <w:rsid w:val="001338E3"/>
    <w:rsid w:val="00136A11"/>
    <w:rsid w:val="00137D7E"/>
    <w:rsid w:val="00140DBA"/>
    <w:rsid w:val="00140F4A"/>
    <w:rsid w:val="00141C10"/>
    <w:rsid w:val="001447FC"/>
    <w:rsid w:val="00145CF3"/>
    <w:rsid w:val="001513E1"/>
    <w:rsid w:val="00153779"/>
    <w:rsid w:val="001537C6"/>
    <w:rsid w:val="00154F64"/>
    <w:rsid w:val="00155E1D"/>
    <w:rsid w:val="00155F9A"/>
    <w:rsid w:val="00157E66"/>
    <w:rsid w:val="00161012"/>
    <w:rsid w:val="0016219A"/>
    <w:rsid w:val="0016588A"/>
    <w:rsid w:val="00166708"/>
    <w:rsid w:val="001771F8"/>
    <w:rsid w:val="001778B6"/>
    <w:rsid w:val="0018360F"/>
    <w:rsid w:val="0018407B"/>
    <w:rsid w:val="00184D60"/>
    <w:rsid w:val="0018676C"/>
    <w:rsid w:val="001900AA"/>
    <w:rsid w:val="00193DBE"/>
    <w:rsid w:val="001962E7"/>
    <w:rsid w:val="001A0D60"/>
    <w:rsid w:val="001A112A"/>
    <w:rsid w:val="001A1A1C"/>
    <w:rsid w:val="001A3256"/>
    <w:rsid w:val="001A7A5D"/>
    <w:rsid w:val="001B2DAC"/>
    <w:rsid w:val="001B77D7"/>
    <w:rsid w:val="001C2193"/>
    <w:rsid w:val="001C4156"/>
    <w:rsid w:val="001D0314"/>
    <w:rsid w:val="001D0361"/>
    <w:rsid w:val="001D0AF1"/>
    <w:rsid w:val="001D2071"/>
    <w:rsid w:val="001D3326"/>
    <w:rsid w:val="001D41D9"/>
    <w:rsid w:val="001D530C"/>
    <w:rsid w:val="001D6FEC"/>
    <w:rsid w:val="001E2928"/>
    <w:rsid w:val="001E376C"/>
    <w:rsid w:val="001F2369"/>
    <w:rsid w:val="001F49A9"/>
    <w:rsid w:val="001F59C9"/>
    <w:rsid w:val="001F7614"/>
    <w:rsid w:val="002101C6"/>
    <w:rsid w:val="00212EEB"/>
    <w:rsid w:val="00213A30"/>
    <w:rsid w:val="00217547"/>
    <w:rsid w:val="002200AD"/>
    <w:rsid w:val="0022144B"/>
    <w:rsid w:val="0022157B"/>
    <w:rsid w:val="00222068"/>
    <w:rsid w:val="002221D6"/>
    <w:rsid w:val="00222D39"/>
    <w:rsid w:val="00224325"/>
    <w:rsid w:val="00231CB8"/>
    <w:rsid w:val="0023335E"/>
    <w:rsid w:val="00234EE4"/>
    <w:rsid w:val="002405CA"/>
    <w:rsid w:val="00244AD7"/>
    <w:rsid w:val="00245982"/>
    <w:rsid w:val="00246B5C"/>
    <w:rsid w:val="002505BE"/>
    <w:rsid w:val="00251EA1"/>
    <w:rsid w:val="00252ADA"/>
    <w:rsid w:val="002708B3"/>
    <w:rsid w:val="00272403"/>
    <w:rsid w:val="00275C49"/>
    <w:rsid w:val="00281D84"/>
    <w:rsid w:val="0028400B"/>
    <w:rsid w:val="002853EE"/>
    <w:rsid w:val="00294F44"/>
    <w:rsid w:val="002961B7"/>
    <w:rsid w:val="00296962"/>
    <w:rsid w:val="0029718E"/>
    <w:rsid w:val="002A6061"/>
    <w:rsid w:val="002A6E85"/>
    <w:rsid w:val="002B06D0"/>
    <w:rsid w:val="002B1F6D"/>
    <w:rsid w:val="002B23E8"/>
    <w:rsid w:val="002C011C"/>
    <w:rsid w:val="002C0354"/>
    <w:rsid w:val="002C211B"/>
    <w:rsid w:val="002C35E9"/>
    <w:rsid w:val="002D07C2"/>
    <w:rsid w:val="002D1AA7"/>
    <w:rsid w:val="002D527A"/>
    <w:rsid w:val="002D57DC"/>
    <w:rsid w:val="002D703B"/>
    <w:rsid w:val="002E2A9A"/>
    <w:rsid w:val="002F1D7F"/>
    <w:rsid w:val="002F2B6E"/>
    <w:rsid w:val="002F5D58"/>
    <w:rsid w:val="00300D14"/>
    <w:rsid w:val="00301B97"/>
    <w:rsid w:val="00301F19"/>
    <w:rsid w:val="00303C41"/>
    <w:rsid w:val="0030402A"/>
    <w:rsid w:val="003106D5"/>
    <w:rsid w:val="00312CD4"/>
    <w:rsid w:val="00313904"/>
    <w:rsid w:val="0031481B"/>
    <w:rsid w:val="00314AB6"/>
    <w:rsid w:val="00316747"/>
    <w:rsid w:val="00316754"/>
    <w:rsid w:val="00323936"/>
    <w:rsid w:val="00324AA5"/>
    <w:rsid w:val="003275C8"/>
    <w:rsid w:val="00334867"/>
    <w:rsid w:val="00335D73"/>
    <w:rsid w:val="00343627"/>
    <w:rsid w:val="003448A8"/>
    <w:rsid w:val="003456A3"/>
    <w:rsid w:val="00354C59"/>
    <w:rsid w:val="00360F7B"/>
    <w:rsid w:val="00361693"/>
    <w:rsid w:val="00361E41"/>
    <w:rsid w:val="00380341"/>
    <w:rsid w:val="00381EAD"/>
    <w:rsid w:val="0038252E"/>
    <w:rsid w:val="00382BA2"/>
    <w:rsid w:val="00385CEB"/>
    <w:rsid w:val="00390601"/>
    <w:rsid w:val="00396770"/>
    <w:rsid w:val="003A17AD"/>
    <w:rsid w:val="003A5CAE"/>
    <w:rsid w:val="003B1D4B"/>
    <w:rsid w:val="003B2702"/>
    <w:rsid w:val="003B57AD"/>
    <w:rsid w:val="003B5EFA"/>
    <w:rsid w:val="003C315E"/>
    <w:rsid w:val="003C3701"/>
    <w:rsid w:val="003C4E24"/>
    <w:rsid w:val="003C6129"/>
    <w:rsid w:val="003C6BF1"/>
    <w:rsid w:val="003D2E3D"/>
    <w:rsid w:val="003D38C1"/>
    <w:rsid w:val="003D5406"/>
    <w:rsid w:val="003D5481"/>
    <w:rsid w:val="003E0EB4"/>
    <w:rsid w:val="003E1787"/>
    <w:rsid w:val="003E4C4A"/>
    <w:rsid w:val="003E525E"/>
    <w:rsid w:val="003E6016"/>
    <w:rsid w:val="003E6991"/>
    <w:rsid w:val="003F2985"/>
    <w:rsid w:val="003F7D91"/>
    <w:rsid w:val="004102BB"/>
    <w:rsid w:val="00413A5C"/>
    <w:rsid w:val="00413EBB"/>
    <w:rsid w:val="00416480"/>
    <w:rsid w:val="004166C5"/>
    <w:rsid w:val="00420D94"/>
    <w:rsid w:val="004213C8"/>
    <w:rsid w:val="00424CFB"/>
    <w:rsid w:val="0042762E"/>
    <w:rsid w:val="004279FF"/>
    <w:rsid w:val="00435F50"/>
    <w:rsid w:val="00440C76"/>
    <w:rsid w:val="00442C27"/>
    <w:rsid w:val="004433BF"/>
    <w:rsid w:val="004528B1"/>
    <w:rsid w:val="00454BA2"/>
    <w:rsid w:val="0045532E"/>
    <w:rsid w:val="004622BD"/>
    <w:rsid w:val="00465B00"/>
    <w:rsid w:val="00466160"/>
    <w:rsid w:val="0046739C"/>
    <w:rsid w:val="00474A2C"/>
    <w:rsid w:val="0047627D"/>
    <w:rsid w:val="00480D4D"/>
    <w:rsid w:val="00481FD8"/>
    <w:rsid w:val="004838F1"/>
    <w:rsid w:val="00483EDF"/>
    <w:rsid w:val="00485EFA"/>
    <w:rsid w:val="004913B5"/>
    <w:rsid w:val="0049696A"/>
    <w:rsid w:val="004A1708"/>
    <w:rsid w:val="004A1942"/>
    <w:rsid w:val="004A62DA"/>
    <w:rsid w:val="004A71D2"/>
    <w:rsid w:val="004A7E5A"/>
    <w:rsid w:val="004B096A"/>
    <w:rsid w:val="004B142E"/>
    <w:rsid w:val="004B5DA2"/>
    <w:rsid w:val="004B6CCF"/>
    <w:rsid w:val="004C0CA9"/>
    <w:rsid w:val="004C1305"/>
    <w:rsid w:val="004C4C4C"/>
    <w:rsid w:val="004C616C"/>
    <w:rsid w:val="004D03A2"/>
    <w:rsid w:val="004D1D73"/>
    <w:rsid w:val="004D3B27"/>
    <w:rsid w:val="004D64C1"/>
    <w:rsid w:val="004E3EE0"/>
    <w:rsid w:val="004E4369"/>
    <w:rsid w:val="004E51E6"/>
    <w:rsid w:val="004E5E45"/>
    <w:rsid w:val="004E5F03"/>
    <w:rsid w:val="004E6F9D"/>
    <w:rsid w:val="004F0C18"/>
    <w:rsid w:val="004F0DDC"/>
    <w:rsid w:val="004F15BC"/>
    <w:rsid w:val="004F4FC7"/>
    <w:rsid w:val="004F6A4D"/>
    <w:rsid w:val="0050394C"/>
    <w:rsid w:val="00504D58"/>
    <w:rsid w:val="005054E4"/>
    <w:rsid w:val="00505F62"/>
    <w:rsid w:val="005065C5"/>
    <w:rsid w:val="00511EAB"/>
    <w:rsid w:val="00512FB2"/>
    <w:rsid w:val="0051628B"/>
    <w:rsid w:val="00516C33"/>
    <w:rsid w:val="00520449"/>
    <w:rsid w:val="00522D56"/>
    <w:rsid w:val="00525FF5"/>
    <w:rsid w:val="005277F6"/>
    <w:rsid w:val="00530C8A"/>
    <w:rsid w:val="00532DB2"/>
    <w:rsid w:val="00533F50"/>
    <w:rsid w:val="00535018"/>
    <w:rsid w:val="00535371"/>
    <w:rsid w:val="005356AC"/>
    <w:rsid w:val="00540ED9"/>
    <w:rsid w:val="005415A5"/>
    <w:rsid w:val="005418BD"/>
    <w:rsid w:val="005457DF"/>
    <w:rsid w:val="00545DB1"/>
    <w:rsid w:val="00546733"/>
    <w:rsid w:val="0054772A"/>
    <w:rsid w:val="005503AF"/>
    <w:rsid w:val="00550800"/>
    <w:rsid w:val="005521B2"/>
    <w:rsid w:val="005529AC"/>
    <w:rsid w:val="00561876"/>
    <w:rsid w:val="00562133"/>
    <w:rsid w:val="005646CC"/>
    <w:rsid w:val="005649A1"/>
    <w:rsid w:val="00571064"/>
    <w:rsid w:val="00571A65"/>
    <w:rsid w:val="00582299"/>
    <w:rsid w:val="005866D0"/>
    <w:rsid w:val="00591C22"/>
    <w:rsid w:val="00594054"/>
    <w:rsid w:val="0059607D"/>
    <w:rsid w:val="005A1B6C"/>
    <w:rsid w:val="005A3BC8"/>
    <w:rsid w:val="005A4DCD"/>
    <w:rsid w:val="005A669B"/>
    <w:rsid w:val="005A7BD3"/>
    <w:rsid w:val="005A7F1A"/>
    <w:rsid w:val="005B1E68"/>
    <w:rsid w:val="005B2281"/>
    <w:rsid w:val="005B249B"/>
    <w:rsid w:val="005B5565"/>
    <w:rsid w:val="005C2C04"/>
    <w:rsid w:val="005C30E4"/>
    <w:rsid w:val="005C379B"/>
    <w:rsid w:val="005C43C4"/>
    <w:rsid w:val="005D1869"/>
    <w:rsid w:val="005D1B14"/>
    <w:rsid w:val="005D1BE5"/>
    <w:rsid w:val="005D346B"/>
    <w:rsid w:val="005D3A0A"/>
    <w:rsid w:val="005E276C"/>
    <w:rsid w:val="005E497A"/>
    <w:rsid w:val="005E571A"/>
    <w:rsid w:val="005F1300"/>
    <w:rsid w:val="005F140B"/>
    <w:rsid w:val="005F2256"/>
    <w:rsid w:val="005F3671"/>
    <w:rsid w:val="005F5B7B"/>
    <w:rsid w:val="005F6122"/>
    <w:rsid w:val="006032B1"/>
    <w:rsid w:val="00610392"/>
    <w:rsid w:val="00610CAA"/>
    <w:rsid w:val="00611FA5"/>
    <w:rsid w:val="00613EC0"/>
    <w:rsid w:val="00615C2B"/>
    <w:rsid w:val="00617257"/>
    <w:rsid w:val="0062044F"/>
    <w:rsid w:val="00622484"/>
    <w:rsid w:val="006241AD"/>
    <w:rsid w:val="00627032"/>
    <w:rsid w:val="00627C2C"/>
    <w:rsid w:val="00631271"/>
    <w:rsid w:val="00637613"/>
    <w:rsid w:val="00640894"/>
    <w:rsid w:val="00642DBC"/>
    <w:rsid w:val="00647C61"/>
    <w:rsid w:val="00656909"/>
    <w:rsid w:val="00666C3D"/>
    <w:rsid w:val="00670BC1"/>
    <w:rsid w:val="00671195"/>
    <w:rsid w:val="00682930"/>
    <w:rsid w:val="00687140"/>
    <w:rsid w:val="006906AD"/>
    <w:rsid w:val="00690D81"/>
    <w:rsid w:val="006940C3"/>
    <w:rsid w:val="00696162"/>
    <w:rsid w:val="00696AF7"/>
    <w:rsid w:val="006A2EC7"/>
    <w:rsid w:val="006A339E"/>
    <w:rsid w:val="006A750A"/>
    <w:rsid w:val="006B0722"/>
    <w:rsid w:val="006B0A70"/>
    <w:rsid w:val="006C2CDB"/>
    <w:rsid w:val="006C2D7E"/>
    <w:rsid w:val="006C64A7"/>
    <w:rsid w:val="006D5B0C"/>
    <w:rsid w:val="006D61F9"/>
    <w:rsid w:val="006D78BF"/>
    <w:rsid w:val="006D7922"/>
    <w:rsid w:val="006D797C"/>
    <w:rsid w:val="006E1E70"/>
    <w:rsid w:val="006E24F3"/>
    <w:rsid w:val="006E57C3"/>
    <w:rsid w:val="006E6C32"/>
    <w:rsid w:val="007026C8"/>
    <w:rsid w:val="00702B9E"/>
    <w:rsid w:val="007046FA"/>
    <w:rsid w:val="007100C4"/>
    <w:rsid w:val="0071188B"/>
    <w:rsid w:val="007172B9"/>
    <w:rsid w:val="00717551"/>
    <w:rsid w:val="00725728"/>
    <w:rsid w:val="00731775"/>
    <w:rsid w:val="00733F7F"/>
    <w:rsid w:val="00734A5D"/>
    <w:rsid w:val="00736AB4"/>
    <w:rsid w:val="007428C6"/>
    <w:rsid w:val="00742C8F"/>
    <w:rsid w:val="00747DDA"/>
    <w:rsid w:val="00753E89"/>
    <w:rsid w:val="00761A0A"/>
    <w:rsid w:val="00762DC8"/>
    <w:rsid w:val="00764780"/>
    <w:rsid w:val="00765F66"/>
    <w:rsid w:val="00773037"/>
    <w:rsid w:val="00776C24"/>
    <w:rsid w:val="0077729F"/>
    <w:rsid w:val="007847A4"/>
    <w:rsid w:val="00785281"/>
    <w:rsid w:val="00787679"/>
    <w:rsid w:val="00790EE3"/>
    <w:rsid w:val="007910E8"/>
    <w:rsid w:val="0079432B"/>
    <w:rsid w:val="0079474E"/>
    <w:rsid w:val="00795ADF"/>
    <w:rsid w:val="00796E10"/>
    <w:rsid w:val="007A699B"/>
    <w:rsid w:val="007B524C"/>
    <w:rsid w:val="007C1B9F"/>
    <w:rsid w:val="007C3FB7"/>
    <w:rsid w:val="007C4B12"/>
    <w:rsid w:val="007C51BE"/>
    <w:rsid w:val="007C7FB6"/>
    <w:rsid w:val="007D4E38"/>
    <w:rsid w:val="007D5989"/>
    <w:rsid w:val="007D6AE6"/>
    <w:rsid w:val="007D711D"/>
    <w:rsid w:val="007E0914"/>
    <w:rsid w:val="007E1028"/>
    <w:rsid w:val="007E283F"/>
    <w:rsid w:val="007E465F"/>
    <w:rsid w:val="007F09E7"/>
    <w:rsid w:val="007F1186"/>
    <w:rsid w:val="007F1725"/>
    <w:rsid w:val="007F5EA9"/>
    <w:rsid w:val="00801292"/>
    <w:rsid w:val="00804934"/>
    <w:rsid w:val="008049F2"/>
    <w:rsid w:val="00805B12"/>
    <w:rsid w:val="008062C6"/>
    <w:rsid w:val="008157BC"/>
    <w:rsid w:val="00826E6F"/>
    <w:rsid w:val="00827819"/>
    <w:rsid w:val="0083132A"/>
    <w:rsid w:val="00831FD3"/>
    <w:rsid w:val="0083681D"/>
    <w:rsid w:val="00836BCE"/>
    <w:rsid w:val="0083715C"/>
    <w:rsid w:val="008410AC"/>
    <w:rsid w:val="008417A4"/>
    <w:rsid w:val="00841C69"/>
    <w:rsid w:val="00842FFC"/>
    <w:rsid w:val="00843F8B"/>
    <w:rsid w:val="008456D5"/>
    <w:rsid w:val="00846D8F"/>
    <w:rsid w:val="00864B94"/>
    <w:rsid w:val="00876041"/>
    <w:rsid w:val="0088654F"/>
    <w:rsid w:val="00886F50"/>
    <w:rsid w:val="008873A5"/>
    <w:rsid w:val="00894BDF"/>
    <w:rsid w:val="008A40F8"/>
    <w:rsid w:val="008A72A2"/>
    <w:rsid w:val="008A7F45"/>
    <w:rsid w:val="008B53E0"/>
    <w:rsid w:val="008B6DED"/>
    <w:rsid w:val="008C4011"/>
    <w:rsid w:val="008C4268"/>
    <w:rsid w:val="008C49FC"/>
    <w:rsid w:val="008D38C1"/>
    <w:rsid w:val="008D5D1D"/>
    <w:rsid w:val="008D7179"/>
    <w:rsid w:val="008E2FCD"/>
    <w:rsid w:val="008F028C"/>
    <w:rsid w:val="008F1352"/>
    <w:rsid w:val="008F47C9"/>
    <w:rsid w:val="008F68FC"/>
    <w:rsid w:val="008F70A8"/>
    <w:rsid w:val="00902E4E"/>
    <w:rsid w:val="009030AD"/>
    <w:rsid w:val="00903611"/>
    <w:rsid w:val="009101C6"/>
    <w:rsid w:val="009142FE"/>
    <w:rsid w:val="00914FC5"/>
    <w:rsid w:val="00917125"/>
    <w:rsid w:val="0092114B"/>
    <w:rsid w:val="0092388D"/>
    <w:rsid w:val="00930408"/>
    <w:rsid w:val="00936210"/>
    <w:rsid w:val="00936BD5"/>
    <w:rsid w:val="009372C2"/>
    <w:rsid w:val="00946ADD"/>
    <w:rsid w:val="00947900"/>
    <w:rsid w:val="00950110"/>
    <w:rsid w:val="00950663"/>
    <w:rsid w:val="009534FA"/>
    <w:rsid w:val="0095519E"/>
    <w:rsid w:val="00955293"/>
    <w:rsid w:val="0095632E"/>
    <w:rsid w:val="009610E9"/>
    <w:rsid w:val="009632C2"/>
    <w:rsid w:val="00966069"/>
    <w:rsid w:val="00966B60"/>
    <w:rsid w:val="00971D68"/>
    <w:rsid w:val="0097617D"/>
    <w:rsid w:val="00980F3C"/>
    <w:rsid w:val="009812ED"/>
    <w:rsid w:val="009816E3"/>
    <w:rsid w:val="00982025"/>
    <w:rsid w:val="009842D5"/>
    <w:rsid w:val="00984D1D"/>
    <w:rsid w:val="009874A2"/>
    <w:rsid w:val="009941E1"/>
    <w:rsid w:val="00995699"/>
    <w:rsid w:val="009A4262"/>
    <w:rsid w:val="009B38F4"/>
    <w:rsid w:val="009B4ECA"/>
    <w:rsid w:val="009B5C95"/>
    <w:rsid w:val="009C2800"/>
    <w:rsid w:val="009C328A"/>
    <w:rsid w:val="009D2F20"/>
    <w:rsid w:val="009D4535"/>
    <w:rsid w:val="009D65E3"/>
    <w:rsid w:val="009D6D3A"/>
    <w:rsid w:val="009E1458"/>
    <w:rsid w:val="009E24B0"/>
    <w:rsid w:val="009E2AB4"/>
    <w:rsid w:val="009E2DCB"/>
    <w:rsid w:val="009E496C"/>
    <w:rsid w:val="009F1DC5"/>
    <w:rsid w:val="009F248A"/>
    <w:rsid w:val="009F3284"/>
    <w:rsid w:val="009F4A59"/>
    <w:rsid w:val="00A0490D"/>
    <w:rsid w:val="00A10671"/>
    <w:rsid w:val="00A10B10"/>
    <w:rsid w:val="00A1101F"/>
    <w:rsid w:val="00A1197F"/>
    <w:rsid w:val="00A14D44"/>
    <w:rsid w:val="00A1598E"/>
    <w:rsid w:val="00A17AE1"/>
    <w:rsid w:val="00A205C7"/>
    <w:rsid w:val="00A231B3"/>
    <w:rsid w:val="00A27EA4"/>
    <w:rsid w:val="00A315FA"/>
    <w:rsid w:val="00A321F1"/>
    <w:rsid w:val="00A32359"/>
    <w:rsid w:val="00A32390"/>
    <w:rsid w:val="00A33547"/>
    <w:rsid w:val="00A3546D"/>
    <w:rsid w:val="00A3604F"/>
    <w:rsid w:val="00A44411"/>
    <w:rsid w:val="00A46C50"/>
    <w:rsid w:val="00A46E58"/>
    <w:rsid w:val="00A50ADD"/>
    <w:rsid w:val="00A50DF4"/>
    <w:rsid w:val="00A534EC"/>
    <w:rsid w:val="00A540E5"/>
    <w:rsid w:val="00A55B82"/>
    <w:rsid w:val="00A56205"/>
    <w:rsid w:val="00A564B6"/>
    <w:rsid w:val="00A5658A"/>
    <w:rsid w:val="00A56B33"/>
    <w:rsid w:val="00A573CE"/>
    <w:rsid w:val="00A57F6F"/>
    <w:rsid w:val="00A60925"/>
    <w:rsid w:val="00A61624"/>
    <w:rsid w:val="00A62827"/>
    <w:rsid w:val="00A634FF"/>
    <w:rsid w:val="00A63C34"/>
    <w:rsid w:val="00A653CF"/>
    <w:rsid w:val="00A663E4"/>
    <w:rsid w:val="00A669AC"/>
    <w:rsid w:val="00A67AA1"/>
    <w:rsid w:val="00A71DA0"/>
    <w:rsid w:val="00A73FC4"/>
    <w:rsid w:val="00A76F8F"/>
    <w:rsid w:val="00A80EBF"/>
    <w:rsid w:val="00A81091"/>
    <w:rsid w:val="00A81B0D"/>
    <w:rsid w:val="00A91572"/>
    <w:rsid w:val="00A91A2A"/>
    <w:rsid w:val="00A92AA9"/>
    <w:rsid w:val="00A93644"/>
    <w:rsid w:val="00A9551B"/>
    <w:rsid w:val="00AA7F48"/>
    <w:rsid w:val="00AB0D5F"/>
    <w:rsid w:val="00AC2393"/>
    <w:rsid w:val="00AC64D5"/>
    <w:rsid w:val="00AD02CA"/>
    <w:rsid w:val="00AD1940"/>
    <w:rsid w:val="00AE10C9"/>
    <w:rsid w:val="00AE1E2C"/>
    <w:rsid w:val="00AE7864"/>
    <w:rsid w:val="00AF1F9E"/>
    <w:rsid w:val="00AF3D82"/>
    <w:rsid w:val="00AF6BD3"/>
    <w:rsid w:val="00B00F4A"/>
    <w:rsid w:val="00B0299F"/>
    <w:rsid w:val="00B04684"/>
    <w:rsid w:val="00B11593"/>
    <w:rsid w:val="00B20692"/>
    <w:rsid w:val="00B21A12"/>
    <w:rsid w:val="00B220C0"/>
    <w:rsid w:val="00B2266E"/>
    <w:rsid w:val="00B23BC1"/>
    <w:rsid w:val="00B25725"/>
    <w:rsid w:val="00B27338"/>
    <w:rsid w:val="00B3225E"/>
    <w:rsid w:val="00B34E62"/>
    <w:rsid w:val="00B35F80"/>
    <w:rsid w:val="00B432A2"/>
    <w:rsid w:val="00B45FD5"/>
    <w:rsid w:val="00B529F5"/>
    <w:rsid w:val="00B52C97"/>
    <w:rsid w:val="00B52C9B"/>
    <w:rsid w:val="00B53827"/>
    <w:rsid w:val="00B54425"/>
    <w:rsid w:val="00B55A5E"/>
    <w:rsid w:val="00B62EEB"/>
    <w:rsid w:val="00B704CE"/>
    <w:rsid w:val="00B72DFE"/>
    <w:rsid w:val="00B73EB3"/>
    <w:rsid w:val="00B752AE"/>
    <w:rsid w:val="00B762E0"/>
    <w:rsid w:val="00B77D06"/>
    <w:rsid w:val="00B83F9A"/>
    <w:rsid w:val="00B92BC0"/>
    <w:rsid w:val="00B95C0D"/>
    <w:rsid w:val="00BA4C00"/>
    <w:rsid w:val="00BB3BC6"/>
    <w:rsid w:val="00BB50CB"/>
    <w:rsid w:val="00BB6EAD"/>
    <w:rsid w:val="00BB7AD3"/>
    <w:rsid w:val="00BC0AE8"/>
    <w:rsid w:val="00BC0E20"/>
    <w:rsid w:val="00BC2320"/>
    <w:rsid w:val="00BC2EDD"/>
    <w:rsid w:val="00BC7E3B"/>
    <w:rsid w:val="00BD7A8C"/>
    <w:rsid w:val="00BF55D2"/>
    <w:rsid w:val="00BF6B92"/>
    <w:rsid w:val="00BF7E95"/>
    <w:rsid w:val="00C00714"/>
    <w:rsid w:val="00C0371D"/>
    <w:rsid w:val="00C0455E"/>
    <w:rsid w:val="00C075AE"/>
    <w:rsid w:val="00C076B2"/>
    <w:rsid w:val="00C101BE"/>
    <w:rsid w:val="00C1135A"/>
    <w:rsid w:val="00C14669"/>
    <w:rsid w:val="00C14A08"/>
    <w:rsid w:val="00C14F0C"/>
    <w:rsid w:val="00C222F1"/>
    <w:rsid w:val="00C25014"/>
    <w:rsid w:val="00C25914"/>
    <w:rsid w:val="00C3279D"/>
    <w:rsid w:val="00C32DA3"/>
    <w:rsid w:val="00C36C08"/>
    <w:rsid w:val="00C3720D"/>
    <w:rsid w:val="00C40237"/>
    <w:rsid w:val="00C405A0"/>
    <w:rsid w:val="00C474DD"/>
    <w:rsid w:val="00C6186B"/>
    <w:rsid w:val="00C6566F"/>
    <w:rsid w:val="00C67891"/>
    <w:rsid w:val="00C67A66"/>
    <w:rsid w:val="00C74C75"/>
    <w:rsid w:val="00C84178"/>
    <w:rsid w:val="00C843E2"/>
    <w:rsid w:val="00C85DE5"/>
    <w:rsid w:val="00C86969"/>
    <w:rsid w:val="00C90AC2"/>
    <w:rsid w:val="00C92472"/>
    <w:rsid w:val="00C925B9"/>
    <w:rsid w:val="00C92D7D"/>
    <w:rsid w:val="00C93132"/>
    <w:rsid w:val="00C93297"/>
    <w:rsid w:val="00C9329D"/>
    <w:rsid w:val="00C97D6A"/>
    <w:rsid w:val="00CB08A0"/>
    <w:rsid w:val="00CB28E4"/>
    <w:rsid w:val="00CB4D63"/>
    <w:rsid w:val="00CB7C90"/>
    <w:rsid w:val="00CC381B"/>
    <w:rsid w:val="00CC4046"/>
    <w:rsid w:val="00CD0D1E"/>
    <w:rsid w:val="00CD19A0"/>
    <w:rsid w:val="00CD2BB4"/>
    <w:rsid w:val="00CD5354"/>
    <w:rsid w:val="00CD7F78"/>
    <w:rsid w:val="00CE018D"/>
    <w:rsid w:val="00CE525D"/>
    <w:rsid w:val="00CE5541"/>
    <w:rsid w:val="00CF1A43"/>
    <w:rsid w:val="00CF3214"/>
    <w:rsid w:val="00CF3A02"/>
    <w:rsid w:val="00CF7224"/>
    <w:rsid w:val="00CF75C9"/>
    <w:rsid w:val="00D031EA"/>
    <w:rsid w:val="00D04AC9"/>
    <w:rsid w:val="00D067F5"/>
    <w:rsid w:val="00D068D1"/>
    <w:rsid w:val="00D0780B"/>
    <w:rsid w:val="00D1301E"/>
    <w:rsid w:val="00D143A7"/>
    <w:rsid w:val="00D15016"/>
    <w:rsid w:val="00D16E47"/>
    <w:rsid w:val="00D1708C"/>
    <w:rsid w:val="00D249B0"/>
    <w:rsid w:val="00D26F3C"/>
    <w:rsid w:val="00D31DE6"/>
    <w:rsid w:val="00D322B2"/>
    <w:rsid w:val="00D339FF"/>
    <w:rsid w:val="00D35D9C"/>
    <w:rsid w:val="00D400E9"/>
    <w:rsid w:val="00D400FA"/>
    <w:rsid w:val="00D436F2"/>
    <w:rsid w:val="00D44756"/>
    <w:rsid w:val="00D53023"/>
    <w:rsid w:val="00D564C7"/>
    <w:rsid w:val="00D56AB1"/>
    <w:rsid w:val="00D60BCD"/>
    <w:rsid w:val="00D63595"/>
    <w:rsid w:val="00D63A4B"/>
    <w:rsid w:val="00D7027D"/>
    <w:rsid w:val="00D7265A"/>
    <w:rsid w:val="00D72B77"/>
    <w:rsid w:val="00D72F90"/>
    <w:rsid w:val="00D73670"/>
    <w:rsid w:val="00D75CEA"/>
    <w:rsid w:val="00D81AC8"/>
    <w:rsid w:val="00D8334A"/>
    <w:rsid w:val="00D906B3"/>
    <w:rsid w:val="00D9072D"/>
    <w:rsid w:val="00D919CD"/>
    <w:rsid w:val="00D962CB"/>
    <w:rsid w:val="00DA0557"/>
    <w:rsid w:val="00DA4187"/>
    <w:rsid w:val="00DA54AA"/>
    <w:rsid w:val="00DA61EB"/>
    <w:rsid w:val="00DB1684"/>
    <w:rsid w:val="00DB4E2C"/>
    <w:rsid w:val="00DB541D"/>
    <w:rsid w:val="00DB7295"/>
    <w:rsid w:val="00DB74B9"/>
    <w:rsid w:val="00DB7BF4"/>
    <w:rsid w:val="00DC1A5E"/>
    <w:rsid w:val="00DC6857"/>
    <w:rsid w:val="00DC6F4A"/>
    <w:rsid w:val="00DC762A"/>
    <w:rsid w:val="00DD16CC"/>
    <w:rsid w:val="00DD6BB8"/>
    <w:rsid w:val="00DE10D8"/>
    <w:rsid w:val="00DE133A"/>
    <w:rsid w:val="00DE3365"/>
    <w:rsid w:val="00DE6BA7"/>
    <w:rsid w:val="00DE6C00"/>
    <w:rsid w:val="00DF08DF"/>
    <w:rsid w:val="00DF2715"/>
    <w:rsid w:val="00DF5592"/>
    <w:rsid w:val="00DF6104"/>
    <w:rsid w:val="00DF671C"/>
    <w:rsid w:val="00DF6F3E"/>
    <w:rsid w:val="00E03279"/>
    <w:rsid w:val="00E118F3"/>
    <w:rsid w:val="00E13181"/>
    <w:rsid w:val="00E1579C"/>
    <w:rsid w:val="00E16CB8"/>
    <w:rsid w:val="00E26A05"/>
    <w:rsid w:val="00E30846"/>
    <w:rsid w:val="00E30B9C"/>
    <w:rsid w:val="00E40847"/>
    <w:rsid w:val="00E42026"/>
    <w:rsid w:val="00E42A27"/>
    <w:rsid w:val="00E45020"/>
    <w:rsid w:val="00E45FFE"/>
    <w:rsid w:val="00E473D8"/>
    <w:rsid w:val="00E54AD3"/>
    <w:rsid w:val="00E65C01"/>
    <w:rsid w:val="00E66EF4"/>
    <w:rsid w:val="00E71593"/>
    <w:rsid w:val="00E71773"/>
    <w:rsid w:val="00E7382E"/>
    <w:rsid w:val="00E73E05"/>
    <w:rsid w:val="00E746BA"/>
    <w:rsid w:val="00E7713E"/>
    <w:rsid w:val="00E86B74"/>
    <w:rsid w:val="00E92EF3"/>
    <w:rsid w:val="00E9636F"/>
    <w:rsid w:val="00EA04F0"/>
    <w:rsid w:val="00EA0747"/>
    <w:rsid w:val="00EA41D9"/>
    <w:rsid w:val="00EA562C"/>
    <w:rsid w:val="00EA58B3"/>
    <w:rsid w:val="00EA6778"/>
    <w:rsid w:val="00EA73E7"/>
    <w:rsid w:val="00EB464E"/>
    <w:rsid w:val="00EB4A91"/>
    <w:rsid w:val="00EC2F3E"/>
    <w:rsid w:val="00EC3AF7"/>
    <w:rsid w:val="00EC5497"/>
    <w:rsid w:val="00EC6062"/>
    <w:rsid w:val="00ED5B0A"/>
    <w:rsid w:val="00ED7300"/>
    <w:rsid w:val="00ED7614"/>
    <w:rsid w:val="00EE082B"/>
    <w:rsid w:val="00EE38B3"/>
    <w:rsid w:val="00EE3948"/>
    <w:rsid w:val="00EE3BAE"/>
    <w:rsid w:val="00EF2CDB"/>
    <w:rsid w:val="00EF45CA"/>
    <w:rsid w:val="00EF4620"/>
    <w:rsid w:val="00EF51A4"/>
    <w:rsid w:val="00F016E1"/>
    <w:rsid w:val="00F127D7"/>
    <w:rsid w:val="00F1622F"/>
    <w:rsid w:val="00F213BA"/>
    <w:rsid w:val="00F2637D"/>
    <w:rsid w:val="00F270E5"/>
    <w:rsid w:val="00F30F48"/>
    <w:rsid w:val="00F316F7"/>
    <w:rsid w:val="00F37398"/>
    <w:rsid w:val="00F4067A"/>
    <w:rsid w:val="00F41249"/>
    <w:rsid w:val="00F46F73"/>
    <w:rsid w:val="00F476F8"/>
    <w:rsid w:val="00F47C11"/>
    <w:rsid w:val="00F64CB0"/>
    <w:rsid w:val="00F7061F"/>
    <w:rsid w:val="00F70D07"/>
    <w:rsid w:val="00F74962"/>
    <w:rsid w:val="00F75E88"/>
    <w:rsid w:val="00F77995"/>
    <w:rsid w:val="00F77DBC"/>
    <w:rsid w:val="00F83B13"/>
    <w:rsid w:val="00F85394"/>
    <w:rsid w:val="00F91357"/>
    <w:rsid w:val="00F91947"/>
    <w:rsid w:val="00F91B5B"/>
    <w:rsid w:val="00F92A21"/>
    <w:rsid w:val="00F97249"/>
    <w:rsid w:val="00F97EC5"/>
    <w:rsid w:val="00FA03C9"/>
    <w:rsid w:val="00FA0C44"/>
    <w:rsid w:val="00FA5A38"/>
    <w:rsid w:val="00FA7BB5"/>
    <w:rsid w:val="00FA7BE7"/>
    <w:rsid w:val="00FB008A"/>
    <w:rsid w:val="00FB0625"/>
    <w:rsid w:val="00FB06A9"/>
    <w:rsid w:val="00FB1112"/>
    <w:rsid w:val="00FC3C41"/>
    <w:rsid w:val="00FC5939"/>
    <w:rsid w:val="00FC76FA"/>
    <w:rsid w:val="00FD046A"/>
    <w:rsid w:val="00FD5BAD"/>
    <w:rsid w:val="00FE1434"/>
    <w:rsid w:val="00FE6EBD"/>
    <w:rsid w:val="00FE73A5"/>
    <w:rsid w:val="00FE7B27"/>
    <w:rsid w:val="00FF326C"/>
    <w:rsid w:val="00FF515D"/>
    <w:rsid w:val="00FF62EC"/>
    <w:rsid w:val="00FF73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205BCB1"/>
  <w15:docId w15:val="{42B2607C-CDAF-476C-B8FA-1DC8EBEA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40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D2BB4"/>
    <w:pPr>
      <w:ind w:left="720"/>
      <w:contextualSpacing/>
    </w:pPr>
  </w:style>
  <w:style w:type="paragraph" w:styleId="NormalWeb">
    <w:name w:val="Normal (Web)"/>
    <w:basedOn w:val="Normal"/>
    <w:uiPriority w:val="99"/>
    <w:semiHidden/>
    <w:unhideWhenUsed/>
    <w:rsid w:val="00CD0D1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D0D1E"/>
    <w:rPr>
      <w:b/>
      <w:bCs/>
    </w:rPr>
  </w:style>
  <w:style w:type="table" w:styleId="Tabelacomgrade">
    <w:name w:val="Table Grid"/>
    <w:basedOn w:val="Tabelanormal"/>
    <w:uiPriority w:val="59"/>
    <w:rsid w:val="008F6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Guideline"/>
    <w:basedOn w:val="Normal"/>
    <w:link w:val="CabealhoChar"/>
    <w:uiPriority w:val="99"/>
    <w:unhideWhenUsed/>
    <w:rsid w:val="00864B94"/>
    <w:pPr>
      <w:tabs>
        <w:tab w:val="center" w:pos="4252"/>
        <w:tab w:val="right" w:pos="8504"/>
      </w:tabs>
      <w:spacing w:after="0" w:line="240" w:lineRule="auto"/>
    </w:pPr>
  </w:style>
  <w:style w:type="character" w:customStyle="1" w:styleId="CabealhoChar">
    <w:name w:val="Cabeçalho Char"/>
    <w:aliases w:val="Guideline Char"/>
    <w:basedOn w:val="Fontepargpadro"/>
    <w:link w:val="Cabealho"/>
    <w:uiPriority w:val="99"/>
    <w:rsid w:val="00864B94"/>
  </w:style>
  <w:style w:type="paragraph" w:styleId="Rodap">
    <w:name w:val="footer"/>
    <w:basedOn w:val="Normal"/>
    <w:link w:val="RodapChar"/>
    <w:uiPriority w:val="99"/>
    <w:unhideWhenUsed/>
    <w:rsid w:val="00864B94"/>
    <w:pPr>
      <w:tabs>
        <w:tab w:val="center" w:pos="4252"/>
        <w:tab w:val="right" w:pos="8504"/>
      </w:tabs>
      <w:spacing w:after="0" w:line="240" w:lineRule="auto"/>
    </w:pPr>
  </w:style>
  <w:style w:type="character" w:customStyle="1" w:styleId="RodapChar">
    <w:name w:val="Rodapé Char"/>
    <w:basedOn w:val="Fontepargpadro"/>
    <w:link w:val="Rodap"/>
    <w:uiPriority w:val="99"/>
    <w:rsid w:val="00864B94"/>
  </w:style>
  <w:style w:type="paragraph" w:styleId="Textodebalo">
    <w:name w:val="Balloon Text"/>
    <w:basedOn w:val="Normal"/>
    <w:link w:val="TextodebaloChar"/>
    <w:uiPriority w:val="99"/>
    <w:semiHidden/>
    <w:unhideWhenUsed/>
    <w:rsid w:val="00864B9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4B94"/>
    <w:rPr>
      <w:rFonts w:ascii="Tahoma" w:hAnsi="Tahoma" w:cs="Tahoma"/>
      <w:sz w:val="16"/>
      <w:szCs w:val="16"/>
    </w:rPr>
  </w:style>
  <w:style w:type="paragraph" w:customStyle="1" w:styleId="BDOTtulo1">
    <w:name w:val="BDO Título 1"/>
    <w:basedOn w:val="Normal"/>
    <w:next w:val="Normal"/>
    <w:uiPriority w:val="99"/>
    <w:rsid w:val="00EC2F3E"/>
    <w:pPr>
      <w:tabs>
        <w:tab w:val="num" w:pos="567"/>
      </w:tabs>
      <w:suppressAutoHyphens/>
      <w:spacing w:after="0" w:line="240" w:lineRule="auto"/>
      <w:ind w:left="567" w:hanging="567"/>
    </w:pPr>
    <w:rPr>
      <w:rFonts w:ascii="Arial Negrito" w:eastAsia="Times New Roman" w:hAnsi="Arial Negrito" w:cs="Times New Roman"/>
      <w:b/>
      <w:caps/>
      <w:szCs w:val="24"/>
      <w:lang w:eastAsia="pt-BR"/>
    </w:rPr>
  </w:style>
  <w:style w:type="character" w:styleId="Nmerodepgina">
    <w:name w:val="page number"/>
    <w:basedOn w:val="Fontepargpadro"/>
    <w:rsid w:val="00300D14"/>
    <w:rPr>
      <w:rFonts w:cs="Times New Roman"/>
    </w:rPr>
  </w:style>
  <w:style w:type="paragraph" w:customStyle="1" w:styleId="Style">
    <w:name w:val="Style"/>
    <w:uiPriority w:val="99"/>
    <w:rsid w:val="00390601"/>
    <w:pPr>
      <w:widowControl w:val="0"/>
      <w:autoSpaceDE w:val="0"/>
      <w:autoSpaceDN w:val="0"/>
      <w:adjustRightInd w:val="0"/>
      <w:spacing w:beforeLines="1" w:after="0" w:line="240" w:lineRule="auto"/>
    </w:pPr>
    <w:rPr>
      <w:rFonts w:ascii="Times New Roman" w:eastAsia="Times New Roman" w:hAnsi="Times New Roman" w:cs="Times New Roman"/>
      <w:sz w:val="24"/>
      <w:szCs w:val="24"/>
      <w:lang w:val="es-AR" w:eastAsia="es-AR"/>
    </w:rPr>
  </w:style>
  <w:style w:type="table" w:customStyle="1" w:styleId="TabeladeGrade4-nfase61">
    <w:name w:val="Tabela de Grade 4 - Ênfase 61"/>
    <w:basedOn w:val="Tabelanormal"/>
    <w:uiPriority w:val="49"/>
    <w:rsid w:val="00D9072D"/>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Hyperlink">
    <w:name w:val="Hyperlink"/>
    <w:basedOn w:val="Fontepargpadro"/>
    <w:uiPriority w:val="99"/>
    <w:unhideWhenUsed/>
    <w:rsid w:val="00930408"/>
    <w:rPr>
      <w:rFonts w:asciiTheme="minorHAnsi" w:hAnsiTheme="minorHAnsi"/>
      <w:b/>
      <w:i w:val="0"/>
      <w:color w:val="1F497D" w:themeColor="text2"/>
      <w:u w:val="single"/>
    </w:rPr>
  </w:style>
  <w:style w:type="character" w:styleId="HiperlinkVisitado">
    <w:name w:val="FollowedHyperlink"/>
    <w:basedOn w:val="Fontepargpadro"/>
    <w:uiPriority w:val="99"/>
    <w:semiHidden/>
    <w:unhideWhenUsed/>
    <w:rsid w:val="00930408"/>
    <w:rPr>
      <w:rFonts w:asciiTheme="minorHAnsi" w:hAnsiTheme="minorHAnsi"/>
      <w:b/>
      <w:color w:val="1F497D"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09850">
      <w:bodyDiv w:val="1"/>
      <w:marLeft w:val="0"/>
      <w:marRight w:val="0"/>
      <w:marTop w:val="0"/>
      <w:marBottom w:val="0"/>
      <w:divBdr>
        <w:top w:val="none" w:sz="0" w:space="0" w:color="auto"/>
        <w:left w:val="none" w:sz="0" w:space="0" w:color="auto"/>
        <w:bottom w:val="none" w:sz="0" w:space="0" w:color="auto"/>
        <w:right w:val="none" w:sz="0" w:space="0" w:color="auto"/>
      </w:divBdr>
    </w:div>
    <w:div w:id="124127045">
      <w:bodyDiv w:val="1"/>
      <w:marLeft w:val="0"/>
      <w:marRight w:val="0"/>
      <w:marTop w:val="0"/>
      <w:marBottom w:val="0"/>
      <w:divBdr>
        <w:top w:val="none" w:sz="0" w:space="0" w:color="auto"/>
        <w:left w:val="none" w:sz="0" w:space="0" w:color="auto"/>
        <w:bottom w:val="none" w:sz="0" w:space="0" w:color="auto"/>
        <w:right w:val="none" w:sz="0" w:space="0" w:color="auto"/>
      </w:divBdr>
    </w:div>
    <w:div w:id="134881403">
      <w:bodyDiv w:val="1"/>
      <w:marLeft w:val="0"/>
      <w:marRight w:val="0"/>
      <w:marTop w:val="0"/>
      <w:marBottom w:val="0"/>
      <w:divBdr>
        <w:top w:val="none" w:sz="0" w:space="0" w:color="auto"/>
        <w:left w:val="none" w:sz="0" w:space="0" w:color="auto"/>
        <w:bottom w:val="none" w:sz="0" w:space="0" w:color="auto"/>
        <w:right w:val="none" w:sz="0" w:space="0" w:color="auto"/>
      </w:divBdr>
    </w:div>
    <w:div w:id="147404806">
      <w:bodyDiv w:val="1"/>
      <w:marLeft w:val="0"/>
      <w:marRight w:val="0"/>
      <w:marTop w:val="0"/>
      <w:marBottom w:val="0"/>
      <w:divBdr>
        <w:top w:val="none" w:sz="0" w:space="0" w:color="auto"/>
        <w:left w:val="none" w:sz="0" w:space="0" w:color="auto"/>
        <w:bottom w:val="none" w:sz="0" w:space="0" w:color="auto"/>
        <w:right w:val="none" w:sz="0" w:space="0" w:color="auto"/>
      </w:divBdr>
    </w:div>
    <w:div w:id="309486391">
      <w:bodyDiv w:val="1"/>
      <w:marLeft w:val="0"/>
      <w:marRight w:val="0"/>
      <w:marTop w:val="0"/>
      <w:marBottom w:val="0"/>
      <w:divBdr>
        <w:top w:val="none" w:sz="0" w:space="0" w:color="auto"/>
        <w:left w:val="none" w:sz="0" w:space="0" w:color="auto"/>
        <w:bottom w:val="none" w:sz="0" w:space="0" w:color="auto"/>
        <w:right w:val="none" w:sz="0" w:space="0" w:color="auto"/>
      </w:divBdr>
    </w:div>
    <w:div w:id="396393413">
      <w:bodyDiv w:val="1"/>
      <w:marLeft w:val="0"/>
      <w:marRight w:val="0"/>
      <w:marTop w:val="0"/>
      <w:marBottom w:val="0"/>
      <w:divBdr>
        <w:top w:val="none" w:sz="0" w:space="0" w:color="auto"/>
        <w:left w:val="none" w:sz="0" w:space="0" w:color="auto"/>
        <w:bottom w:val="none" w:sz="0" w:space="0" w:color="auto"/>
        <w:right w:val="none" w:sz="0" w:space="0" w:color="auto"/>
      </w:divBdr>
    </w:div>
    <w:div w:id="414129588">
      <w:bodyDiv w:val="1"/>
      <w:marLeft w:val="0"/>
      <w:marRight w:val="0"/>
      <w:marTop w:val="0"/>
      <w:marBottom w:val="0"/>
      <w:divBdr>
        <w:top w:val="none" w:sz="0" w:space="0" w:color="auto"/>
        <w:left w:val="none" w:sz="0" w:space="0" w:color="auto"/>
        <w:bottom w:val="none" w:sz="0" w:space="0" w:color="auto"/>
        <w:right w:val="none" w:sz="0" w:space="0" w:color="auto"/>
      </w:divBdr>
    </w:div>
    <w:div w:id="447547771">
      <w:bodyDiv w:val="1"/>
      <w:marLeft w:val="0"/>
      <w:marRight w:val="0"/>
      <w:marTop w:val="0"/>
      <w:marBottom w:val="0"/>
      <w:divBdr>
        <w:top w:val="none" w:sz="0" w:space="0" w:color="auto"/>
        <w:left w:val="none" w:sz="0" w:space="0" w:color="auto"/>
        <w:bottom w:val="none" w:sz="0" w:space="0" w:color="auto"/>
        <w:right w:val="none" w:sz="0" w:space="0" w:color="auto"/>
      </w:divBdr>
    </w:div>
    <w:div w:id="568348704">
      <w:bodyDiv w:val="1"/>
      <w:marLeft w:val="0"/>
      <w:marRight w:val="0"/>
      <w:marTop w:val="0"/>
      <w:marBottom w:val="0"/>
      <w:divBdr>
        <w:top w:val="none" w:sz="0" w:space="0" w:color="auto"/>
        <w:left w:val="none" w:sz="0" w:space="0" w:color="auto"/>
        <w:bottom w:val="none" w:sz="0" w:space="0" w:color="auto"/>
        <w:right w:val="none" w:sz="0" w:space="0" w:color="auto"/>
      </w:divBdr>
    </w:div>
    <w:div w:id="644360735">
      <w:bodyDiv w:val="1"/>
      <w:marLeft w:val="0"/>
      <w:marRight w:val="0"/>
      <w:marTop w:val="0"/>
      <w:marBottom w:val="0"/>
      <w:divBdr>
        <w:top w:val="none" w:sz="0" w:space="0" w:color="auto"/>
        <w:left w:val="none" w:sz="0" w:space="0" w:color="auto"/>
        <w:bottom w:val="none" w:sz="0" w:space="0" w:color="auto"/>
        <w:right w:val="none" w:sz="0" w:space="0" w:color="auto"/>
      </w:divBdr>
    </w:div>
    <w:div w:id="718473467">
      <w:bodyDiv w:val="1"/>
      <w:marLeft w:val="0"/>
      <w:marRight w:val="0"/>
      <w:marTop w:val="0"/>
      <w:marBottom w:val="0"/>
      <w:divBdr>
        <w:top w:val="none" w:sz="0" w:space="0" w:color="auto"/>
        <w:left w:val="none" w:sz="0" w:space="0" w:color="auto"/>
        <w:bottom w:val="none" w:sz="0" w:space="0" w:color="auto"/>
        <w:right w:val="none" w:sz="0" w:space="0" w:color="auto"/>
      </w:divBdr>
    </w:div>
    <w:div w:id="791755088">
      <w:bodyDiv w:val="1"/>
      <w:marLeft w:val="0"/>
      <w:marRight w:val="0"/>
      <w:marTop w:val="0"/>
      <w:marBottom w:val="0"/>
      <w:divBdr>
        <w:top w:val="none" w:sz="0" w:space="0" w:color="auto"/>
        <w:left w:val="none" w:sz="0" w:space="0" w:color="auto"/>
        <w:bottom w:val="none" w:sz="0" w:space="0" w:color="auto"/>
        <w:right w:val="none" w:sz="0" w:space="0" w:color="auto"/>
      </w:divBdr>
    </w:div>
    <w:div w:id="831213788">
      <w:bodyDiv w:val="1"/>
      <w:marLeft w:val="0"/>
      <w:marRight w:val="0"/>
      <w:marTop w:val="0"/>
      <w:marBottom w:val="0"/>
      <w:divBdr>
        <w:top w:val="none" w:sz="0" w:space="0" w:color="auto"/>
        <w:left w:val="none" w:sz="0" w:space="0" w:color="auto"/>
        <w:bottom w:val="none" w:sz="0" w:space="0" w:color="auto"/>
        <w:right w:val="none" w:sz="0" w:space="0" w:color="auto"/>
      </w:divBdr>
    </w:div>
    <w:div w:id="1020815154">
      <w:bodyDiv w:val="1"/>
      <w:marLeft w:val="0"/>
      <w:marRight w:val="0"/>
      <w:marTop w:val="0"/>
      <w:marBottom w:val="0"/>
      <w:divBdr>
        <w:top w:val="none" w:sz="0" w:space="0" w:color="auto"/>
        <w:left w:val="none" w:sz="0" w:space="0" w:color="auto"/>
        <w:bottom w:val="none" w:sz="0" w:space="0" w:color="auto"/>
        <w:right w:val="none" w:sz="0" w:space="0" w:color="auto"/>
      </w:divBdr>
    </w:div>
    <w:div w:id="1261530812">
      <w:bodyDiv w:val="1"/>
      <w:marLeft w:val="0"/>
      <w:marRight w:val="0"/>
      <w:marTop w:val="0"/>
      <w:marBottom w:val="0"/>
      <w:divBdr>
        <w:top w:val="none" w:sz="0" w:space="0" w:color="auto"/>
        <w:left w:val="none" w:sz="0" w:space="0" w:color="auto"/>
        <w:bottom w:val="none" w:sz="0" w:space="0" w:color="auto"/>
        <w:right w:val="none" w:sz="0" w:space="0" w:color="auto"/>
      </w:divBdr>
    </w:div>
    <w:div w:id="1264069059">
      <w:bodyDiv w:val="1"/>
      <w:marLeft w:val="0"/>
      <w:marRight w:val="0"/>
      <w:marTop w:val="0"/>
      <w:marBottom w:val="0"/>
      <w:divBdr>
        <w:top w:val="none" w:sz="0" w:space="0" w:color="auto"/>
        <w:left w:val="none" w:sz="0" w:space="0" w:color="auto"/>
        <w:bottom w:val="none" w:sz="0" w:space="0" w:color="auto"/>
        <w:right w:val="none" w:sz="0" w:space="0" w:color="auto"/>
      </w:divBdr>
    </w:div>
    <w:div w:id="1331131109">
      <w:bodyDiv w:val="1"/>
      <w:marLeft w:val="0"/>
      <w:marRight w:val="0"/>
      <w:marTop w:val="0"/>
      <w:marBottom w:val="0"/>
      <w:divBdr>
        <w:top w:val="none" w:sz="0" w:space="0" w:color="auto"/>
        <w:left w:val="none" w:sz="0" w:space="0" w:color="auto"/>
        <w:bottom w:val="none" w:sz="0" w:space="0" w:color="auto"/>
        <w:right w:val="none" w:sz="0" w:space="0" w:color="auto"/>
      </w:divBdr>
    </w:div>
    <w:div w:id="1634092017">
      <w:bodyDiv w:val="1"/>
      <w:marLeft w:val="0"/>
      <w:marRight w:val="0"/>
      <w:marTop w:val="0"/>
      <w:marBottom w:val="0"/>
      <w:divBdr>
        <w:top w:val="none" w:sz="0" w:space="0" w:color="auto"/>
        <w:left w:val="none" w:sz="0" w:space="0" w:color="auto"/>
        <w:bottom w:val="none" w:sz="0" w:space="0" w:color="auto"/>
        <w:right w:val="none" w:sz="0" w:space="0" w:color="auto"/>
      </w:divBdr>
    </w:div>
    <w:div w:id="1774202913">
      <w:bodyDiv w:val="1"/>
      <w:marLeft w:val="0"/>
      <w:marRight w:val="0"/>
      <w:marTop w:val="0"/>
      <w:marBottom w:val="0"/>
      <w:divBdr>
        <w:top w:val="none" w:sz="0" w:space="0" w:color="auto"/>
        <w:left w:val="none" w:sz="0" w:space="0" w:color="auto"/>
        <w:bottom w:val="none" w:sz="0" w:space="0" w:color="auto"/>
        <w:right w:val="none" w:sz="0" w:space="0" w:color="auto"/>
      </w:divBdr>
    </w:div>
    <w:div w:id="1814447806">
      <w:bodyDiv w:val="1"/>
      <w:marLeft w:val="0"/>
      <w:marRight w:val="0"/>
      <w:marTop w:val="0"/>
      <w:marBottom w:val="0"/>
      <w:divBdr>
        <w:top w:val="none" w:sz="0" w:space="0" w:color="auto"/>
        <w:left w:val="none" w:sz="0" w:space="0" w:color="auto"/>
        <w:bottom w:val="none" w:sz="0" w:space="0" w:color="auto"/>
        <w:right w:val="none" w:sz="0" w:space="0" w:color="auto"/>
      </w:divBdr>
    </w:div>
    <w:div w:id="1927960571">
      <w:bodyDiv w:val="1"/>
      <w:marLeft w:val="0"/>
      <w:marRight w:val="0"/>
      <w:marTop w:val="0"/>
      <w:marBottom w:val="0"/>
      <w:divBdr>
        <w:top w:val="none" w:sz="0" w:space="0" w:color="auto"/>
        <w:left w:val="none" w:sz="0" w:space="0" w:color="auto"/>
        <w:bottom w:val="none" w:sz="0" w:space="0" w:color="auto"/>
        <w:right w:val="none" w:sz="0" w:space="0" w:color="auto"/>
      </w:divBdr>
    </w:div>
    <w:div w:id="1984122125">
      <w:bodyDiv w:val="1"/>
      <w:marLeft w:val="0"/>
      <w:marRight w:val="0"/>
      <w:marTop w:val="0"/>
      <w:marBottom w:val="0"/>
      <w:divBdr>
        <w:top w:val="none" w:sz="0" w:space="0" w:color="auto"/>
        <w:left w:val="none" w:sz="0" w:space="0" w:color="auto"/>
        <w:bottom w:val="none" w:sz="0" w:space="0" w:color="auto"/>
        <w:right w:val="none" w:sz="0" w:space="0" w:color="auto"/>
      </w:divBdr>
    </w:div>
    <w:div w:id="209443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07-2010/2010/lei/l12378.htm" TargetMode="External"/><Relationship Id="rId13" Type="http://schemas.openxmlformats.org/officeDocument/2006/relationships/hyperlink" Target="https://transparencia.caubr.gov.br/variaco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nsparencia.caubr.gov.br/balancofinanceir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lanalto.gov.br/ccivil_03/_Ato2007-2010/2010/Lei/L12378.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parencia.caubr.gov.br/balancoorcamentario/" TargetMode="External"/><Relationship Id="rId5" Type="http://schemas.openxmlformats.org/officeDocument/2006/relationships/webSettings" Target="webSettings.xml"/><Relationship Id="rId15" Type="http://schemas.openxmlformats.org/officeDocument/2006/relationships/hyperlink" Target="https://transparencia.caubr.gov.br/arquivos/resolucao119.pdf" TargetMode="External"/><Relationship Id="rId10" Type="http://schemas.openxmlformats.org/officeDocument/2006/relationships/hyperlink" Target="https://transparencia.caubr.gov.br/balancopatrimoni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ansparencia.caubr.gov.br/arquivos/resolucao139.pdf" TargetMode="External"/><Relationship Id="rId14" Type="http://schemas.openxmlformats.org/officeDocument/2006/relationships/hyperlink" Target="https://transparencia.caubr.gov.br/caix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8446F-001C-4FB8-BB15-B918FFD42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15</Pages>
  <Words>5405</Words>
  <Characters>29190</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w7</dc:creator>
  <cp:lastModifiedBy>Usuário do Windows</cp:lastModifiedBy>
  <cp:revision>7</cp:revision>
  <cp:lastPrinted>2023-02-23T11:53:00Z</cp:lastPrinted>
  <dcterms:created xsi:type="dcterms:W3CDTF">2023-02-16T20:19:00Z</dcterms:created>
  <dcterms:modified xsi:type="dcterms:W3CDTF">2023-02-23T12:15:00Z</dcterms:modified>
</cp:coreProperties>
</file>