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7"/>
        </w:rPr>
      </w:pPr>
    </w:p>
    <w:p>
      <w:pPr>
        <w:pStyle w:val="Heading1"/>
        <w:spacing w:before="52"/>
        <w:ind w:left="270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-776363</wp:posOffset>
            </wp:positionV>
            <wp:extent cx="7555992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INSTRUÇÃO DE SERVIÇO PRES/CSC N° 28, DE 7 DE FEVEREIRO DE 2019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5813"/>
      </w:pPr>
      <w:r>
        <w:rPr/>
        <w:t>Designa gestores e fiscais de contrato e dá outras providências.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60" w:right="1125"/>
        <w:jc w:val="both"/>
      </w:pPr>
      <w:r>
        <w:rPr/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>
      <w:pPr>
        <w:pStyle w:val="BodyText"/>
        <w:spacing w:before="2"/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56" w:val="left" w:leader="none"/>
        </w:tabs>
        <w:spacing w:line="240" w:lineRule="auto" w:before="1" w:after="0"/>
        <w:ind w:left="1560" w:right="1119" w:firstLine="0"/>
        <w:jc w:val="both"/>
        <w:rPr>
          <w:sz w:val="24"/>
        </w:rPr>
      </w:pPr>
      <w:r>
        <w:rPr>
          <w:sz w:val="24"/>
        </w:rPr>
        <w:t>Designar, no âmbito do processo administrativo e contrato de prestação de serviços a seguir identificados, os agentes que se seguem para o desempenho das funções que especifica:</w:t>
      </w:r>
    </w:p>
    <w:p>
      <w:pPr>
        <w:pStyle w:val="BodyText"/>
        <w:spacing w:before="119"/>
        <w:ind w:left="1560"/>
        <w:jc w:val="both"/>
      </w:pPr>
      <w:r>
        <w:rPr/>
        <w:t>1.1) Processo Administrativo n° 211/2018:</w:t>
      </w:r>
    </w:p>
    <w:p>
      <w:pPr>
        <w:pStyle w:val="BodyText"/>
        <w:spacing w:before="120"/>
        <w:ind w:left="1560"/>
        <w:jc w:val="both"/>
      </w:pPr>
      <w:r>
        <w:rPr/>
        <w:t>Contrato de Prestação de Serviços CAU/BR n° 3/2019;</w:t>
      </w:r>
    </w:p>
    <w:p>
      <w:pPr>
        <w:pStyle w:val="BodyText"/>
        <w:ind w:left="1560" w:right="3397"/>
      </w:pPr>
      <w:r>
        <w:rPr/>
        <w:t>Contratante: Conselho de Arquitetura e Urbanismo do Brasil (CAU/BR); Contratado(a): SQUADRA TECNOLOGIA S/A;</w:t>
      </w:r>
    </w:p>
    <w:p>
      <w:pPr>
        <w:pStyle w:val="BodyText"/>
        <w:spacing w:line="293" w:lineRule="exact"/>
        <w:ind w:left="1560"/>
        <w:jc w:val="both"/>
      </w:pPr>
      <w:r>
        <w:rPr/>
        <w:t>Fiscal Técnico: Warley de Moraes Viriato (Coordenador de TI);</w:t>
      </w:r>
    </w:p>
    <w:p>
      <w:pPr>
        <w:pStyle w:val="BodyText"/>
        <w:spacing w:before="2"/>
        <w:ind w:left="1560" w:right="2981"/>
      </w:pPr>
      <w:r>
        <w:rPr/>
        <w:t>Fiscal Requisitante: Francilene de Castro Bezerra (Coordenadora – SICCAU); Gestor 1: Andrei Candiota da Silva (Gerente Geral do CAU/BR);</w:t>
      </w:r>
    </w:p>
    <w:p>
      <w:pPr>
        <w:pStyle w:val="BodyText"/>
        <w:spacing w:line="293" w:lineRule="exact"/>
        <w:ind w:left="1560"/>
        <w:jc w:val="both"/>
      </w:pPr>
      <w:r>
        <w:rPr/>
        <w:t>Gestor 2: Thiago Luís Rosa Ribeiro (Gerente do Centro de Serviços Compartilhados).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23" w:val="left" w:leader="none"/>
        </w:tabs>
        <w:spacing w:line="240" w:lineRule="auto" w:before="0" w:after="0"/>
        <w:ind w:left="1560" w:right="1120" w:firstLine="0"/>
        <w:jc w:val="both"/>
        <w:rPr>
          <w:sz w:val="24"/>
        </w:rPr>
      </w:pPr>
      <w:r>
        <w:rPr>
          <w:sz w:val="24"/>
        </w:rPr>
        <w:t>Sem prejuízo dos efeitos das designações anteriores para os mesmos fins, as atividades de fiscalização e gestão do instrumento jurídico de que trata esta Instrução de Serviço têm início nesta</w:t>
      </w:r>
      <w:r>
        <w:rPr>
          <w:spacing w:val="-3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78" w:val="left" w:leader="none"/>
        </w:tabs>
        <w:spacing w:line="240" w:lineRule="auto" w:before="1" w:after="0"/>
        <w:ind w:left="1560" w:right="1119" w:firstLine="0"/>
        <w:jc w:val="both"/>
        <w:rPr>
          <w:sz w:val="24"/>
        </w:rPr>
      </w:pPr>
      <w:r>
        <w:rPr>
          <w:sz w:val="24"/>
        </w:rPr>
        <w:t>As pessoas designadas nesta Instrução de Serviço deverão exercer as atribuições de fiscalização e gestão do instrumento jurídico nos termos da legislação vigente, em especial  das Leis n° 4.320, de 1964, n° 8.666, de 1993, e n° 10.520, de 2002, cumulativamente com as atribuições ordinárias do emprego público</w:t>
      </w:r>
      <w:r>
        <w:rPr>
          <w:spacing w:val="-2"/>
          <w:sz w:val="24"/>
        </w:rPr>
        <w:t> </w:t>
      </w:r>
      <w:r>
        <w:rPr>
          <w:sz w:val="24"/>
        </w:rPr>
        <w:t>ocupado.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32" w:val="left" w:leader="none"/>
        </w:tabs>
        <w:spacing w:line="240" w:lineRule="auto" w:before="1" w:after="0"/>
        <w:ind w:left="1560" w:right="1126" w:firstLine="0"/>
        <w:jc w:val="both"/>
        <w:rPr>
          <w:sz w:val="24"/>
        </w:rPr>
      </w:pPr>
      <w:r>
        <w:rPr>
          <w:sz w:val="24"/>
        </w:rPr>
        <w:t>Esta Instrução de Serviço entra em vigor na data de sua publicação no sítio eletrônico do CAU/BR na Rede Mundial de Computadores (Internet), no endereço </w:t>
      </w:r>
      <w:hyperlink r:id="rId6">
        <w:r>
          <w:rPr>
            <w:sz w:val="24"/>
          </w:rPr>
          <w:t>www.caubr.gov.br, </w:t>
        </w:r>
      </w:hyperlink>
      <w:r>
        <w:rPr>
          <w:sz w:val="24"/>
        </w:rPr>
        <w:t>com efeitos a partir desta</w:t>
      </w:r>
      <w:r>
        <w:rPr>
          <w:spacing w:val="-6"/>
          <w:sz w:val="24"/>
        </w:rPr>
        <w:t> </w:t>
      </w:r>
      <w:r>
        <w:rPr>
          <w:sz w:val="24"/>
        </w:rPr>
        <w:t>data.</w:t>
      </w:r>
    </w:p>
    <w:p>
      <w:pPr>
        <w:pStyle w:val="BodyText"/>
        <w:spacing w:before="1"/>
      </w:pPr>
    </w:p>
    <w:p>
      <w:pPr>
        <w:pStyle w:val="BodyText"/>
        <w:ind w:left="4082" w:right="3647"/>
        <w:jc w:val="center"/>
      </w:pPr>
      <w:r>
        <w:rPr/>
        <w:t>Brasília, 7 de fevereiro de 2019.</w:t>
      </w:r>
    </w:p>
    <w:p>
      <w:pPr>
        <w:pStyle w:val="BodyText"/>
      </w:pPr>
    </w:p>
    <w:p>
      <w:pPr>
        <w:pStyle w:val="BodyText"/>
      </w:pPr>
    </w:p>
    <w:p>
      <w:pPr>
        <w:pStyle w:val="Heading1"/>
        <w:ind w:left="4082" w:right="3647"/>
        <w:jc w:val="center"/>
      </w:pPr>
      <w:r>
        <w:rPr/>
        <w:t>ANTÔNIO LUCIANO DE LIMA GUIMARÃES</w:t>
      </w:r>
    </w:p>
    <w:p>
      <w:pPr>
        <w:pStyle w:val="BodyText"/>
        <w:ind w:left="4082" w:right="3647"/>
        <w:jc w:val="center"/>
      </w:pPr>
      <w:r>
        <w:rPr/>
        <w:pict>
          <v:group style="position:absolute;margin-left:0pt;margin-top:26.56263pt;width:595pt;height:34.65pt;mso-position-horizontal-relative:page;mso-position-vertical-relative:paragraph;z-index:1072" coordorigin="0,531" coordsize="11900,693">
            <v:shape style="position:absolute;left:0;top:531;width:11900;height:69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691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Presidente do CAU/BR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560" w:hanging="295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20" w:hanging="29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206" w:hanging="2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293" w:hanging="2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379" w:hanging="2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466" w:hanging="2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552" w:hanging="2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639" w:hanging="2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726" w:hanging="29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56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"/>
      <w:ind w:left="1560" w:right="1119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2019-07-16T13:50:45Z</dcterms:created>
  <dcterms:modified xsi:type="dcterms:W3CDTF">2019-07-16T13:50:45Z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2019-07-16T00:00:00Z</vt:filetime>
  </property>
</Properties>
</file>