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15728640">
            <wp:simplePos x="0" y="0"/>
            <wp:positionH relativeFrom="page">
              <wp:posOffset>0</wp:posOffset>
            </wp:positionH>
            <wp:positionV relativeFrom="page">
              <wp:posOffset>374395</wp:posOffset>
            </wp:positionV>
            <wp:extent cx="7558403" cy="56159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8403" cy="561593"/>
                    </a:xfrm>
                    <a:prstGeom prst="rect">
                      <a:avLst/>
                    </a:prstGeom>
                  </pic:spPr>
                </pic:pic>
              </a:graphicData>
            </a:graphic>
          </wp:anchor>
        </w:drawing>
      </w:r>
      <w:r>
        <w:rPr/>
        <w:pict>
          <v:group style="position:absolute;margin-left:.000009pt;margin-top:0pt;width:595.35pt;height:841.8pt;mso-position-horizontal-relative:page;mso-position-vertical-relative:page;z-index:15729152" coordorigin="0,0" coordsize="11907,16836">
            <v:shape style="position:absolute;left:1961;top:15953;width:8610;height:86" coordorigin="1961,15954" coordsize="8610,86" path="m6266,15954l1961,15997,6266,16040,10571,15997,6266,15954xe" filled="true" fillcolor="#bebebe" stroked="false">
              <v:path arrowok="t"/>
              <v:fill type="solid"/>
            </v:shape>
            <v:shape style="position:absolute;left:1961;top:15953;width:8610;height:86" coordorigin="1961,15954" coordsize="8610,86" path="m1961,15997l6266,15954,10571,15997,6266,16040,1961,15997xe" filled="false" stroked="true" strokeweight=".75pt" strokecolor="#bebebe">
              <v:path arrowok="t"/>
              <v:stroke dashstyle="solid"/>
            </v:shape>
            <v:shape style="position:absolute;left:0;top:0;width:11907;height:16836"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0"/>
        </w:rPr>
      </w:pPr>
    </w:p>
    <w:p>
      <w:pPr>
        <w:spacing w:before="56"/>
        <w:ind w:left="1513" w:right="942" w:firstLine="0"/>
        <w:jc w:val="center"/>
        <w:rPr>
          <w:sz w:val="22"/>
        </w:rPr>
      </w:pPr>
      <w:r>
        <w:rPr>
          <w:sz w:val="22"/>
        </w:rPr>
        <w:t>1/92</w:t>
      </w:r>
    </w:p>
    <w:p>
      <w:pPr>
        <w:spacing w:after="0"/>
        <w:jc w:val="center"/>
        <w:rPr>
          <w:sz w:val="22"/>
        </w:rPr>
        <w:sectPr>
          <w:type w:val="continuous"/>
          <w:pgSz w:w="11910" w:h="16840"/>
          <w:pgMar w:top="580" w:bottom="280" w:left="0" w:right="0"/>
        </w:sectPr>
      </w:pPr>
    </w:p>
    <w:p>
      <w:pPr>
        <w:pStyle w:val="BodyText"/>
        <w:spacing w:before="5"/>
        <w:rPr>
          <w:sz w:val="14"/>
        </w:rPr>
      </w:pPr>
    </w:p>
    <w:p>
      <w:pPr>
        <w:pStyle w:val="Heading5"/>
        <w:spacing w:before="51"/>
      </w:pPr>
      <w:r>
        <w:rPr/>
        <w:t>CONSELHO DE ARQUITETURA E URBANISMO DO BRASIL – CAU/BR</w:t>
      </w:r>
    </w:p>
    <w:p>
      <w:pPr>
        <w:spacing w:before="183"/>
        <w:ind w:left="1702" w:right="0" w:firstLine="0"/>
        <w:jc w:val="left"/>
        <w:rPr>
          <w:b/>
          <w:sz w:val="24"/>
        </w:rPr>
      </w:pPr>
      <w:r>
        <w:rPr>
          <w:b/>
          <w:sz w:val="24"/>
        </w:rPr>
        <w:t>SEPS/EQ. Edifício General Alencastro 702/902; Conjunto B, Bloco A; Brasília/DF</w:t>
      </w:r>
    </w:p>
    <w:p>
      <w:pPr>
        <w:pStyle w:val="BodyText"/>
        <w:rPr>
          <w:b/>
        </w:rPr>
      </w:pPr>
    </w:p>
    <w:p>
      <w:pPr>
        <w:pStyle w:val="Heading5"/>
        <w:spacing w:line="372" w:lineRule="auto" w:before="160"/>
        <w:ind w:right="5309"/>
      </w:pPr>
      <w:r>
        <w:rPr/>
        <w:t>Antônio Luciano de Lima Guimarães | Presidente Conselho Diretor</w:t>
      </w:r>
    </w:p>
    <w:p>
      <w:pPr>
        <w:pStyle w:val="BodyText"/>
        <w:tabs>
          <w:tab w:pos="5247" w:val="left" w:leader="none"/>
        </w:tabs>
        <w:spacing w:line="290" w:lineRule="exact"/>
        <w:ind w:left="1702"/>
      </w:pPr>
      <w:r>
        <w:rPr/>
        <w:t>Andrea Lucia</w:t>
      </w:r>
      <w:r>
        <w:rPr>
          <w:spacing w:val="-5"/>
        </w:rPr>
        <w:t> </w:t>
      </w:r>
      <w:r>
        <w:rPr/>
        <w:t>Vilella</w:t>
      </w:r>
      <w:r>
        <w:rPr>
          <w:spacing w:val="-2"/>
        </w:rPr>
        <w:t> </w:t>
      </w:r>
      <w:r>
        <w:rPr/>
        <w:t>Arruda</w:t>
        <w:tab/>
        <w:t>| Coord. Comissão de Ensino e</w:t>
      </w:r>
      <w:r>
        <w:rPr>
          <w:spacing w:val="-1"/>
        </w:rPr>
        <w:t> </w:t>
      </w:r>
      <w:r>
        <w:rPr/>
        <w:t>Formação</w:t>
      </w:r>
    </w:p>
    <w:p>
      <w:pPr>
        <w:pStyle w:val="BodyText"/>
        <w:tabs>
          <w:tab w:pos="5247" w:val="left" w:leader="none"/>
        </w:tabs>
        <w:spacing w:before="161"/>
        <w:ind w:left="1702"/>
      </w:pPr>
      <w:r>
        <w:rPr/>
        <w:t>Guivaldo</w:t>
      </w:r>
      <w:r>
        <w:rPr>
          <w:spacing w:val="-3"/>
        </w:rPr>
        <w:t> </w:t>
      </w:r>
      <w:r>
        <w:rPr/>
        <w:t>D’Alexandria</w:t>
      </w:r>
      <w:r>
        <w:rPr>
          <w:spacing w:val="-3"/>
        </w:rPr>
        <w:t> </w:t>
      </w:r>
      <w:r>
        <w:rPr/>
        <w:t>Baptista</w:t>
        <w:tab/>
        <w:t>| Coord. Comissão de Ética e</w:t>
      </w:r>
      <w:r>
        <w:rPr>
          <w:spacing w:val="1"/>
        </w:rPr>
        <w:t> </w:t>
      </w:r>
      <w:r>
        <w:rPr/>
        <w:t>Disciplina</w:t>
      </w:r>
    </w:p>
    <w:p>
      <w:pPr>
        <w:pStyle w:val="BodyText"/>
        <w:tabs>
          <w:tab w:pos="5247" w:val="left" w:leader="none"/>
        </w:tabs>
        <w:spacing w:line="372" w:lineRule="auto" w:before="161"/>
        <w:ind w:left="1702" w:right="1663"/>
      </w:pPr>
      <w:r>
        <w:rPr/>
        <w:t>Jeferson</w:t>
      </w:r>
      <w:r>
        <w:rPr>
          <w:spacing w:val="-2"/>
        </w:rPr>
        <w:t> </w:t>
      </w:r>
      <w:r>
        <w:rPr/>
        <w:t>Dantas</w:t>
      </w:r>
      <w:r>
        <w:rPr>
          <w:spacing w:val="-3"/>
        </w:rPr>
        <w:t> </w:t>
      </w:r>
      <w:r>
        <w:rPr/>
        <w:t>Navolar</w:t>
        <w:tab/>
        <w:t>| Coord. Comissão de Organização e Administração Patrícia Silva Luz</w:t>
      </w:r>
      <w:r>
        <w:rPr>
          <w:spacing w:val="-6"/>
        </w:rPr>
        <w:t> </w:t>
      </w:r>
      <w:r>
        <w:rPr/>
        <w:t>de</w:t>
      </w:r>
      <w:r>
        <w:rPr>
          <w:spacing w:val="-2"/>
        </w:rPr>
        <w:t> </w:t>
      </w:r>
      <w:r>
        <w:rPr/>
        <w:t>Macedo</w:t>
        <w:tab/>
        <w:t>| Coord. da Comissão de Exercício</w:t>
      </w:r>
      <w:r>
        <w:rPr>
          <w:spacing w:val="-10"/>
        </w:rPr>
        <w:t> </w:t>
      </w:r>
      <w:r>
        <w:rPr/>
        <w:t>Profissional</w:t>
      </w:r>
    </w:p>
    <w:p>
      <w:pPr>
        <w:pStyle w:val="BodyText"/>
        <w:tabs>
          <w:tab w:pos="5247" w:val="left" w:leader="none"/>
        </w:tabs>
        <w:spacing w:line="290" w:lineRule="exact"/>
        <w:ind w:left="1702"/>
      </w:pPr>
      <w:r>
        <w:rPr/>
        <w:t>Raul Wanderley</w:t>
      </w:r>
      <w:r>
        <w:rPr>
          <w:spacing w:val="-2"/>
        </w:rPr>
        <w:t> </w:t>
      </w:r>
      <w:r>
        <w:rPr/>
        <w:t>Gradim</w:t>
        <w:tab/>
        <w:t>| Coord. da Comissão de Planejamento e</w:t>
      </w:r>
      <w:r>
        <w:rPr>
          <w:spacing w:val="-8"/>
        </w:rPr>
        <w:t> </w:t>
      </w:r>
      <w:r>
        <w:rPr/>
        <w:t>Finanças</w:t>
      </w:r>
    </w:p>
    <w:p>
      <w:pPr>
        <w:pStyle w:val="BodyText"/>
      </w:pPr>
    </w:p>
    <w:p>
      <w:pPr>
        <w:pStyle w:val="Heading5"/>
        <w:spacing w:before="160"/>
      </w:pPr>
      <w:r>
        <w:rPr/>
        <w:t>Comissão de Planejamento e Finanças</w:t>
      </w:r>
    </w:p>
    <w:p>
      <w:pPr>
        <w:pStyle w:val="BodyText"/>
        <w:tabs>
          <w:tab w:pos="4539" w:val="left" w:leader="none"/>
        </w:tabs>
        <w:spacing w:line="369" w:lineRule="auto" w:before="161"/>
        <w:ind w:left="1702" w:right="4968"/>
      </w:pPr>
      <w:r>
        <w:rPr/>
        <w:t>Raul Wanderley</w:t>
      </w:r>
      <w:r>
        <w:rPr>
          <w:spacing w:val="-2"/>
        </w:rPr>
        <w:t> </w:t>
      </w:r>
      <w:r>
        <w:rPr/>
        <w:t>Gradim</w:t>
        <w:tab/>
        <w:t>|    Coordenador Osvaldo Abrão</w:t>
      </w:r>
      <w:r>
        <w:rPr>
          <w:spacing w:val="-4"/>
        </w:rPr>
        <w:t> </w:t>
      </w:r>
      <w:r>
        <w:rPr/>
        <w:t>de</w:t>
      </w:r>
      <w:r>
        <w:rPr>
          <w:spacing w:val="-1"/>
        </w:rPr>
        <w:t> </w:t>
      </w:r>
      <w:r>
        <w:rPr/>
        <w:t>Souza</w:t>
        <w:tab/>
        <w:t>| Coordenador Adjunto Eduardo Pasquinelli</w:t>
      </w:r>
      <w:r>
        <w:rPr>
          <w:spacing w:val="-2"/>
        </w:rPr>
        <w:t> </w:t>
      </w:r>
      <w:r>
        <w:rPr/>
        <w:t>Rocio</w:t>
      </w:r>
    </w:p>
    <w:p>
      <w:pPr>
        <w:pStyle w:val="BodyText"/>
        <w:spacing w:before="5"/>
        <w:ind w:left="1702"/>
      </w:pPr>
      <w:r>
        <w:rPr/>
        <w:t>Nádia Somekh</w:t>
      </w:r>
    </w:p>
    <w:p>
      <w:pPr>
        <w:pStyle w:val="BodyText"/>
        <w:spacing w:before="161"/>
        <w:ind w:left="1702"/>
      </w:pPr>
      <w:r>
        <w:rPr/>
        <w:t>Wilson Fernando Vargas de Andrade</w:t>
      </w:r>
    </w:p>
    <w:p>
      <w:pPr>
        <w:pStyle w:val="Heading5"/>
        <w:spacing w:line="740" w:lineRule="atLeast" w:before="6"/>
        <w:ind w:right="6934"/>
      </w:pPr>
      <w:r>
        <w:rPr/>
        <w:t>Eduardo Pereira | Gerente-Geral Coordenação e Elaboração</w:t>
      </w:r>
    </w:p>
    <w:p>
      <w:pPr>
        <w:pStyle w:val="BodyText"/>
        <w:spacing w:before="165"/>
        <w:ind w:left="1702"/>
      </w:pPr>
      <w:r>
        <w:rPr/>
        <w:t>Gerência de Planejamento e Gestão Estratégica</w:t>
      </w:r>
    </w:p>
    <w:p>
      <w:pPr>
        <w:pStyle w:val="Heading5"/>
        <w:spacing w:before="161"/>
      </w:pPr>
      <w:r>
        <w:rPr/>
        <w:t>Equipe de Elaboração</w:t>
      </w:r>
    </w:p>
    <w:p>
      <w:pPr>
        <w:pStyle w:val="BodyText"/>
        <w:tabs>
          <w:tab w:pos="4539" w:val="left" w:leader="none"/>
        </w:tabs>
        <w:spacing w:line="369" w:lineRule="auto" w:before="161"/>
        <w:ind w:left="1702" w:right="2647"/>
      </w:pPr>
      <w:r>
        <w:rPr/>
        <w:t>Tania Mara</w:t>
      </w:r>
      <w:r>
        <w:rPr>
          <w:spacing w:val="-3"/>
        </w:rPr>
        <w:t> </w:t>
      </w:r>
      <w:r>
        <w:rPr/>
        <w:t>C.</w:t>
      </w:r>
      <w:r>
        <w:rPr>
          <w:spacing w:val="-2"/>
        </w:rPr>
        <w:t> </w:t>
      </w:r>
      <w:r>
        <w:rPr/>
        <w:t>Daldegan</w:t>
        <w:tab/>
        <w:t>| Gerente de Planejamento e Gestão Estratégica Flávia</w:t>
      </w:r>
      <w:r>
        <w:rPr>
          <w:spacing w:val="-2"/>
        </w:rPr>
        <w:t> </w:t>
      </w:r>
      <w:r>
        <w:rPr/>
        <w:t>Rios</w:t>
      </w:r>
      <w:r>
        <w:rPr>
          <w:spacing w:val="-1"/>
        </w:rPr>
        <w:t> </w:t>
      </w:r>
      <w:r>
        <w:rPr/>
        <w:t>Costa</w:t>
        <w:tab/>
        <w:t>| Analista</w:t>
      </w:r>
      <w:r>
        <w:rPr>
          <w:spacing w:val="-1"/>
        </w:rPr>
        <w:t> </w:t>
      </w:r>
      <w:r>
        <w:rPr/>
        <w:t>Técnica</w:t>
      </w:r>
    </w:p>
    <w:p>
      <w:pPr>
        <w:pStyle w:val="BodyText"/>
        <w:tabs>
          <w:tab w:pos="4539" w:val="left" w:leader="none"/>
        </w:tabs>
        <w:spacing w:line="372" w:lineRule="auto" w:before="2"/>
        <w:ind w:left="1702" w:right="5495"/>
      </w:pPr>
      <w:r>
        <w:rPr/>
        <w:t>Marcos Cristino</w:t>
      </w:r>
      <w:r>
        <w:rPr>
          <w:spacing w:val="-4"/>
        </w:rPr>
        <w:t> </w:t>
      </w:r>
      <w:r>
        <w:rPr/>
        <w:t>de Oliveira</w:t>
        <w:tab/>
        <w:t>| Analista Técnico Fabiana</w:t>
      </w:r>
      <w:r>
        <w:rPr>
          <w:spacing w:val="-4"/>
        </w:rPr>
        <w:t> </w:t>
      </w:r>
      <w:r>
        <w:rPr/>
        <w:t>Pereira</w:t>
      </w:r>
      <w:r>
        <w:rPr>
          <w:spacing w:val="-2"/>
        </w:rPr>
        <w:t> </w:t>
      </w:r>
      <w:r>
        <w:rPr/>
        <w:t>Siqueira</w:t>
        <w:tab/>
        <w:t>| Profissional - </w:t>
      </w:r>
      <w:r>
        <w:rPr>
          <w:spacing w:val="-5"/>
        </w:rPr>
        <w:t>RPA </w:t>
      </w:r>
      <w:r>
        <w:rPr/>
        <w:t>Luiz Felipe C. P.</w:t>
      </w:r>
      <w:r>
        <w:rPr>
          <w:spacing w:val="-10"/>
        </w:rPr>
        <w:t> </w:t>
      </w:r>
      <w:r>
        <w:rPr/>
        <w:t>de Souza</w:t>
        <w:tab/>
        <w:t>| Estagiário</w:t>
      </w:r>
    </w:p>
    <w:p>
      <w:pPr>
        <w:spacing w:line="265" w:lineRule="exact" w:before="0"/>
        <w:ind w:left="1702" w:right="0" w:firstLine="0"/>
        <w:jc w:val="left"/>
        <w:rPr>
          <w:sz w:val="22"/>
        </w:rPr>
      </w:pPr>
      <w:r>
        <w:rPr>
          <w:sz w:val="22"/>
        </w:rPr>
        <w:t>*Capa |Ponte JK em Brasília, DF - Foto por Mugnatto/Wikimedia</w:t>
      </w:r>
      <w:r>
        <w:rPr>
          <w:spacing w:val="-17"/>
          <w:sz w:val="22"/>
        </w:rPr>
        <w:t> </w:t>
      </w:r>
      <w:r>
        <w:rPr>
          <w:sz w:val="22"/>
        </w:rPr>
        <w:t>Commons</w:t>
      </w:r>
    </w:p>
    <w:p>
      <w:pPr>
        <w:pStyle w:val="BodyText"/>
        <w:rPr>
          <w:sz w:val="22"/>
        </w:rPr>
      </w:pPr>
    </w:p>
    <w:p>
      <w:pPr>
        <w:pStyle w:val="BodyText"/>
        <w:spacing w:before="2"/>
        <w:rPr>
          <w:sz w:val="26"/>
        </w:rPr>
      </w:pPr>
    </w:p>
    <w:p>
      <w:pPr>
        <w:pStyle w:val="Heading5"/>
        <w:spacing w:before="1"/>
        <w:ind w:left="1513" w:right="942"/>
        <w:jc w:val="center"/>
      </w:pPr>
      <w:r>
        <w:rPr/>
        <w:t>104ª Reunião Plenária Ordinária do</w:t>
      </w:r>
      <w:r>
        <w:rPr>
          <w:spacing w:val="-15"/>
        </w:rPr>
        <w:t> </w:t>
      </w:r>
      <w:r>
        <w:rPr/>
        <w:t>CAU/BR</w:t>
      </w:r>
    </w:p>
    <w:p>
      <w:pPr>
        <w:pStyle w:val="BodyText"/>
        <w:spacing w:before="160"/>
        <w:ind w:left="1513" w:right="940"/>
        <w:jc w:val="center"/>
      </w:pPr>
      <w:r>
        <w:rPr/>
        <w:t>Brasília, 24 de setembro de 2020</w:t>
      </w:r>
    </w:p>
    <w:p>
      <w:pPr>
        <w:spacing w:after="0"/>
        <w:jc w:val="center"/>
        <w:sectPr>
          <w:headerReference w:type="default" r:id="rId7"/>
          <w:footerReference w:type="default" r:id="rId8"/>
          <w:pgSz w:w="11910" w:h="16840"/>
          <w:pgMar w:header="590" w:footer="612" w:top="1460" w:bottom="800" w:left="0" w:right="0"/>
          <w:pgNumType w:start="2"/>
        </w:sectPr>
      </w:pPr>
    </w:p>
    <w:p>
      <w:pPr>
        <w:pStyle w:val="BodyText"/>
        <w:rPr>
          <w:sz w:val="15"/>
        </w:rPr>
      </w:pPr>
    </w:p>
    <w:p>
      <w:pPr>
        <w:spacing w:before="44"/>
        <w:ind w:left="1702" w:right="0" w:firstLine="0"/>
        <w:jc w:val="left"/>
        <w:rPr>
          <w:b/>
          <w:sz w:val="28"/>
        </w:rPr>
      </w:pPr>
      <w:r>
        <w:rPr/>
        <w:pict>
          <v:rect style="position:absolute;margin-left:83.664001pt;margin-top:21.530079pt;width:456.58pt;height:1.44pt;mso-position-horizontal-relative:page;mso-position-vertical-relative:paragraph;z-index:-15727616;mso-wrap-distance-left:0;mso-wrap-distance-right:0" filled="true" fillcolor="#000000" stroked="false">
            <v:fill type="solid"/>
            <w10:wrap type="topAndBottom"/>
          </v:rect>
        </w:pict>
      </w:r>
      <w:r>
        <w:rPr>
          <w:b/>
          <w:sz w:val="28"/>
        </w:rPr>
        <w:t>SUMÁRIO</w:t>
      </w:r>
    </w:p>
    <w:p>
      <w:pPr>
        <w:pStyle w:val="BodyText"/>
        <w:rPr>
          <w:b/>
          <w:sz w:val="20"/>
        </w:rPr>
      </w:pPr>
    </w:p>
    <w:p>
      <w:pPr>
        <w:pStyle w:val="BodyText"/>
        <w:rPr>
          <w:b/>
          <w:sz w:val="20"/>
        </w:rPr>
      </w:pPr>
    </w:p>
    <w:p>
      <w:pPr>
        <w:pStyle w:val="BodyText"/>
        <w:rPr>
          <w:b/>
          <w:sz w:val="20"/>
        </w:rPr>
      </w:pPr>
    </w:p>
    <w:sdt>
      <w:sdtPr>
        <w:docPartObj>
          <w:docPartGallery w:val="Table of Contents"/>
          <w:docPartUnique/>
        </w:docPartObj>
      </w:sdtPr>
      <w:sdtEndPr/>
      <w:sdtContent>
        <w:p>
          <w:pPr>
            <w:pStyle w:val="TOC1"/>
            <w:tabs>
              <w:tab w:pos="10764" w:val="right" w:leader="dot"/>
            </w:tabs>
            <w:spacing w:before="236"/>
            <w:ind w:left="1702" w:firstLine="0"/>
          </w:pPr>
          <w:hyperlink w:history="true" w:anchor="_bookmark0">
            <w:r>
              <w:rPr/>
              <w:t>INTRODUÇÃO</w:t>
              <w:tab/>
              <w:t>5</w:t>
            </w:r>
          </w:hyperlink>
        </w:p>
        <w:p>
          <w:pPr>
            <w:pStyle w:val="TOC1"/>
            <w:numPr>
              <w:ilvl w:val="0"/>
              <w:numId w:val="1"/>
            </w:numPr>
            <w:tabs>
              <w:tab w:pos="2141" w:val="left" w:leader="none"/>
              <w:tab w:pos="2142" w:val="left" w:leader="none"/>
              <w:tab w:pos="10764" w:val="right" w:leader="dot"/>
            </w:tabs>
            <w:spacing w:line="240" w:lineRule="auto" w:before="140" w:after="0"/>
            <w:ind w:left="2141" w:right="0" w:hanging="440"/>
            <w:jc w:val="left"/>
          </w:pPr>
          <w:hyperlink w:history="true" w:anchor="_bookmark1">
            <w:r>
              <w:rPr/>
              <w:t>ESTRATÉGIA DE ATUAÇÃO</w:t>
              <w:tab/>
              <w:t>6</w:t>
            </w:r>
          </w:hyperlink>
        </w:p>
        <w:p>
          <w:pPr>
            <w:pStyle w:val="TOC3"/>
            <w:numPr>
              <w:ilvl w:val="1"/>
              <w:numId w:val="1"/>
            </w:numPr>
            <w:tabs>
              <w:tab w:pos="2582" w:val="left" w:leader="none"/>
              <w:tab w:pos="2583" w:val="left" w:leader="none"/>
              <w:tab w:pos="10764" w:val="right" w:leader="dot"/>
            </w:tabs>
            <w:spacing w:line="240" w:lineRule="auto" w:before="140" w:after="0"/>
            <w:ind w:left="2582" w:right="0" w:hanging="661"/>
            <w:jc w:val="left"/>
            <w:rPr>
              <w:b w:val="0"/>
              <w:i w:val="0"/>
              <w:sz w:val="20"/>
            </w:rPr>
          </w:pPr>
          <w:hyperlink w:history="true" w:anchor="_bookmark2">
            <w:r>
              <w:rPr>
                <w:b w:val="0"/>
                <w:i w:val="0"/>
                <w:sz w:val="20"/>
              </w:rPr>
              <w:t>M</w:t>
            </w:r>
            <w:r>
              <w:rPr>
                <w:b w:val="0"/>
                <w:i w:val="0"/>
                <w:sz w:val="16"/>
              </w:rPr>
              <w:t>APA </w:t>
            </w:r>
            <w:r>
              <w:rPr>
                <w:b w:val="0"/>
                <w:i w:val="0"/>
                <w:sz w:val="20"/>
              </w:rPr>
              <w:t>E</w:t>
            </w:r>
            <w:r>
              <w:rPr>
                <w:b w:val="0"/>
                <w:i w:val="0"/>
                <w:sz w:val="16"/>
              </w:rPr>
              <w:t>STRATÉGICO DO</w:t>
            </w:r>
            <w:r>
              <w:rPr>
                <w:b w:val="0"/>
                <w:i w:val="0"/>
                <w:spacing w:val="-2"/>
                <w:sz w:val="16"/>
              </w:rPr>
              <w:t> </w:t>
            </w:r>
            <w:r>
              <w:rPr>
                <w:b w:val="0"/>
                <w:i w:val="0"/>
                <w:sz w:val="20"/>
              </w:rPr>
              <w:t>CAU</w:t>
            </w:r>
            <w:r>
              <w:rPr>
                <w:b w:val="0"/>
                <w:i w:val="0"/>
                <w:spacing w:val="-10"/>
                <w:sz w:val="20"/>
              </w:rPr>
              <w:t> </w:t>
            </w:r>
            <w:r>
              <w:rPr>
                <w:b w:val="0"/>
                <w:i w:val="0"/>
                <w:sz w:val="20"/>
              </w:rPr>
              <w:t>2023</w:t>
              <w:tab/>
              <w:t>6</w:t>
            </w:r>
          </w:hyperlink>
        </w:p>
        <w:p>
          <w:pPr>
            <w:pStyle w:val="TOC4"/>
            <w:numPr>
              <w:ilvl w:val="2"/>
              <w:numId w:val="1"/>
            </w:numPr>
            <w:tabs>
              <w:tab w:pos="2801" w:val="left" w:leader="none"/>
              <w:tab w:pos="2802" w:val="left" w:leader="none"/>
              <w:tab w:pos="10764" w:val="right" w:leader="dot"/>
            </w:tabs>
            <w:spacing w:line="240" w:lineRule="auto" w:before="17" w:after="0"/>
            <w:ind w:left="2801" w:right="0" w:hanging="661"/>
            <w:jc w:val="left"/>
            <w:rPr>
              <w:i/>
            </w:rPr>
          </w:pPr>
          <w:hyperlink w:history="true" w:anchor="_bookmark4">
            <w:r>
              <w:rPr>
                <w:i/>
              </w:rPr>
              <w:t>Indicadores do</w:t>
            </w:r>
            <w:r>
              <w:rPr>
                <w:i/>
                <w:spacing w:val="-2"/>
              </w:rPr>
              <w:t> </w:t>
            </w:r>
            <w:r>
              <w:rPr>
                <w:i/>
              </w:rPr>
              <w:t>Mapa</w:t>
            </w:r>
            <w:r>
              <w:rPr>
                <w:i/>
                <w:spacing w:val="-2"/>
              </w:rPr>
              <w:t> </w:t>
            </w:r>
            <w:r>
              <w:rPr>
                <w:i/>
              </w:rPr>
              <w:t>Estratégico</w:t>
              <w:tab/>
              <w:t>7</w:t>
            </w:r>
          </w:hyperlink>
        </w:p>
        <w:p>
          <w:pPr>
            <w:pStyle w:val="TOC1"/>
            <w:numPr>
              <w:ilvl w:val="0"/>
              <w:numId w:val="1"/>
            </w:numPr>
            <w:tabs>
              <w:tab w:pos="2141" w:val="left" w:leader="none"/>
              <w:tab w:pos="2142" w:val="left" w:leader="none"/>
              <w:tab w:pos="10764" w:val="right" w:leader="dot"/>
            </w:tabs>
            <w:spacing w:line="240" w:lineRule="auto" w:before="140" w:after="0"/>
            <w:ind w:left="2141" w:right="0" w:hanging="440"/>
            <w:jc w:val="left"/>
          </w:pPr>
          <w:hyperlink w:history="true" w:anchor="_bookmark5">
            <w:r>
              <w:rPr/>
              <w:t>METAS PARA O PLANO DE</w:t>
            </w:r>
            <w:r>
              <w:rPr>
                <w:spacing w:val="-1"/>
              </w:rPr>
              <w:t> </w:t>
            </w:r>
            <w:r>
              <w:rPr/>
              <w:t>AÇÃO</w:t>
            </w:r>
            <w:r>
              <w:rPr>
                <w:spacing w:val="-1"/>
              </w:rPr>
              <w:t> </w:t>
            </w:r>
            <w:r>
              <w:rPr/>
              <w:t>2021</w:t>
              <w:tab/>
              <w:t>8</w:t>
            </w:r>
          </w:hyperlink>
        </w:p>
        <w:p>
          <w:pPr>
            <w:pStyle w:val="TOC2"/>
            <w:numPr>
              <w:ilvl w:val="1"/>
              <w:numId w:val="1"/>
            </w:numPr>
            <w:tabs>
              <w:tab w:pos="2582" w:val="left" w:leader="none"/>
              <w:tab w:pos="2583" w:val="left" w:leader="none"/>
              <w:tab w:pos="10764" w:val="right" w:leader="dot"/>
            </w:tabs>
            <w:spacing w:line="240" w:lineRule="auto" w:before="140" w:after="0"/>
            <w:ind w:left="2582" w:right="0" w:hanging="661"/>
            <w:jc w:val="left"/>
            <w:rPr>
              <w:sz w:val="20"/>
            </w:rPr>
          </w:pPr>
          <w:hyperlink w:history="true" w:anchor="_bookmark6">
            <w:r>
              <w:rPr>
                <w:sz w:val="20"/>
              </w:rPr>
              <w:t>N</w:t>
            </w:r>
            <w:r>
              <w:rPr/>
              <w:t>OVOS </w:t>
            </w:r>
            <w:r>
              <w:rPr>
                <w:sz w:val="20"/>
              </w:rPr>
              <w:t>O</w:t>
            </w:r>
            <w:r>
              <w:rPr/>
              <w:t>BJETIVOS </w:t>
            </w:r>
            <w:r>
              <w:rPr>
                <w:sz w:val="20"/>
              </w:rPr>
              <w:t>E</w:t>
            </w:r>
            <w:r>
              <w:rPr/>
              <w:t>STRATÉGICOS DE</w:t>
            </w:r>
            <w:r>
              <w:rPr>
                <w:spacing w:val="-1"/>
              </w:rPr>
              <w:t> </w:t>
            </w:r>
            <w:r>
              <w:rPr/>
              <w:t>ÂMBITO</w:t>
            </w:r>
            <w:r>
              <w:rPr>
                <w:spacing w:val="-1"/>
              </w:rPr>
              <w:t> </w:t>
            </w:r>
            <w:r>
              <w:rPr/>
              <w:t>NACIONAL</w:t>
              <w:tab/>
            </w:r>
            <w:r>
              <w:rPr>
                <w:sz w:val="20"/>
              </w:rPr>
              <w:t>8</w:t>
            </w:r>
          </w:hyperlink>
        </w:p>
        <w:p>
          <w:pPr>
            <w:pStyle w:val="TOC3"/>
            <w:numPr>
              <w:ilvl w:val="1"/>
              <w:numId w:val="1"/>
            </w:numPr>
            <w:tabs>
              <w:tab w:pos="2582" w:val="left" w:leader="none"/>
              <w:tab w:pos="2583" w:val="left" w:leader="none"/>
              <w:tab w:pos="10764" w:val="right" w:leader="dot"/>
            </w:tabs>
            <w:spacing w:line="240" w:lineRule="auto" w:before="20" w:after="0"/>
            <w:ind w:left="2582" w:right="0" w:hanging="661"/>
            <w:jc w:val="left"/>
            <w:rPr>
              <w:b w:val="0"/>
              <w:i w:val="0"/>
              <w:sz w:val="20"/>
            </w:rPr>
          </w:pPr>
          <w:hyperlink w:history="true" w:anchor="_bookmark7">
            <w:r>
              <w:rPr>
                <w:b w:val="0"/>
                <w:i w:val="0"/>
                <w:sz w:val="20"/>
              </w:rPr>
              <w:t>O</w:t>
            </w:r>
            <w:r>
              <w:rPr>
                <w:b w:val="0"/>
                <w:i w:val="0"/>
                <w:sz w:val="16"/>
              </w:rPr>
              <w:t>BJETIVOS DE </w:t>
            </w:r>
            <w:r>
              <w:rPr>
                <w:b w:val="0"/>
                <w:i w:val="0"/>
                <w:sz w:val="20"/>
              </w:rPr>
              <w:t>D</w:t>
            </w:r>
            <w:r>
              <w:rPr>
                <w:b w:val="0"/>
                <w:i w:val="0"/>
                <w:sz w:val="16"/>
              </w:rPr>
              <w:t>ESENVOLVIMENTO</w:t>
            </w:r>
            <w:r>
              <w:rPr>
                <w:b w:val="0"/>
                <w:i w:val="0"/>
                <w:spacing w:val="-4"/>
                <w:sz w:val="16"/>
              </w:rPr>
              <w:t> </w:t>
            </w:r>
            <w:r>
              <w:rPr>
                <w:b w:val="0"/>
                <w:i w:val="0"/>
                <w:sz w:val="20"/>
              </w:rPr>
              <w:t>S</w:t>
            </w:r>
            <w:r>
              <w:rPr>
                <w:b w:val="0"/>
                <w:i w:val="0"/>
                <w:sz w:val="16"/>
              </w:rPr>
              <w:t>USTENTÁVEL </w:t>
            </w:r>
            <w:r>
              <w:rPr>
                <w:b w:val="0"/>
                <w:i w:val="0"/>
                <w:sz w:val="20"/>
              </w:rPr>
              <w:t>(ODS)</w:t>
              <w:tab/>
              <w:t>9</w:t>
            </w:r>
          </w:hyperlink>
        </w:p>
        <w:p>
          <w:pPr>
            <w:pStyle w:val="TOC1"/>
            <w:numPr>
              <w:ilvl w:val="0"/>
              <w:numId w:val="1"/>
            </w:numPr>
            <w:tabs>
              <w:tab w:pos="2141" w:val="left" w:leader="none"/>
              <w:tab w:pos="2142" w:val="left" w:leader="none"/>
              <w:tab w:pos="10763" w:val="right" w:leader="dot"/>
            </w:tabs>
            <w:spacing w:line="240" w:lineRule="auto" w:before="138" w:after="0"/>
            <w:ind w:left="2141" w:right="0" w:hanging="440"/>
            <w:jc w:val="left"/>
          </w:pPr>
          <w:hyperlink w:history="true" w:anchor="_bookmark9">
            <w:r>
              <w:rPr/>
              <w:t>LIMITES DE APLICAÇÃO</w:t>
            </w:r>
            <w:r>
              <w:rPr>
                <w:spacing w:val="-3"/>
              </w:rPr>
              <w:t> </w:t>
            </w:r>
            <w:r>
              <w:rPr/>
              <w:t>DE RECURSOS</w:t>
              <w:tab/>
              <w:t>10</w:t>
            </w:r>
          </w:hyperlink>
        </w:p>
        <w:p>
          <w:pPr>
            <w:pStyle w:val="TOC2"/>
            <w:numPr>
              <w:ilvl w:val="1"/>
              <w:numId w:val="1"/>
            </w:numPr>
            <w:tabs>
              <w:tab w:pos="2582" w:val="left" w:leader="none"/>
              <w:tab w:pos="2583" w:val="left" w:leader="none"/>
              <w:tab w:pos="10763" w:val="right" w:leader="dot"/>
            </w:tabs>
            <w:spacing w:line="240" w:lineRule="auto" w:before="140" w:after="0"/>
            <w:ind w:left="2582" w:right="0" w:hanging="661"/>
            <w:jc w:val="left"/>
            <w:rPr>
              <w:sz w:val="20"/>
            </w:rPr>
          </w:pPr>
          <w:hyperlink w:history="true" w:anchor="_bookmark10">
            <w:r>
              <w:rPr>
                <w:sz w:val="20"/>
              </w:rPr>
              <w:t>A</w:t>
            </w:r>
            <w:r>
              <w:rPr/>
              <w:t>LOCAÇÃO DE </w:t>
            </w:r>
            <w:r>
              <w:rPr>
                <w:sz w:val="20"/>
              </w:rPr>
              <w:t>R</w:t>
            </w:r>
            <w:r>
              <w:rPr/>
              <w:t>ECURSOS NOS</w:t>
            </w:r>
            <w:r>
              <w:rPr>
                <w:spacing w:val="-1"/>
              </w:rPr>
              <w:t> </w:t>
            </w:r>
            <w:r>
              <w:rPr>
                <w:sz w:val="20"/>
              </w:rPr>
              <w:t>O</w:t>
            </w:r>
            <w:r>
              <w:rPr/>
              <w:t>BJETIVOS </w:t>
            </w:r>
            <w:r>
              <w:rPr>
                <w:sz w:val="20"/>
              </w:rPr>
              <w:t>E</w:t>
            </w:r>
            <w:r>
              <w:rPr/>
              <w:t>STRATÉGICOS</w:t>
              <w:tab/>
            </w:r>
            <w:r>
              <w:rPr>
                <w:sz w:val="20"/>
              </w:rPr>
              <w:t>10</w:t>
            </w:r>
          </w:hyperlink>
        </w:p>
        <w:p>
          <w:pPr>
            <w:pStyle w:val="TOC3"/>
            <w:numPr>
              <w:ilvl w:val="1"/>
              <w:numId w:val="1"/>
            </w:numPr>
            <w:tabs>
              <w:tab w:pos="2582" w:val="left" w:leader="none"/>
              <w:tab w:pos="2583" w:val="left" w:leader="none"/>
              <w:tab w:pos="10763" w:val="right" w:leader="dot"/>
            </w:tabs>
            <w:spacing w:line="240" w:lineRule="auto" w:before="19" w:after="0"/>
            <w:ind w:left="2582" w:right="0" w:hanging="661"/>
            <w:jc w:val="left"/>
            <w:rPr>
              <w:b w:val="0"/>
              <w:i w:val="0"/>
              <w:sz w:val="20"/>
            </w:rPr>
          </w:pPr>
          <w:hyperlink w:history="true" w:anchor="_bookmark11">
            <w:r>
              <w:rPr>
                <w:b w:val="0"/>
                <w:i w:val="0"/>
                <w:sz w:val="20"/>
              </w:rPr>
              <w:t>A</w:t>
            </w:r>
            <w:r>
              <w:rPr>
                <w:b w:val="0"/>
                <w:i w:val="0"/>
                <w:sz w:val="16"/>
              </w:rPr>
              <w:t>ÇÕES </w:t>
            </w:r>
            <w:r>
              <w:rPr>
                <w:b w:val="0"/>
                <w:i w:val="0"/>
                <w:sz w:val="20"/>
              </w:rPr>
              <w:t>E</w:t>
            </w:r>
            <w:r>
              <w:rPr>
                <w:b w:val="0"/>
                <w:i w:val="0"/>
                <w:sz w:val="16"/>
              </w:rPr>
              <w:t>STRATÉGICAS </w:t>
            </w:r>
            <w:r>
              <w:rPr>
                <w:b w:val="0"/>
                <w:i w:val="0"/>
                <w:sz w:val="20"/>
              </w:rPr>
              <w:t>P</w:t>
            </w:r>
            <w:r>
              <w:rPr>
                <w:b w:val="0"/>
                <w:i w:val="0"/>
                <w:sz w:val="16"/>
              </w:rPr>
              <w:t>RIORITÁRIAS</w:t>
            </w:r>
            <w:r>
              <w:rPr>
                <w:b w:val="0"/>
                <w:i w:val="0"/>
                <w:spacing w:val="-2"/>
                <w:sz w:val="16"/>
              </w:rPr>
              <w:t> </w:t>
            </w:r>
            <w:r>
              <w:rPr>
                <w:b w:val="0"/>
                <w:i w:val="0"/>
                <w:sz w:val="20"/>
              </w:rPr>
              <w:t>2021</w:t>
              <w:tab/>
              <w:t>13</w:t>
            </w:r>
          </w:hyperlink>
        </w:p>
        <w:p>
          <w:pPr>
            <w:pStyle w:val="TOC3"/>
            <w:numPr>
              <w:ilvl w:val="1"/>
              <w:numId w:val="1"/>
            </w:numPr>
            <w:tabs>
              <w:tab w:pos="2582" w:val="left" w:leader="none"/>
              <w:tab w:pos="2583" w:val="left" w:leader="none"/>
              <w:tab w:pos="10763" w:val="right" w:leader="dot"/>
            </w:tabs>
            <w:spacing w:line="240" w:lineRule="auto" w:before="20" w:after="0"/>
            <w:ind w:left="2582" w:right="0" w:hanging="661"/>
            <w:jc w:val="left"/>
            <w:rPr>
              <w:b w:val="0"/>
              <w:i w:val="0"/>
              <w:sz w:val="20"/>
            </w:rPr>
          </w:pPr>
          <w:hyperlink w:history="true" w:anchor="_bookmark13">
            <w:r>
              <w:rPr>
                <w:b w:val="0"/>
                <w:i w:val="0"/>
                <w:sz w:val="20"/>
              </w:rPr>
              <w:t>D</w:t>
            </w:r>
            <w:r>
              <w:rPr>
                <w:b w:val="0"/>
                <w:i w:val="0"/>
                <w:sz w:val="16"/>
              </w:rPr>
              <w:t>ESTINAÇÃO DE </w:t>
            </w:r>
            <w:r>
              <w:rPr>
                <w:b w:val="0"/>
                <w:i w:val="0"/>
                <w:sz w:val="20"/>
              </w:rPr>
              <w:t>R</w:t>
            </w:r>
            <w:r>
              <w:rPr>
                <w:b w:val="0"/>
                <w:i w:val="0"/>
                <w:sz w:val="16"/>
              </w:rPr>
              <w:t>ECURSOS PARA O </w:t>
            </w:r>
            <w:r>
              <w:rPr>
                <w:b w:val="0"/>
                <w:i w:val="0"/>
                <w:sz w:val="20"/>
              </w:rPr>
              <w:t>F</w:t>
            </w:r>
            <w:r>
              <w:rPr>
                <w:b w:val="0"/>
                <w:i w:val="0"/>
                <w:sz w:val="16"/>
              </w:rPr>
              <w:t>UNDO DE </w:t>
            </w:r>
            <w:r>
              <w:rPr>
                <w:b w:val="0"/>
                <w:i w:val="0"/>
                <w:sz w:val="20"/>
              </w:rPr>
              <w:t>A</w:t>
            </w:r>
            <w:r>
              <w:rPr>
                <w:b w:val="0"/>
                <w:i w:val="0"/>
                <w:sz w:val="16"/>
              </w:rPr>
              <w:t>POIO </w:t>
            </w:r>
            <w:r>
              <w:rPr>
                <w:b w:val="0"/>
                <w:i w:val="0"/>
                <w:sz w:val="20"/>
              </w:rPr>
              <w:t>F</w:t>
            </w:r>
            <w:r>
              <w:rPr>
                <w:b w:val="0"/>
                <w:i w:val="0"/>
                <w:sz w:val="16"/>
              </w:rPr>
              <w:t>INANCEIRO</w:t>
            </w:r>
            <w:r>
              <w:rPr>
                <w:b w:val="0"/>
                <w:i w:val="0"/>
                <w:spacing w:val="-9"/>
                <w:sz w:val="16"/>
              </w:rPr>
              <w:t> </w:t>
            </w:r>
            <w:r>
              <w:rPr>
                <w:b w:val="0"/>
                <w:i w:val="0"/>
                <w:sz w:val="16"/>
              </w:rPr>
              <w:t>AOS</w:t>
            </w:r>
            <w:r>
              <w:rPr>
                <w:b w:val="0"/>
                <w:i w:val="0"/>
                <w:spacing w:val="-3"/>
                <w:sz w:val="16"/>
              </w:rPr>
              <w:t> </w:t>
            </w:r>
            <w:r>
              <w:rPr>
                <w:b w:val="0"/>
                <w:i w:val="0"/>
                <w:sz w:val="20"/>
              </w:rPr>
              <w:t>CAU/UF</w:t>
              <w:tab/>
              <w:t>16</w:t>
            </w:r>
          </w:hyperlink>
        </w:p>
        <w:p>
          <w:pPr>
            <w:pStyle w:val="TOC2"/>
            <w:numPr>
              <w:ilvl w:val="1"/>
              <w:numId w:val="1"/>
            </w:numPr>
            <w:tabs>
              <w:tab w:pos="2582" w:val="left" w:leader="none"/>
              <w:tab w:pos="2583" w:val="left" w:leader="none"/>
            </w:tabs>
            <w:spacing w:line="240" w:lineRule="auto" w:before="20" w:after="0"/>
            <w:ind w:left="2582" w:right="0" w:hanging="661"/>
            <w:jc w:val="left"/>
          </w:pPr>
          <w:hyperlink w:history="true" w:anchor="_bookmark14">
            <w:r>
              <w:rPr>
                <w:sz w:val="20"/>
              </w:rPr>
              <w:t>D</w:t>
            </w:r>
            <w:r>
              <w:rPr/>
              <w:t>ESTINAÇÃO DE </w:t>
            </w:r>
            <w:r>
              <w:rPr>
                <w:sz w:val="20"/>
              </w:rPr>
              <w:t>R</w:t>
            </w:r>
            <w:r>
              <w:rPr/>
              <w:t>ECURSOS PARA O </w:t>
            </w:r>
            <w:r>
              <w:rPr>
                <w:sz w:val="20"/>
              </w:rPr>
              <w:t>C</w:t>
            </w:r>
            <w:r>
              <w:rPr/>
              <w:t>ENTRO DE </w:t>
            </w:r>
            <w:r>
              <w:rPr>
                <w:sz w:val="20"/>
              </w:rPr>
              <w:t>S</w:t>
            </w:r>
            <w:r>
              <w:rPr/>
              <w:t>ERVIÇOS </w:t>
            </w:r>
            <w:r>
              <w:rPr>
                <w:sz w:val="20"/>
              </w:rPr>
              <w:t>C</w:t>
            </w:r>
            <w:r>
              <w:rPr/>
              <w:t>OMPARTILHADOS DOS </w:t>
            </w:r>
            <w:r>
              <w:rPr>
                <w:sz w:val="20"/>
              </w:rPr>
              <w:t>C</w:t>
            </w:r>
            <w:r>
              <w:rPr/>
              <w:t>ONSELHOS DE </w:t>
            </w:r>
            <w:r>
              <w:rPr>
                <w:sz w:val="20"/>
              </w:rPr>
              <w:t>A</w:t>
            </w:r>
            <w:r>
              <w:rPr/>
              <w:t>RQUITETURA</w:t>
            </w:r>
            <w:r>
              <w:rPr>
                <w:spacing w:val="-9"/>
              </w:rPr>
              <w:t> </w:t>
            </w:r>
            <w:r>
              <w:rPr/>
              <w:t>E</w:t>
            </w:r>
          </w:hyperlink>
        </w:p>
        <w:p>
          <w:pPr>
            <w:pStyle w:val="TOC3"/>
            <w:tabs>
              <w:tab w:pos="10763" w:val="right" w:leader="dot"/>
            </w:tabs>
            <w:spacing w:before="18"/>
            <w:ind w:left="1922" w:firstLine="0"/>
            <w:rPr>
              <w:b w:val="0"/>
              <w:i w:val="0"/>
              <w:sz w:val="20"/>
            </w:rPr>
          </w:pPr>
          <w:hyperlink w:history="true" w:anchor="_bookmark14">
            <w:r>
              <w:rPr>
                <w:b w:val="0"/>
                <w:i w:val="0"/>
                <w:sz w:val="20"/>
              </w:rPr>
              <w:t>U</w:t>
            </w:r>
            <w:r>
              <w:rPr>
                <w:b w:val="0"/>
                <w:i w:val="0"/>
                <w:sz w:val="16"/>
              </w:rPr>
              <w:t>RBANISMO</w:t>
              <w:tab/>
            </w:r>
            <w:r>
              <w:rPr>
                <w:b w:val="0"/>
                <w:i w:val="0"/>
                <w:sz w:val="20"/>
              </w:rPr>
              <w:t>18</w:t>
            </w:r>
          </w:hyperlink>
        </w:p>
        <w:p>
          <w:pPr>
            <w:pStyle w:val="TOC4"/>
            <w:numPr>
              <w:ilvl w:val="2"/>
              <w:numId w:val="1"/>
            </w:numPr>
            <w:tabs>
              <w:tab w:pos="2801" w:val="left" w:leader="none"/>
              <w:tab w:pos="2802" w:val="left" w:leader="none"/>
              <w:tab w:pos="10763" w:val="right" w:leader="dot"/>
            </w:tabs>
            <w:spacing w:line="240" w:lineRule="auto" w:before="19" w:after="0"/>
            <w:ind w:left="2801" w:right="0" w:hanging="661"/>
            <w:jc w:val="left"/>
            <w:rPr>
              <w:i/>
            </w:rPr>
          </w:pPr>
          <w:hyperlink w:history="true" w:anchor="_bookmark15">
            <w:r>
              <w:rPr>
                <w:i/>
              </w:rPr>
              <w:t>Recursos referente à Rede de Atendimento Integrado</w:t>
            </w:r>
            <w:r>
              <w:rPr>
                <w:i/>
                <w:spacing w:val="3"/>
              </w:rPr>
              <w:t> </w:t>
            </w:r>
            <w:r>
              <w:rPr>
                <w:i/>
              </w:rPr>
              <w:t>-</w:t>
            </w:r>
            <w:r>
              <w:rPr>
                <w:i/>
                <w:spacing w:val="-1"/>
              </w:rPr>
              <w:t> </w:t>
            </w:r>
            <w:r>
              <w:rPr>
                <w:i/>
              </w:rPr>
              <w:t>RIA</w:t>
              <w:tab/>
              <w:t>22</w:t>
            </w:r>
          </w:hyperlink>
        </w:p>
        <w:p>
          <w:pPr>
            <w:pStyle w:val="TOC3"/>
            <w:numPr>
              <w:ilvl w:val="1"/>
              <w:numId w:val="1"/>
            </w:numPr>
            <w:tabs>
              <w:tab w:pos="2582" w:val="left" w:leader="none"/>
              <w:tab w:pos="2583" w:val="left" w:leader="none"/>
              <w:tab w:pos="10763" w:val="right" w:leader="dot"/>
            </w:tabs>
            <w:spacing w:line="240" w:lineRule="auto" w:before="21" w:after="0"/>
            <w:ind w:left="2582" w:right="0" w:hanging="661"/>
            <w:jc w:val="left"/>
            <w:rPr>
              <w:b w:val="0"/>
              <w:i w:val="0"/>
              <w:sz w:val="20"/>
            </w:rPr>
          </w:pPr>
          <w:hyperlink w:history="true" w:anchor="_bookmark16">
            <w:r>
              <w:rPr>
                <w:b w:val="0"/>
                <w:i w:val="0"/>
                <w:sz w:val="20"/>
              </w:rPr>
              <w:t>R</w:t>
            </w:r>
            <w:r>
              <w:rPr>
                <w:b w:val="0"/>
                <w:i w:val="0"/>
                <w:sz w:val="16"/>
              </w:rPr>
              <w:t>ESSARCIMENTO DE </w:t>
            </w:r>
            <w:r>
              <w:rPr>
                <w:b w:val="0"/>
                <w:i w:val="0"/>
                <w:sz w:val="20"/>
              </w:rPr>
              <w:t>T</w:t>
            </w:r>
            <w:r>
              <w:rPr>
                <w:b w:val="0"/>
                <w:i w:val="0"/>
                <w:sz w:val="16"/>
              </w:rPr>
              <w:t>ARIFAS </w:t>
            </w:r>
            <w:r>
              <w:rPr>
                <w:b w:val="0"/>
                <w:i w:val="0"/>
                <w:sz w:val="20"/>
              </w:rPr>
              <w:t>B</w:t>
            </w:r>
            <w:r>
              <w:rPr>
                <w:b w:val="0"/>
                <w:i w:val="0"/>
                <w:sz w:val="16"/>
              </w:rPr>
              <w:t>ANCÁRIAS</w:t>
            </w:r>
            <w:r>
              <w:rPr>
                <w:b w:val="0"/>
                <w:i w:val="0"/>
                <w:sz w:val="20"/>
              </w:rPr>
              <w:t>, </w:t>
            </w:r>
            <w:r>
              <w:rPr>
                <w:b w:val="0"/>
                <w:i w:val="0"/>
                <w:sz w:val="16"/>
              </w:rPr>
              <w:t>PELO </w:t>
            </w:r>
            <w:r>
              <w:rPr>
                <w:b w:val="0"/>
                <w:i w:val="0"/>
                <w:sz w:val="20"/>
              </w:rPr>
              <w:t>CAU/BR,</w:t>
            </w:r>
            <w:r>
              <w:rPr>
                <w:b w:val="0"/>
                <w:i w:val="0"/>
                <w:spacing w:val="-24"/>
                <w:sz w:val="20"/>
              </w:rPr>
              <w:t> </w:t>
            </w:r>
            <w:r>
              <w:rPr>
                <w:b w:val="0"/>
                <w:i w:val="0"/>
                <w:sz w:val="16"/>
              </w:rPr>
              <w:t>AOS </w:t>
            </w:r>
            <w:r>
              <w:rPr>
                <w:b w:val="0"/>
                <w:i w:val="0"/>
                <w:sz w:val="20"/>
              </w:rPr>
              <w:t>CAU/UF</w:t>
              <w:tab/>
              <w:t>22</w:t>
            </w:r>
          </w:hyperlink>
        </w:p>
        <w:p>
          <w:pPr>
            <w:pStyle w:val="TOC2"/>
            <w:numPr>
              <w:ilvl w:val="1"/>
              <w:numId w:val="1"/>
            </w:numPr>
            <w:tabs>
              <w:tab w:pos="2582" w:val="left" w:leader="none"/>
              <w:tab w:pos="2583" w:val="left" w:leader="none"/>
              <w:tab w:pos="10763" w:val="right" w:leader="dot"/>
            </w:tabs>
            <w:spacing w:line="240" w:lineRule="auto" w:before="20" w:after="0"/>
            <w:ind w:left="2582" w:right="0" w:hanging="661"/>
            <w:jc w:val="left"/>
            <w:rPr>
              <w:sz w:val="20"/>
            </w:rPr>
          </w:pPr>
          <w:hyperlink w:history="true" w:anchor="_bookmark17">
            <w:r>
              <w:rPr>
                <w:sz w:val="20"/>
              </w:rPr>
              <w:t>D</w:t>
            </w:r>
            <w:r>
              <w:rPr/>
              <w:t>ESTINAÇÃO DE </w:t>
            </w:r>
            <w:r>
              <w:rPr>
                <w:sz w:val="20"/>
              </w:rPr>
              <w:t>R</w:t>
            </w:r>
            <w:r>
              <w:rPr/>
              <w:t>ECURSOS PARA </w:t>
            </w:r>
            <w:r>
              <w:rPr>
                <w:sz w:val="20"/>
              </w:rPr>
              <w:t>R</w:t>
            </w:r>
            <w:r>
              <w:rPr/>
              <w:t>ESERVA</w:t>
            </w:r>
            <w:r>
              <w:rPr>
                <w:spacing w:val="-1"/>
              </w:rPr>
              <w:t> </w:t>
            </w:r>
            <w:r>
              <w:rPr/>
              <w:t>DE </w:t>
            </w:r>
            <w:r>
              <w:rPr>
                <w:sz w:val="20"/>
              </w:rPr>
              <w:t>C</w:t>
            </w:r>
            <w:r>
              <w:rPr/>
              <w:t>ONTINGÊNCIA</w:t>
              <w:tab/>
            </w:r>
            <w:r>
              <w:rPr>
                <w:sz w:val="20"/>
              </w:rPr>
              <w:t>23</w:t>
            </w:r>
          </w:hyperlink>
        </w:p>
        <w:p>
          <w:pPr>
            <w:pStyle w:val="TOC2"/>
            <w:numPr>
              <w:ilvl w:val="1"/>
              <w:numId w:val="1"/>
            </w:numPr>
            <w:tabs>
              <w:tab w:pos="2582" w:val="left" w:leader="none"/>
              <w:tab w:pos="2583" w:val="left" w:leader="none"/>
              <w:tab w:pos="10763" w:val="right" w:leader="dot"/>
            </w:tabs>
            <w:spacing w:line="240" w:lineRule="auto" w:before="17" w:after="0"/>
            <w:ind w:left="2582" w:right="0" w:hanging="661"/>
            <w:jc w:val="left"/>
            <w:rPr>
              <w:sz w:val="20"/>
            </w:rPr>
          </w:pPr>
          <w:hyperlink w:history="true" w:anchor="_bookmark18">
            <w:r>
              <w:rPr>
                <w:sz w:val="20"/>
              </w:rPr>
              <w:t>F</w:t>
            </w:r>
            <w:r>
              <w:rPr/>
              <w:t>OCANDO </w:t>
            </w:r>
            <w:r>
              <w:rPr>
                <w:sz w:val="20"/>
              </w:rPr>
              <w:t>G</w:t>
            </w:r>
            <w:r>
              <w:rPr/>
              <w:t>RUPOS</w:t>
            </w:r>
            <w:r>
              <w:rPr>
                <w:spacing w:val="-2"/>
              </w:rPr>
              <w:t> </w:t>
            </w:r>
            <w:r>
              <w:rPr/>
              <w:t>DE </w:t>
            </w:r>
            <w:r>
              <w:rPr>
                <w:sz w:val="20"/>
              </w:rPr>
              <w:t>D</w:t>
            </w:r>
            <w:r>
              <w:rPr/>
              <w:t>ESPESAS</w:t>
              <w:tab/>
            </w:r>
            <w:r>
              <w:rPr>
                <w:sz w:val="20"/>
              </w:rPr>
              <w:t>23</w:t>
            </w:r>
          </w:hyperlink>
        </w:p>
        <w:p>
          <w:pPr>
            <w:pStyle w:val="TOC2"/>
            <w:numPr>
              <w:ilvl w:val="1"/>
              <w:numId w:val="1"/>
            </w:numPr>
            <w:tabs>
              <w:tab w:pos="2582" w:val="left" w:leader="none"/>
              <w:tab w:pos="2583" w:val="left" w:leader="none"/>
              <w:tab w:pos="10763" w:val="right" w:leader="dot"/>
            </w:tabs>
            <w:spacing w:line="240" w:lineRule="auto" w:before="20" w:after="0"/>
            <w:ind w:left="2582" w:right="0" w:hanging="661"/>
            <w:jc w:val="left"/>
            <w:rPr>
              <w:sz w:val="20"/>
            </w:rPr>
          </w:pPr>
          <w:hyperlink w:history="true" w:anchor="_bookmark19">
            <w:r>
              <w:rPr>
                <w:sz w:val="20"/>
              </w:rPr>
              <w:t>P</w:t>
            </w:r>
            <w:r>
              <w:rPr/>
              <w:t>ROJETOS </w:t>
            </w:r>
            <w:r>
              <w:rPr>
                <w:sz w:val="20"/>
              </w:rPr>
              <w:t>E</w:t>
            </w:r>
            <w:r>
              <w:rPr/>
              <w:t>SPECÍFICOS</w:t>
              <w:tab/>
            </w:r>
            <w:r>
              <w:rPr>
                <w:sz w:val="20"/>
              </w:rPr>
              <w:t>24</w:t>
            </w:r>
          </w:hyperlink>
        </w:p>
        <w:p>
          <w:pPr>
            <w:pStyle w:val="TOC1"/>
            <w:numPr>
              <w:ilvl w:val="0"/>
              <w:numId w:val="1"/>
            </w:numPr>
            <w:tabs>
              <w:tab w:pos="2141" w:val="left" w:leader="none"/>
              <w:tab w:pos="2142" w:val="left" w:leader="none"/>
              <w:tab w:pos="10763" w:val="right" w:leader="dot"/>
            </w:tabs>
            <w:spacing w:line="240" w:lineRule="auto" w:before="140" w:after="0"/>
            <w:ind w:left="2141" w:right="0" w:hanging="440"/>
            <w:jc w:val="left"/>
          </w:pPr>
          <w:hyperlink w:history="true" w:anchor="_bookmark20">
            <w:r>
              <w:rPr/>
              <w:t>SISTEMÁTICA DE ELABORAÇÃO DO PLANO DE AÇÃO E DO</w:t>
            </w:r>
            <w:r>
              <w:rPr>
                <w:spacing w:val="-3"/>
              </w:rPr>
              <w:t> </w:t>
            </w:r>
            <w:r>
              <w:rPr/>
              <w:t>ORÇAMENTO</w:t>
            </w:r>
            <w:r>
              <w:rPr>
                <w:spacing w:val="-1"/>
              </w:rPr>
              <w:t> </w:t>
            </w:r>
            <w:r>
              <w:rPr/>
              <w:t>2021</w:t>
              <w:tab/>
              <w:t>24</w:t>
            </w:r>
          </w:hyperlink>
        </w:p>
        <w:p>
          <w:pPr>
            <w:pStyle w:val="TOC2"/>
            <w:numPr>
              <w:ilvl w:val="1"/>
              <w:numId w:val="1"/>
            </w:numPr>
            <w:tabs>
              <w:tab w:pos="2582" w:val="left" w:leader="none"/>
              <w:tab w:pos="2583" w:val="left" w:leader="none"/>
              <w:tab w:pos="10763" w:val="right" w:leader="dot"/>
            </w:tabs>
            <w:spacing w:line="240" w:lineRule="auto" w:before="140" w:after="0"/>
            <w:ind w:left="2582" w:right="0" w:hanging="661"/>
            <w:jc w:val="left"/>
            <w:rPr>
              <w:sz w:val="20"/>
            </w:rPr>
          </w:pPr>
          <w:hyperlink w:history="true" w:anchor="_bookmark21">
            <w:r>
              <w:rPr>
                <w:sz w:val="20"/>
              </w:rPr>
              <w:t>C</w:t>
            </w:r>
            <w:r>
              <w:rPr/>
              <w:t>ENÁRIO</w:t>
            </w:r>
            <w:r>
              <w:rPr>
                <w:spacing w:val="-2"/>
              </w:rPr>
              <w:t> </w:t>
            </w:r>
            <w:r>
              <w:rPr/>
              <w:t>DE</w:t>
            </w:r>
            <w:r>
              <w:rPr>
                <w:spacing w:val="1"/>
              </w:rPr>
              <w:t> </w:t>
            </w:r>
            <w:r>
              <w:rPr>
                <w:sz w:val="20"/>
              </w:rPr>
              <w:t>R</w:t>
            </w:r>
            <w:r>
              <w:rPr/>
              <w:t>ECURSOS</w:t>
              <w:tab/>
            </w:r>
            <w:r>
              <w:rPr>
                <w:sz w:val="20"/>
              </w:rPr>
              <w:t>25</w:t>
            </w:r>
          </w:hyperlink>
        </w:p>
        <w:p>
          <w:pPr>
            <w:pStyle w:val="TOC4"/>
            <w:numPr>
              <w:ilvl w:val="2"/>
              <w:numId w:val="1"/>
            </w:numPr>
            <w:tabs>
              <w:tab w:pos="2801" w:val="left" w:leader="none"/>
              <w:tab w:pos="2802" w:val="left" w:leader="none"/>
              <w:tab w:pos="10763" w:val="right" w:leader="dot"/>
            </w:tabs>
            <w:spacing w:line="240" w:lineRule="auto" w:before="19" w:after="0"/>
            <w:ind w:left="2801" w:right="0" w:hanging="661"/>
            <w:jc w:val="left"/>
            <w:rPr>
              <w:i/>
            </w:rPr>
          </w:pPr>
          <w:hyperlink w:history="true" w:anchor="_bookmark22">
            <w:r>
              <w:rPr>
                <w:i/>
              </w:rPr>
              <w:t>Receitas</w:t>
            </w:r>
            <w:r>
              <w:rPr>
                <w:i/>
                <w:spacing w:val="-2"/>
              </w:rPr>
              <w:t> </w:t>
            </w:r>
            <w:r>
              <w:rPr>
                <w:i/>
              </w:rPr>
              <w:t>de Arrecadação</w:t>
              <w:tab/>
              <w:t>26</w:t>
            </w:r>
          </w:hyperlink>
        </w:p>
        <w:p>
          <w:pPr>
            <w:pStyle w:val="TOC4"/>
            <w:numPr>
              <w:ilvl w:val="2"/>
              <w:numId w:val="1"/>
            </w:numPr>
            <w:tabs>
              <w:tab w:pos="2801" w:val="left" w:leader="none"/>
              <w:tab w:pos="2802" w:val="left" w:leader="none"/>
              <w:tab w:pos="10763" w:val="right" w:leader="dot"/>
            </w:tabs>
            <w:spacing w:line="240" w:lineRule="auto" w:before="18" w:after="0"/>
            <w:ind w:left="2801" w:right="0" w:hanging="661"/>
            <w:jc w:val="left"/>
            <w:rPr>
              <w:i/>
            </w:rPr>
          </w:pPr>
          <w:hyperlink w:history="true" w:anchor="_bookmark24">
            <w:r>
              <w:rPr>
                <w:i/>
              </w:rPr>
              <w:t>Projeção das Receitas de Arrecadação –</w:t>
            </w:r>
            <w:r>
              <w:rPr>
                <w:i/>
                <w:spacing w:val="-4"/>
              </w:rPr>
              <w:t> </w:t>
            </w:r>
            <w:r>
              <w:rPr>
                <w:i/>
              </w:rPr>
              <w:t>Exercício</w:t>
            </w:r>
            <w:r>
              <w:rPr>
                <w:i/>
                <w:spacing w:val="1"/>
              </w:rPr>
              <w:t> </w:t>
            </w:r>
            <w:r>
              <w:rPr>
                <w:i/>
              </w:rPr>
              <w:t>2021</w:t>
              <w:tab/>
              <w:t>28</w:t>
            </w:r>
          </w:hyperlink>
        </w:p>
        <w:p>
          <w:pPr>
            <w:pStyle w:val="TOC1"/>
            <w:numPr>
              <w:ilvl w:val="0"/>
              <w:numId w:val="1"/>
            </w:numPr>
            <w:tabs>
              <w:tab w:pos="2141" w:val="left" w:leader="none"/>
              <w:tab w:pos="2142" w:val="left" w:leader="none"/>
              <w:tab w:pos="10763" w:val="right" w:leader="dot"/>
            </w:tabs>
            <w:spacing w:line="240" w:lineRule="auto" w:before="140" w:after="0"/>
            <w:ind w:left="2141" w:right="0" w:hanging="440"/>
            <w:jc w:val="left"/>
          </w:pPr>
          <w:hyperlink w:history="true" w:anchor="_bookmark30">
            <w:r>
              <w:rPr/>
              <w:t>SISTEMÁTICA DE ELABORAÇÃO DO PLANO DE AÇÃO E DO</w:t>
            </w:r>
            <w:r>
              <w:rPr>
                <w:spacing w:val="-3"/>
              </w:rPr>
              <w:t> </w:t>
            </w:r>
            <w:r>
              <w:rPr/>
              <w:t>ORÇAMENTO</w:t>
            </w:r>
            <w:r>
              <w:rPr>
                <w:spacing w:val="-1"/>
              </w:rPr>
              <w:t> </w:t>
            </w:r>
            <w:r>
              <w:rPr/>
              <w:t>2021</w:t>
              <w:tab/>
              <w:t>39</w:t>
            </w:r>
          </w:hyperlink>
        </w:p>
        <w:p>
          <w:pPr>
            <w:pStyle w:val="TOC2"/>
            <w:numPr>
              <w:ilvl w:val="1"/>
              <w:numId w:val="1"/>
            </w:numPr>
            <w:tabs>
              <w:tab w:pos="2582" w:val="left" w:leader="none"/>
              <w:tab w:pos="2583" w:val="left" w:leader="none"/>
              <w:tab w:pos="10763" w:val="right" w:leader="dot"/>
            </w:tabs>
            <w:spacing w:line="240" w:lineRule="auto" w:before="140" w:after="0"/>
            <w:ind w:left="2582" w:right="0" w:hanging="661"/>
            <w:jc w:val="left"/>
            <w:rPr>
              <w:sz w:val="20"/>
            </w:rPr>
          </w:pPr>
          <w:hyperlink w:history="true" w:anchor="_bookmark31">
            <w:r>
              <w:rPr>
                <w:sz w:val="20"/>
              </w:rPr>
              <w:t>D</w:t>
            </w:r>
            <w:r>
              <w:rPr/>
              <w:t>A </w:t>
            </w:r>
            <w:r>
              <w:rPr>
                <w:sz w:val="20"/>
              </w:rPr>
              <w:t>D</w:t>
            </w:r>
            <w:r>
              <w:rPr/>
              <w:t>ISPONIBILIZAÇÃO E</w:t>
            </w:r>
            <w:r>
              <w:rPr>
                <w:spacing w:val="-2"/>
              </w:rPr>
              <w:t> </w:t>
            </w:r>
            <w:r>
              <w:rPr/>
              <w:t>DA</w:t>
            </w:r>
            <w:r>
              <w:rPr>
                <w:spacing w:val="1"/>
              </w:rPr>
              <w:t> </w:t>
            </w:r>
            <w:r>
              <w:rPr>
                <w:sz w:val="20"/>
              </w:rPr>
              <w:t>A</w:t>
            </w:r>
            <w:r>
              <w:rPr/>
              <w:t>PROVAÇÃO</w:t>
              <w:tab/>
            </w:r>
            <w:r>
              <w:rPr>
                <w:sz w:val="20"/>
              </w:rPr>
              <w:t>39</w:t>
            </w:r>
          </w:hyperlink>
        </w:p>
        <w:p>
          <w:pPr>
            <w:pStyle w:val="TOC3"/>
            <w:numPr>
              <w:ilvl w:val="1"/>
              <w:numId w:val="1"/>
            </w:numPr>
            <w:tabs>
              <w:tab w:pos="2582" w:val="left" w:leader="none"/>
              <w:tab w:pos="2583" w:val="left" w:leader="none"/>
              <w:tab w:pos="10763" w:val="right" w:leader="dot"/>
            </w:tabs>
            <w:spacing w:line="240" w:lineRule="auto" w:before="20" w:after="0"/>
            <w:ind w:left="2582" w:right="0" w:hanging="661"/>
            <w:jc w:val="left"/>
            <w:rPr>
              <w:b w:val="0"/>
              <w:i w:val="0"/>
              <w:sz w:val="20"/>
            </w:rPr>
          </w:pPr>
          <w:hyperlink w:history="true" w:anchor="_bookmark32">
            <w:r>
              <w:rPr>
                <w:b w:val="0"/>
                <w:i w:val="0"/>
                <w:sz w:val="20"/>
              </w:rPr>
              <w:t>D</w:t>
            </w:r>
            <w:r>
              <w:rPr>
                <w:b w:val="0"/>
                <w:i w:val="0"/>
                <w:sz w:val="16"/>
              </w:rPr>
              <w:t>A </w:t>
            </w:r>
            <w:r>
              <w:rPr>
                <w:b w:val="0"/>
                <w:i w:val="0"/>
                <w:sz w:val="20"/>
              </w:rPr>
              <w:t>C</w:t>
            </w:r>
            <w:r>
              <w:rPr>
                <w:b w:val="0"/>
                <w:i w:val="0"/>
                <w:sz w:val="16"/>
              </w:rPr>
              <w:t>ONSOLIDAÇÃO DO </w:t>
            </w:r>
            <w:r>
              <w:rPr>
                <w:b w:val="0"/>
                <w:i w:val="0"/>
                <w:sz w:val="20"/>
              </w:rPr>
              <w:t>P</w:t>
            </w:r>
            <w:r>
              <w:rPr>
                <w:b w:val="0"/>
                <w:i w:val="0"/>
                <w:sz w:val="16"/>
              </w:rPr>
              <w:t>LANO DE </w:t>
            </w:r>
            <w:r>
              <w:rPr>
                <w:b w:val="0"/>
                <w:i w:val="0"/>
                <w:sz w:val="20"/>
              </w:rPr>
              <w:t>A</w:t>
            </w:r>
            <w:r>
              <w:rPr>
                <w:b w:val="0"/>
                <w:i w:val="0"/>
                <w:sz w:val="16"/>
              </w:rPr>
              <w:t>ÇÃO E</w:t>
            </w:r>
            <w:r>
              <w:rPr>
                <w:b w:val="0"/>
                <w:i w:val="0"/>
                <w:spacing w:val="-5"/>
                <w:sz w:val="16"/>
              </w:rPr>
              <w:t> </w:t>
            </w:r>
            <w:r>
              <w:rPr>
                <w:b w:val="0"/>
                <w:i w:val="0"/>
                <w:sz w:val="20"/>
              </w:rPr>
              <w:t>O</w:t>
            </w:r>
            <w:r>
              <w:rPr>
                <w:b w:val="0"/>
                <w:i w:val="0"/>
                <w:sz w:val="16"/>
              </w:rPr>
              <w:t>RÇAMENTO</w:t>
            </w:r>
            <w:r>
              <w:rPr>
                <w:b w:val="0"/>
                <w:i w:val="0"/>
                <w:spacing w:val="-1"/>
                <w:sz w:val="16"/>
              </w:rPr>
              <w:t> </w:t>
            </w:r>
            <w:r>
              <w:rPr>
                <w:b w:val="0"/>
                <w:i w:val="0"/>
                <w:sz w:val="20"/>
              </w:rPr>
              <w:t>2021</w:t>
              <w:tab/>
              <w:t>40</w:t>
            </w:r>
          </w:hyperlink>
        </w:p>
        <w:p>
          <w:pPr>
            <w:pStyle w:val="TOC1"/>
            <w:numPr>
              <w:ilvl w:val="0"/>
              <w:numId w:val="1"/>
            </w:numPr>
            <w:tabs>
              <w:tab w:pos="2141" w:val="left" w:leader="none"/>
              <w:tab w:pos="2142" w:val="left" w:leader="none"/>
              <w:tab w:pos="10763" w:val="right" w:leader="dot"/>
            </w:tabs>
            <w:spacing w:line="240" w:lineRule="auto" w:before="138" w:after="0"/>
            <w:ind w:left="2141" w:right="0" w:hanging="440"/>
            <w:jc w:val="left"/>
          </w:pPr>
          <w:hyperlink w:history="true" w:anchor="_bookmark33">
            <w:r>
              <w:rPr/>
              <w:t>CALENDÁRIO DA PROGRAMAÇÃO DO PLANO DE AÇÃO E ORÇAMENTO DO CAU –</w:t>
            </w:r>
            <w:r>
              <w:rPr>
                <w:spacing w:val="-24"/>
              </w:rPr>
              <w:t> </w:t>
            </w:r>
            <w:r>
              <w:rPr/>
              <w:t>EXERCÍCIO</w:t>
            </w:r>
            <w:r>
              <w:rPr>
                <w:spacing w:val="-2"/>
              </w:rPr>
              <w:t> </w:t>
            </w:r>
            <w:r>
              <w:rPr/>
              <w:t>2021</w:t>
              <w:tab/>
              <w:t>41</w:t>
            </w:r>
          </w:hyperlink>
        </w:p>
        <w:p>
          <w:pPr>
            <w:pStyle w:val="TOC1"/>
            <w:numPr>
              <w:ilvl w:val="0"/>
              <w:numId w:val="1"/>
            </w:numPr>
            <w:tabs>
              <w:tab w:pos="2141" w:val="left" w:leader="none"/>
              <w:tab w:pos="2142" w:val="left" w:leader="none"/>
              <w:tab w:pos="10763" w:val="right" w:leader="dot"/>
            </w:tabs>
            <w:spacing w:line="240" w:lineRule="auto" w:before="139" w:after="0"/>
            <w:ind w:left="2141" w:right="0" w:hanging="440"/>
            <w:jc w:val="left"/>
          </w:pPr>
          <w:hyperlink w:history="true" w:anchor="_bookmark34">
            <w:r>
              <w:rPr/>
              <w:t>ANEXOS</w:t>
              <w:tab/>
              <w:t>42</w:t>
            </w:r>
          </w:hyperlink>
        </w:p>
      </w:sdtContent>
    </w:sdt>
    <w:p>
      <w:pPr>
        <w:spacing w:after="0" w:line="240" w:lineRule="auto"/>
        <w:jc w:val="left"/>
        <w:sectPr>
          <w:pgSz w:w="11910" w:h="16840"/>
          <w:pgMar w:header="590" w:footer="612" w:top="1460" w:bottom="800" w:left="0" w:right="0"/>
        </w:sectPr>
      </w:pPr>
    </w:p>
    <w:p>
      <w:pPr>
        <w:spacing w:before="227"/>
        <w:ind w:left="1702" w:right="0" w:firstLine="0"/>
        <w:jc w:val="left"/>
        <w:rPr>
          <w:b/>
          <w:sz w:val="28"/>
        </w:rPr>
      </w:pPr>
      <w:r>
        <w:rPr>
          <w:b/>
          <w:sz w:val="28"/>
        </w:rPr>
        <w:t>ÍNDICE DE FIGURA, QUADROS E ANEXOS</w:t>
      </w:r>
    </w:p>
    <w:p>
      <w:pPr>
        <w:tabs>
          <w:tab w:pos="10663" w:val="left" w:leader="dot"/>
        </w:tabs>
        <w:spacing w:before="188"/>
        <w:ind w:left="1702" w:right="0" w:firstLine="0"/>
        <w:jc w:val="left"/>
        <w:rPr>
          <w:b/>
          <w:sz w:val="20"/>
        </w:rPr>
      </w:pPr>
      <w:hyperlink w:history="true" w:anchor="_bookmark3">
        <w:r>
          <w:rPr>
            <w:b/>
            <w:sz w:val="20"/>
          </w:rPr>
          <w:t>FIGURA 1 – MAPA ESTRATÉGICO DO</w:t>
        </w:r>
        <w:r>
          <w:rPr>
            <w:b/>
            <w:spacing w:val="-13"/>
            <w:sz w:val="20"/>
          </w:rPr>
          <w:t> </w:t>
        </w:r>
        <w:r>
          <w:rPr>
            <w:b/>
            <w:sz w:val="20"/>
          </w:rPr>
          <w:t>CAU</w:t>
        </w:r>
        <w:r>
          <w:rPr>
            <w:b/>
            <w:spacing w:val="-3"/>
            <w:sz w:val="20"/>
          </w:rPr>
          <w:t> </w:t>
        </w:r>
        <w:r>
          <w:rPr>
            <w:b/>
            <w:sz w:val="20"/>
          </w:rPr>
          <w:t>2023</w:t>
          <w:tab/>
          <w:t>7</w:t>
        </w:r>
      </w:hyperlink>
    </w:p>
    <w:p>
      <w:pPr>
        <w:tabs>
          <w:tab w:pos="10562" w:val="left" w:leader="dot"/>
        </w:tabs>
        <w:spacing w:before="140"/>
        <w:ind w:left="1702" w:right="0" w:firstLine="0"/>
        <w:jc w:val="left"/>
        <w:rPr>
          <w:b/>
          <w:sz w:val="20"/>
        </w:rPr>
      </w:pPr>
      <w:hyperlink w:history="true" w:anchor="_bookmark8">
        <w:r>
          <w:rPr>
            <w:b/>
            <w:sz w:val="20"/>
          </w:rPr>
          <w:t>FIGURA 2 – OBJETIVOS DE</w:t>
        </w:r>
        <w:r>
          <w:rPr>
            <w:b/>
            <w:spacing w:val="-19"/>
            <w:sz w:val="20"/>
          </w:rPr>
          <w:t> </w:t>
        </w:r>
        <w:r>
          <w:rPr>
            <w:b/>
            <w:sz w:val="20"/>
          </w:rPr>
          <w:t>DESENVOLVIMENTO</w:t>
        </w:r>
        <w:r>
          <w:rPr>
            <w:b/>
            <w:spacing w:val="-2"/>
            <w:sz w:val="20"/>
          </w:rPr>
          <w:t> </w:t>
        </w:r>
        <w:r>
          <w:rPr>
            <w:b/>
            <w:sz w:val="20"/>
          </w:rPr>
          <w:t>SUSTENTÁVEL</w:t>
          <w:tab/>
          <w:t>10</w:t>
        </w:r>
      </w:hyperlink>
    </w:p>
    <w:p>
      <w:pPr>
        <w:tabs>
          <w:tab w:pos="10562" w:val="left" w:leader="dot"/>
        </w:tabs>
        <w:spacing w:before="140"/>
        <w:ind w:left="1702" w:right="0" w:firstLine="0"/>
        <w:jc w:val="left"/>
        <w:rPr>
          <w:b/>
          <w:sz w:val="20"/>
        </w:rPr>
      </w:pPr>
      <w:hyperlink w:history="true" w:anchor="_bookmark12">
        <w:r>
          <w:rPr>
            <w:b/>
            <w:sz w:val="20"/>
          </w:rPr>
          <w:t>QUADRO 1 – AÇÕES</w:t>
        </w:r>
        <w:r>
          <w:rPr>
            <w:b/>
            <w:spacing w:val="-15"/>
            <w:sz w:val="20"/>
          </w:rPr>
          <w:t> </w:t>
        </w:r>
        <w:r>
          <w:rPr>
            <w:b/>
            <w:sz w:val="20"/>
          </w:rPr>
          <w:t>ESTRATÉGICAS</w:t>
        </w:r>
        <w:r>
          <w:rPr>
            <w:b/>
            <w:spacing w:val="-3"/>
            <w:sz w:val="20"/>
          </w:rPr>
          <w:t> </w:t>
        </w:r>
        <w:r>
          <w:rPr>
            <w:b/>
            <w:sz w:val="20"/>
          </w:rPr>
          <w:t>PRIORITÁRIAS</w:t>
          <w:tab/>
          <w:t>14</w:t>
        </w:r>
      </w:hyperlink>
    </w:p>
    <w:p>
      <w:pPr>
        <w:tabs>
          <w:tab w:pos="10562" w:val="left" w:leader="dot"/>
        </w:tabs>
        <w:spacing w:before="138"/>
        <w:ind w:left="1702" w:right="0" w:firstLine="0"/>
        <w:jc w:val="left"/>
        <w:rPr>
          <w:b/>
          <w:sz w:val="20"/>
        </w:rPr>
      </w:pPr>
      <w:hyperlink w:history="true" w:anchor="_bookmark23">
        <w:r>
          <w:rPr>
            <w:b/>
            <w:sz w:val="20"/>
          </w:rPr>
          <w:t>QUADRO 2 – VALOR DE ANUIDADE E RRT - REPROGRAMAÇÃO 2020 X</w:t>
        </w:r>
        <w:r>
          <w:rPr>
            <w:b/>
            <w:spacing w:val="-26"/>
            <w:sz w:val="20"/>
          </w:rPr>
          <w:t> </w:t>
        </w:r>
        <w:r>
          <w:rPr>
            <w:b/>
            <w:sz w:val="20"/>
          </w:rPr>
          <w:t>PROGRAMAÇÃO 2021</w:t>
          <w:tab/>
          <w:t>27</w:t>
        </w:r>
      </w:hyperlink>
    </w:p>
    <w:p>
      <w:pPr>
        <w:tabs>
          <w:tab w:pos="10562" w:val="left" w:leader="dot"/>
        </w:tabs>
        <w:spacing w:line="259" w:lineRule="auto" w:before="140"/>
        <w:ind w:left="1702" w:right="1134" w:firstLine="0"/>
        <w:jc w:val="left"/>
        <w:rPr>
          <w:b/>
          <w:sz w:val="20"/>
        </w:rPr>
      </w:pPr>
      <w:hyperlink w:history="true" w:anchor="_bookmark25">
        <w:r>
          <w:rPr>
            <w:b/>
            <w:sz w:val="20"/>
          </w:rPr>
          <w:t>QUADRO</w:t>
        </w:r>
        <w:r>
          <w:rPr>
            <w:b/>
            <w:spacing w:val="-13"/>
            <w:sz w:val="20"/>
          </w:rPr>
          <w:t> </w:t>
        </w:r>
        <w:r>
          <w:rPr>
            <w:b/>
            <w:sz w:val="20"/>
          </w:rPr>
          <w:t>3</w:t>
        </w:r>
        <w:r>
          <w:rPr>
            <w:b/>
            <w:spacing w:val="-10"/>
            <w:sz w:val="20"/>
          </w:rPr>
          <w:t> </w:t>
        </w:r>
        <w:r>
          <w:rPr>
            <w:b/>
            <w:sz w:val="20"/>
          </w:rPr>
          <w:t>–</w:t>
        </w:r>
        <w:r>
          <w:rPr>
            <w:b/>
            <w:spacing w:val="-14"/>
            <w:sz w:val="20"/>
          </w:rPr>
          <w:t> </w:t>
        </w:r>
        <w:r>
          <w:rPr>
            <w:b/>
            <w:sz w:val="20"/>
          </w:rPr>
          <w:t>ARQUITETOS</w:t>
        </w:r>
        <w:r>
          <w:rPr>
            <w:b/>
            <w:spacing w:val="-13"/>
            <w:sz w:val="20"/>
          </w:rPr>
          <w:t> </w:t>
        </w:r>
        <w:r>
          <w:rPr>
            <w:b/>
            <w:sz w:val="20"/>
          </w:rPr>
          <w:t>E</w:t>
        </w:r>
        <w:r>
          <w:rPr>
            <w:b/>
            <w:spacing w:val="-12"/>
            <w:sz w:val="20"/>
          </w:rPr>
          <w:t> </w:t>
        </w:r>
        <w:r>
          <w:rPr>
            <w:b/>
            <w:sz w:val="20"/>
          </w:rPr>
          <w:t>URBANISTAS,</w:t>
        </w:r>
        <w:r>
          <w:rPr>
            <w:b/>
            <w:spacing w:val="-13"/>
            <w:sz w:val="20"/>
          </w:rPr>
          <w:t> </w:t>
        </w:r>
        <w:r>
          <w:rPr>
            <w:b/>
            <w:sz w:val="20"/>
          </w:rPr>
          <w:t>EMPRESAS</w:t>
        </w:r>
        <w:r>
          <w:rPr>
            <w:b/>
            <w:spacing w:val="-13"/>
            <w:sz w:val="20"/>
          </w:rPr>
          <w:t> </w:t>
        </w:r>
        <w:r>
          <w:rPr>
            <w:b/>
            <w:sz w:val="20"/>
          </w:rPr>
          <w:t>E</w:t>
        </w:r>
        <w:r>
          <w:rPr>
            <w:b/>
            <w:spacing w:val="-12"/>
            <w:sz w:val="20"/>
          </w:rPr>
          <w:t> </w:t>
        </w:r>
        <w:r>
          <w:rPr>
            <w:b/>
            <w:sz w:val="20"/>
          </w:rPr>
          <w:t>RRT</w:t>
        </w:r>
        <w:r>
          <w:rPr>
            <w:b/>
            <w:spacing w:val="-6"/>
            <w:sz w:val="20"/>
          </w:rPr>
          <w:t> </w:t>
        </w:r>
        <w:r>
          <w:rPr>
            <w:b/>
            <w:sz w:val="20"/>
          </w:rPr>
          <w:t>–</w:t>
        </w:r>
        <w:r>
          <w:rPr>
            <w:b/>
            <w:spacing w:val="-13"/>
            <w:sz w:val="20"/>
          </w:rPr>
          <w:t> </w:t>
        </w:r>
        <w:r>
          <w:rPr>
            <w:b/>
            <w:sz w:val="20"/>
          </w:rPr>
          <w:t>REPROGRAMAÇÃO</w:t>
        </w:r>
        <w:r>
          <w:rPr>
            <w:b/>
            <w:spacing w:val="-13"/>
            <w:sz w:val="20"/>
          </w:rPr>
          <w:t> </w:t>
        </w:r>
        <w:r>
          <w:rPr>
            <w:b/>
            <w:sz w:val="20"/>
          </w:rPr>
          <w:t>2020</w:t>
        </w:r>
        <w:r>
          <w:rPr>
            <w:b/>
            <w:spacing w:val="-13"/>
            <w:sz w:val="20"/>
          </w:rPr>
          <w:t> </w:t>
        </w:r>
        <w:r>
          <w:rPr>
            <w:b/>
            <w:sz w:val="20"/>
          </w:rPr>
          <w:t>X</w:t>
        </w:r>
        <w:r>
          <w:rPr>
            <w:b/>
            <w:spacing w:val="-10"/>
            <w:sz w:val="20"/>
          </w:rPr>
          <w:t> </w:t>
        </w:r>
        <w:r>
          <w:rPr>
            <w:b/>
            <w:sz w:val="20"/>
          </w:rPr>
          <w:t>PROGRAMAÇÃO</w:t>
        </w:r>
        <w:r>
          <w:rPr>
            <w:b/>
            <w:spacing w:val="-10"/>
            <w:sz w:val="20"/>
          </w:rPr>
          <w:t> </w:t>
        </w:r>
        <w:r>
          <w:rPr>
            <w:b/>
            <w:sz w:val="20"/>
          </w:rPr>
          <w:t>2021</w:t>
        </w:r>
      </w:hyperlink>
      <w:r>
        <w:rPr>
          <w:b/>
          <w:sz w:val="20"/>
        </w:rPr>
        <w:t> </w:t>
      </w:r>
      <w:hyperlink w:history="true" w:anchor="_bookmark25">
        <w:r>
          <w:rPr>
            <w:b/>
            <w:sz w:val="20"/>
          </w:rPr>
          <w:t>(QUANTIDADE)</w:t>
          <w:tab/>
          <w:t>29</w:t>
        </w:r>
      </w:hyperlink>
    </w:p>
    <w:p>
      <w:pPr>
        <w:tabs>
          <w:tab w:pos="10562" w:val="left" w:leader="dot"/>
        </w:tabs>
        <w:spacing w:before="121"/>
        <w:ind w:left="1702" w:right="0" w:firstLine="0"/>
        <w:jc w:val="left"/>
        <w:rPr>
          <w:b/>
          <w:sz w:val="20"/>
        </w:rPr>
      </w:pPr>
      <w:hyperlink w:history="true" w:anchor="_bookmark26">
        <w:r>
          <w:rPr>
            <w:b/>
            <w:sz w:val="20"/>
          </w:rPr>
          <w:t>QUADRO 4 – ESTIMATIVAS DAS RECEITAS DO CAU – REPROGRAMAÇÃO 2020 X</w:t>
        </w:r>
        <w:r>
          <w:rPr>
            <w:b/>
            <w:spacing w:val="-25"/>
            <w:sz w:val="20"/>
          </w:rPr>
          <w:t> </w:t>
        </w:r>
        <w:r>
          <w:rPr>
            <w:b/>
            <w:sz w:val="20"/>
          </w:rPr>
          <w:t>PROGRAMAÇÃO</w:t>
        </w:r>
        <w:r>
          <w:rPr>
            <w:b/>
            <w:spacing w:val="-3"/>
            <w:sz w:val="20"/>
          </w:rPr>
          <w:t> </w:t>
        </w:r>
        <w:r>
          <w:rPr>
            <w:b/>
            <w:sz w:val="20"/>
          </w:rPr>
          <w:t>2021</w:t>
          <w:tab/>
          <w:t>34</w:t>
        </w:r>
      </w:hyperlink>
    </w:p>
    <w:p>
      <w:pPr>
        <w:tabs>
          <w:tab w:pos="10562" w:val="left" w:leader="dot"/>
        </w:tabs>
        <w:spacing w:before="140"/>
        <w:ind w:left="1702" w:right="0" w:firstLine="0"/>
        <w:jc w:val="left"/>
        <w:rPr>
          <w:b/>
          <w:sz w:val="20"/>
        </w:rPr>
      </w:pPr>
      <w:hyperlink w:history="true" w:anchor="_bookmark27">
        <w:r>
          <w:rPr>
            <w:b/>
            <w:sz w:val="20"/>
          </w:rPr>
          <w:t>QUADRO 5 – RECEITA DO CAU</w:t>
        </w:r>
        <w:r>
          <w:rPr>
            <w:b/>
            <w:spacing w:val="-9"/>
            <w:sz w:val="20"/>
          </w:rPr>
          <w:t> </w:t>
        </w:r>
        <w:r>
          <w:rPr>
            <w:b/>
            <w:sz w:val="20"/>
          </w:rPr>
          <w:t>PARA</w:t>
        </w:r>
        <w:r>
          <w:rPr>
            <w:b/>
            <w:spacing w:val="-2"/>
            <w:sz w:val="20"/>
          </w:rPr>
          <w:t> </w:t>
        </w:r>
        <w:r>
          <w:rPr>
            <w:b/>
            <w:sz w:val="20"/>
          </w:rPr>
          <w:t>2021</w:t>
          <w:tab/>
          <w:t>35</w:t>
        </w:r>
      </w:hyperlink>
    </w:p>
    <w:p>
      <w:pPr>
        <w:tabs>
          <w:tab w:pos="10562" w:val="left" w:leader="dot"/>
        </w:tabs>
        <w:spacing w:before="137"/>
        <w:ind w:left="1702" w:right="0" w:firstLine="0"/>
        <w:jc w:val="left"/>
        <w:rPr>
          <w:b/>
          <w:sz w:val="20"/>
        </w:rPr>
      </w:pPr>
      <w:hyperlink w:history="true" w:anchor="_bookmark28">
        <w:r>
          <w:rPr>
            <w:b/>
            <w:sz w:val="20"/>
          </w:rPr>
          <w:t>QUADRO 6 - RECEITAS DOS CAU/UF E CAU/BR –</w:t>
        </w:r>
        <w:r>
          <w:rPr>
            <w:b/>
            <w:spacing w:val="-15"/>
            <w:sz w:val="20"/>
          </w:rPr>
          <w:t> </w:t>
        </w:r>
        <w:r>
          <w:rPr>
            <w:b/>
            <w:sz w:val="20"/>
          </w:rPr>
          <w:t>PROGRAMAÇÃO</w:t>
        </w:r>
        <w:r>
          <w:rPr>
            <w:b/>
            <w:spacing w:val="-3"/>
            <w:sz w:val="20"/>
          </w:rPr>
          <w:t> </w:t>
        </w:r>
        <w:r>
          <w:rPr>
            <w:b/>
            <w:sz w:val="20"/>
          </w:rPr>
          <w:t>2021</w:t>
          <w:tab/>
          <w:t>38</w:t>
        </w:r>
      </w:hyperlink>
    </w:p>
    <w:p>
      <w:pPr>
        <w:tabs>
          <w:tab w:pos="10562" w:val="left" w:leader="dot"/>
        </w:tabs>
        <w:spacing w:line="259" w:lineRule="auto" w:before="140"/>
        <w:ind w:left="1702" w:right="1131" w:firstLine="0"/>
        <w:jc w:val="left"/>
        <w:rPr>
          <w:b/>
          <w:sz w:val="20"/>
        </w:rPr>
      </w:pPr>
      <w:hyperlink w:history="true" w:anchor="_bookmark29">
        <w:r>
          <w:rPr>
            <w:b/>
            <w:sz w:val="20"/>
          </w:rPr>
          <w:t>QUADRO 7 - ESTIMATIVAS DAS RECEITAS DOS CAU/UF POR REGIÃO – REPROGRAMAÇÃO 2020 X</w:t>
        </w:r>
      </w:hyperlink>
      <w:r>
        <w:rPr>
          <w:b/>
          <w:sz w:val="20"/>
        </w:rPr>
        <w:t> </w:t>
      </w:r>
      <w:hyperlink w:history="true" w:anchor="_bookmark29">
        <w:r>
          <w:rPr>
            <w:b/>
            <w:sz w:val="20"/>
          </w:rPr>
          <w:t>PROGRAMAÇÃO</w:t>
        </w:r>
        <w:r>
          <w:rPr>
            <w:b/>
            <w:spacing w:val="-3"/>
            <w:sz w:val="20"/>
          </w:rPr>
          <w:t> </w:t>
        </w:r>
        <w:r>
          <w:rPr>
            <w:b/>
            <w:sz w:val="20"/>
          </w:rPr>
          <w:t>2021</w:t>
          <w:tab/>
          <w:t>38</w:t>
        </w:r>
      </w:hyperlink>
    </w:p>
    <w:p>
      <w:pPr>
        <w:tabs>
          <w:tab w:pos="10562" w:val="left" w:leader="dot"/>
        </w:tabs>
        <w:spacing w:before="121"/>
        <w:ind w:left="1702" w:right="0" w:firstLine="0"/>
        <w:jc w:val="left"/>
        <w:rPr>
          <w:b/>
          <w:sz w:val="20"/>
        </w:rPr>
      </w:pPr>
      <w:hyperlink w:history="true" w:anchor="_bookmark35">
        <w:r>
          <w:rPr>
            <w:b/>
            <w:sz w:val="20"/>
          </w:rPr>
          <w:t>ANEXO I – INDICADORES INSTITUCIONAIS E DE RESULTADO –</w:t>
        </w:r>
        <w:r>
          <w:rPr>
            <w:b/>
            <w:spacing w:val="-18"/>
            <w:sz w:val="20"/>
          </w:rPr>
          <w:t> </w:t>
        </w:r>
        <w:r>
          <w:rPr>
            <w:b/>
            <w:sz w:val="20"/>
          </w:rPr>
          <w:t>CAU</w:t>
        </w:r>
        <w:r>
          <w:rPr>
            <w:b/>
            <w:spacing w:val="-3"/>
            <w:sz w:val="20"/>
          </w:rPr>
          <w:t> </w:t>
        </w:r>
        <w:r>
          <w:rPr>
            <w:b/>
            <w:sz w:val="20"/>
          </w:rPr>
          <w:t>UF</w:t>
          <w:tab/>
          <w:t>44</w:t>
        </w:r>
      </w:hyperlink>
    </w:p>
    <w:p>
      <w:pPr>
        <w:tabs>
          <w:tab w:pos="10562" w:val="left" w:leader="dot"/>
        </w:tabs>
        <w:spacing w:before="137"/>
        <w:ind w:left="1702" w:right="0" w:firstLine="0"/>
        <w:jc w:val="left"/>
        <w:rPr>
          <w:b/>
          <w:sz w:val="20"/>
        </w:rPr>
      </w:pPr>
      <w:hyperlink w:history="true" w:anchor="_bookmark36">
        <w:r>
          <w:rPr>
            <w:b/>
            <w:sz w:val="20"/>
          </w:rPr>
          <w:t>ANEXO II – INDICADORES INSTITUCIONAIS E DE RESULTADO</w:t>
        </w:r>
        <w:r>
          <w:rPr>
            <w:b/>
            <w:spacing w:val="-18"/>
            <w:sz w:val="20"/>
          </w:rPr>
          <w:t> </w:t>
        </w:r>
        <w:r>
          <w:rPr>
            <w:b/>
            <w:sz w:val="20"/>
          </w:rPr>
          <w:t>–</w:t>
        </w:r>
        <w:r>
          <w:rPr>
            <w:b/>
            <w:spacing w:val="-2"/>
            <w:sz w:val="20"/>
          </w:rPr>
          <w:t> </w:t>
        </w:r>
        <w:r>
          <w:rPr>
            <w:b/>
            <w:sz w:val="20"/>
          </w:rPr>
          <w:t>CAU/BR</w:t>
          <w:tab/>
          <w:t>58</w:t>
        </w:r>
      </w:hyperlink>
    </w:p>
    <w:p>
      <w:pPr>
        <w:tabs>
          <w:tab w:pos="10562" w:val="left" w:leader="dot"/>
        </w:tabs>
        <w:spacing w:before="140"/>
        <w:ind w:left="1702" w:right="0" w:firstLine="0"/>
        <w:jc w:val="left"/>
        <w:rPr>
          <w:b/>
          <w:sz w:val="20"/>
        </w:rPr>
      </w:pPr>
      <w:hyperlink w:history="true" w:anchor="_bookmark38">
        <w:r>
          <w:rPr>
            <w:b/>
            <w:sz w:val="20"/>
          </w:rPr>
          <w:t>ANEXO III – CAU/UF – POSIÇÃO DE ARQUITETOS E URBANISTAS, EMPRESAS</w:t>
        </w:r>
        <w:r>
          <w:rPr>
            <w:b/>
            <w:spacing w:val="-20"/>
            <w:sz w:val="20"/>
          </w:rPr>
          <w:t> </w:t>
        </w:r>
        <w:r>
          <w:rPr>
            <w:b/>
            <w:sz w:val="20"/>
          </w:rPr>
          <w:t>E</w:t>
        </w:r>
        <w:r>
          <w:rPr>
            <w:b/>
            <w:spacing w:val="-1"/>
            <w:sz w:val="20"/>
          </w:rPr>
          <w:t> </w:t>
        </w:r>
        <w:r>
          <w:rPr>
            <w:b/>
            <w:sz w:val="20"/>
          </w:rPr>
          <w:t>RRT</w:t>
          <w:tab/>
          <w:t>69</w:t>
        </w:r>
      </w:hyperlink>
    </w:p>
    <w:p>
      <w:pPr>
        <w:tabs>
          <w:tab w:pos="10562" w:val="left" w:leader="dot"/>
        </w:tabs>
        <w:spacing w:line="376" w:lineRule="auto" w:before="140"/>
        <w:ind w:left="1702" w:right="1140" w:firstLine="0"/>
        <w:jc w:val="left"/>
        <w:rPr>
          <w:b/>
          <w:sz w:val="20"/>
        </w:rPr>
      </w:pPr>
      <w:hyperlink w:history="true" w:anchor="_bookmark39">
        <w:r>
          <w:rPr>
            <w:b/>
            <w:sz w:val="20"/>
          </w:rPr>
          <w:t>ANEXO IV – PROJEÇÃO DA QUANTIDADE DE PAGANTES X RECEITA TOTAL DO CAU - EXERCÍCIO 2021 (100%)71</w:t>
        </w:r>
      </w:hyperlink>
      <w:r>
        <w:rPr>
          <w:b/>
          <w:sz w:val="20"/>
        </w:rPr>
        <w:t> </w:t>
      </w:r>
      <w:hyperlink w:history="true" w:anchor="_bookmark40">
        <w:r>
          <w:rPr>
            <w:b/>
            <w:sz w:val="20"/>
          </w:rPr>
          <w:t>ANEXO V – PROJEÇÃO DA RECEITA DOS CAU/UF – EXERCÍCIO</w:t>
        </w:r>
        <w:r>
          <w:rPr>
            <w:b/>
            <w:spacing w:val="-17"/>
            <w:sz w:val="20"/>
          </w:rPr>
          <w:t> </w:t>
        </w:r>
        <w:r>
          <w:rPr>
            <w:b/>
            <w:sz w:val="20"/>
          </w:rPr>
          <w:t>2021</w:t>
        </w:r>
        <w:r>
          <w:rPr>
            <w:b/>
            <w:spacing w:val="-2"/>
            <w:sz w:val="20"/>
          </w:rPr>
          <w:t> </w:t>
        </w:r>
        <w:r>
          <w:rPr>
            <w:b/>
            <w:sz w:val="20"/>
          </w:rPr>
          <w:t>(80%)</w:t>
          <w:tab/>
        </w:r>
        <w:r>
          <w:rPr>
            <w:b/>
            <w:spacing w:val="-9"/>
            <w:sz w:val="20"/>
          </w:rPr>
          <w:t>73</w:t>
        </w:r>
      </w:hyperlink>
    </w:p>
    <w:p>
      <w:pPr>
        <w:tabs>
          <w:tab w:pos="10562" w:val="left" w:leader="dot"/>
        </w:tabs>
        <w:spacing w:line="256" w:lineRule="auto" w:before="2"/>
        <w:ind w:left="1702" w:right="1133" w:firstLine="0"/>
        <w:jc w:val="left"/>
        <w:rPr>
          <w:b/>
          <w:sz w:val="20"/>
        </w:rPr>
      </w:pPr>
      <w:hyperlink w:history="true" w:anchor="_bookmark41">
        <w:r>
          <w:rPr>
            <w:b/>
            <w:sz w:val="20"/>
          </w:rPr>
          <w:t>ANEXO</w:t>
        </w:r>
        <w:r>
          <w:rPr>
            <w:b/>
            <w:spacing w:val="-11"/>
            <w:sz w:val="20"/>
          </w:rPr>
          <w:t> </w:t>
        </w:r>
        <w:r>
          <w:rPr>
            <w:b/>
            <w:sz w:val="20"/>
          </w:rPr>
          <w:t>VI</w:t>
        </w:r>
        <w:r>
          <w:rPr>
            <w:b/>
            <w:spacing w:val="-10"/>
            <w:sz w:val="20"/>
          </w:rPr>
          <w:t> </w:t>
        </w:r>
        <w:r>
          <w:rPr>
            <w:b/>
            <w:sz w:val="20"/>
          </w:rPr>
          <w:t>–</w:t>
        </w:r>
        <w:r>
          <w:rPr>
            <w:b/>
            <w:spacing w:val="-10"/>
            <w:sz w:val="20"/>
          </w:rPr>
          <w:t> </w:t>
        </w:r>
        <w:r>
          <w:rPr>
            <w:b/>
            <w:sz w:val="20"/>
          </w:rPr>
          <w:t>FUNDO</w:t>
        </w:r>
        <w:r>
          <w:rPr>
            <w:b/>
            <w:spacing w:val="-11"/>
            <w:sz w:val="20"/>
          </w:rPr>
          <w:t> </w:t>
        </w:r>
        <w:r>
          <w:rPr>
            <w:b/>
            <w:sz w:val="20"/>
          </w:rPr>
          <w:t>DE</w:t>
        </w:r>
        <w:r>
          <w:rPr>
            <w:b/>
            <w:spacing w:val="-8"/>
            <w:sz w:val="20"/>
          </w:rPr>
          <w:t> </w:t>
        </w:r>
        <w:r>
          <w:rPr>
            <w:b/>
            <w:sz w:val="20"/>
          </w:rPr>
          <w:t>APOIO</w:t>
        </w:r>
        <w:r>
          <w:rPr>
            <w:b/>
            <w:spacing w:val="-8"/>
            <w:sz w:val="20"/>
          </w:rPr>
          <w:t> </w:t>
        </w:r>
        <w:r>
          <w:rPr>
            <w:b/>
            <w:sz w:val="20"/>
          </w:rPr>
          <w:t>FINANCEIRO</w:t>
        </w:r>
        <w:r>
          <w:rPr>
            <w:b/>
            <w:spacing w:val="-9"/>
            <w:sz w:val="20"/>
          </w:rPr>
          <w:t> </w:t>
        </w:r>
        <w:r>
          <w:rPr>
            <w:b/>
            <w:sz w:val="20"/>
          </w:rPr>
          <w:t>AOS</w:t>
        </w:r>
        <w:r>
          <w:rPr>
            <w:b/>
            <w:spacing w:val="-11"/>
            <w:sz w:val="20"/>
          </w:rPr>
          <w:t> </w:t>
        </w:r>
        <w:r>
          <w:rPr>
            <w:b/>
            <w:sz w:val="20"/>
          </w:rPr>
          <w:t>CAU/UF</w:t>
        </w:r>
        <w:r>
          <w:rPr>
            <w:b/>
            <w:spacing w:val="-8"/>
            <w:sz w:val="20"/>
          </w:rPr>
          <w:t> </w:t>
        </w:r>
        <w:r>
          <w:rPr>
            <w:b/>
            <w:sz w:val="20"/>
          </w:rPr>
          <w:t>–</w:t>
        </w:r>
        <w:r>
          <w:rPr>
            <w:b/>
            <w:spacing w:val="-10"/>
            <w:sz w:val="20"/>
          </w:rPr>
          <w:t> </w:t>
        </w:r>
        <w:r>
          <w:rPr>
            <w:b/>
            <w:sz w:val="20"/>
          </w:rPr>
          <w:t>EXERCÍCIO</w:t>
        </w:r>
        <w:r>
          <w:rPr>
            <w:b/>
            <w:spacing w:val="-11"/>
            <w:sz w:val="20"/>
          </w:rPr>
          <w:t> </w:t>
        </w:r>
        <w:r>
          <w:rPr>
            <w:b/>
            <w:sz w:val="20"/>
          </w:rPr>
          <w:t>2021</w:t>
        </w:r>
        <w:r>
          <w:rPr>
            <w:b/>
            <w:spacing w:val="-6"/>
            <w:sz w:val="20"/>
          </w:rPr>
          <w:t> </w:t>
        </w:r>
        <w:r>
          <w:rPr>
            <w:b/>
            <w:sz w:val="20"/>
          </w:rPr>
          <w:t>–</w:t>
        </w:r>
        <w:r>
          <w:rPr>
            <w:b/>
            <w:spacing w:val="-11"/>
            <w:sz w:val="20"/>
          </w:rPr>
          <w:t> </w:t>
        </w:r>
        <w:r>
          <w:rPr>
            <w:b/>
            <w:sz w:val="20"/>
          </w:rPr>
          <w:t>DESTINAÇÃO</w:t>
        </w:r>
        <w:r>
          <w:rPr>
            <w:b/>
            <w:spacing w:val="-10"/>
            <w:sz w:val="20"/>
          </w:rPr>
          <w:t> </w:t>
        </w:r>
        <w:r>
          <w:rPr>
            <w:b/>
            <w:sz w:val="20"/>
          </w:rPr>
          <w:t>DOS</w:t>
        </w:r>
        <w:r>
          <w:rPr>
            <w:b/>
            <w:spacing w:val="-11"/>
            <w:sz w:val="20"/>
          </w:rPr>
          <w:t> </w:t>
        </w:r>
        <w:r>
          <w:rPr>
            <w:b/>
            <w:sz w:val="20"/>
          </w:rPr>
          <w:t>RECURSOS</w:t>
        </w:r>
        <w:r>
          <w:rPr>
            <w:b/>
            <w:spacing w:val="-8"/>
            <w:sz w:val="20"/>
          </w:rPr>
          <w:t> </w:t>
        </w:r>
        <w:r>
          <w:rPr>
            <w:b/>
            <w:sz w:val="20"/>
          </w:rPr>
          <w:t>POR</w:t>
        </w:r>
      </w:hyperlink>
      <w:r>
        <w:rPr>
          <w:b/>
          <w:sz w:val="20"/>
        </w:rPr>
        <w:t> </w:t>
      </w:r>
      <w:hyperlink w:history="true" w:anchor="_bookmark41">
        <w:r>
          <w:rPr>
            <w:b/>
            <w:sz w:val="20"/>
          </w:rPr>
          <w:t>CAU/BÁSICO</w:t>
        </w:r>
        <w:r>
          <w:rPr>
            <w:b/>
            <w:spacing w:val="-5"/>
            <w:sz w:val="20"/>
          </w:rPr>
          <w:t> </w:t>
        </w:r>
        <w:r>
          <w:rPr>
            <w:b/>
            <w:sz w:val="20"/>
          </w:rPr>
          <w:t>(REPASSE)</w:t>
          <w:tab/>
          <w:t>75</w:t>
        </w:r>
      </w:hyperlink>
    </w:p>
    <w:p>
      <w:pPr>
        <w:tabs>
          <w:tab w:pos="10562" w:val="left" w:leader="dot"/>
        </w:tabs>
        <w:spacing w:line="259" w:lineRule="auto" w:before="123"/>
        <w:ind w:left="1702" w:right="1132" w:firstLine="0"/>
        <w:jc w:val="left"/>
        <w:rPr>
          <w:b/>
          <w:sz w:val="20"/>
        </w:rPr>
      </w:pPr>
      <w:hyperlink w:history="true" w:anchor="_bookmark42">
        <w:r>
          <w:rPr>
            <w:b/>
            <w:sz w:val="20"/>
          </w:rPr>
          <w:t>ANEXO VI.I – FUNDO DE APOIO FINANCEIRO AOS CAU/UF – EXERCÍCIO 2021 – PARTICIPAÇÃO DOS CAU/UF E</w:t>
        </w:r>
      </w:hyperlink>
      <w:r>
        <w:rPr>
          <w:b/>
          <w:sz w:val="20"/>
        </w:rPr>
        <w:t> </w:t>
      </w:r>
      <w:hyperlink w:history="true" w:anchor="_bookmark42">
        <w:r>
          <w:rPr>
            <w:b/>
            <w:sz w:val="20"/>
          </w:rPr>
          <w:t>CAU/BR</w:t>
        </w:r>
        <w:r>
          <w:rPr>
            <w:b/>
            <w:spacing w:val="-4"/>
            <w:sz w:val="20"/>
          </w:rPr>
          <w:t> </w:t>
        </w:r>
        <w:r>
          <w:rPr>
            <w:b/>
            <w:sz w:val="20"/>
          </w:rPr>
          <w:t>(APORTE)</w:t>
          <w:tab/>
          <w:t>76</w:t>
        </w:r>
      </w:hyperlink>
    </w:p>
    <w:p>
      <w:pPr>
        <w:tabs>
          <w:tab w:pos="10562" w:val="left" w:leader="dot"/>
        </w:tabs>
        <w:spacing w:line="256" w:lineRule="auto" w:before="120"/>
        <w:ind w:left="1702" w:right="1139" w:firstLine="0"/>
        <w:jc w:val="left"/>
        <w:rPr>
          <w:b/>
          <w:sz w:val="20"/>
        </w:rPr>
      </w:pPr>
      <w:hyperlink w:history="true" w:anchor="_bookmark43">
        <w:r>
          <w:rPr>
            <w:b/>
            <w:sz w:val="20"/>
          </w:rPr>
          <w:t>ANEXO VII – DEMONSTRATIVO DA PARTICIPAÇÃO DOS CAU/UF E DO CAU/BR NAS DESPESAS DO CENTRO DE</w:t>
        </w:r>
      </w:hyperlink>
      <w:r>
        <w:rPr>
          <w:b/>
          <w:sz w:val="20"/>
        </w:rPr>
        <w:t> </w:t>
      </w:r>
      <w:hyperlink w:history="true" w:anchor="_bookmark43">
        <w:r>
          <w:rPr>
            <w:b/>
            <w:sz w:val="20"/>
          </w:rPr>
          <w:t>SERVIÇOS COMPARTILHADOS</w:t>
        </w:r>
        <w:r>
          <w:rPr>
            <w:b/>
            <w:spacing w:val="-11"/>
            <w:sz w:val="20"/>
          </w:rPr>
          <w:t> </w:t>
        </w:r>
        <w:r>
          <w:rPr>
            <w:b/>
            <w:sz w:val="20"/>
          </w:rPr>
          <w:t>(SERVIÇOS</w:t>
        </w:r>
        <w:r>
          <w:rPr>
            <w:b/>
            <w:spacing w:val="-7"/>
            <w:sz w:val="20"/>
          </w:rPr>
          <w:t> </w:t>
        </w:r>
        <w:r>
          <w:rPr>
            <w:b/>
            <w:sz w:val="20"/>
          </w:rPr>
          <w:t>TOTAIS)</w:t>
          <w:tab/>
        </w:r>
        <w:r>
          <w:rPr>
            <w:b/>
            <w:spacing w:val="-9"/>
            <w:sz w:val="20"/>
          </w:rPr>
          <w:t>78</w:t>
        </w:r>
      </w:hyperlink>
    </w:p>
    <w:p>
      <w:pPr>
        <w:tabs>
          <w:tab w:pos="10562" w:val="left" w:leader="dot"/>
        </w:tabs>
        <w:spacing w:line="259" w:lineRule="auto" w:before="124"/>
        <w:ind w:left="1702" w:right="1136" w:firstLine="0"/>
        <w:jc w:val="left"/>
        <w:rPr>
          <w:b/>
          <w:sz w:val="20"/>
        </w:rPr>
      </w:pPr>
      <w:hyperlink w:history="true" w:anchor="_bookmark44">
        <w:r>
          <w:rPr>
            <w:b/>
            <w:sz w:val="20"/>
          </w:rPr>
          <w:t>ANEXO</w:t>
        </w:r>
        <w:r>
          <w:rPr>
            <w:b/>
            <w:spacing w:val="-5"/>
            <w:sz w:val="20"/>
          </w:rPr>
          <w:t> </w:t>
        </w:r>
        <w:r>
          <w:rPr>
            <w:b/>
            <w:sz w:val="20"/>
          </w:rPr>
          <w:t>VII.I</w:t>
        </w:r>
        <w:r>
          <w:rPr>
            <w:b/>
            <w:spacing w:val="-3"/>
            <w:sz w:val="20"/>
          </w:rPr>
          <w:t> </w:t>
        </w:r>
        <w:r>
          <w:rPr>
            <w:b/>
            <w:sz w:val="20"/>
          </w:rPr>
          <w:t>–</w:t>
        </w:r>
        <w:r>
          <w:rPr>
            <w:b/>
            <w:spacing w:val="-4"/>
            <w:sz w:val="20"/>
          </w:rPr>
          <w:t> </w:t>
        </w:r>
        <w:r>
          <w:rPr>
            <w:b/>
            <w:sz w:val="20"/>
          </w:rPr>
          <w:t>DEMONSTRATIVO</w:t>
        </w:r>
        <w:r>
          <w:rPr>
            <w:b/>
            <w:spacing w:val="-5"/>
            <w:sz w:val="20"/>
          </w:rPr>
          <w:t> </w:t>
        </w:r>
        <w:r>
          <w:rPr>
            <w:b/>
            <w:sz w:val="20"/>
          </w:rPr>
          <w:t>DA</w:t>
        </w:r>
        <w:r>
          <w:rPr>
            <w:b/>
            <w:spacing w:val="-5"/>
            <w:sz w:val="20"/>
          </w:rPr>
          <w:t> </w:t>
        </w:r>
        <w:r>
          <w:rPr>
            <w:b/>
            <w:sz w:val="20"/>
          </w:rPr>
          <w:t>PARTICIPAÇÃO</w:t>
        </w:r>
        <w:r>
          <w:rPr>
            <w:b/>
            <w:spacing w:val="-4"/>
            <w:sz w:val="20"/>
          </w:rPr>
          <w:t> </w:t>
        </w:r>
        <w:r>
          <w:rPr>
            <w:b/>
            <w:sz w:val="20"/>
          </w:rPr>
          <w:t>DOS</w:t>
        </w:r>
        <w:r>
          <w:rPr>
            <w:b/>
            <w:spacing w:val="-5"/>
            <w:sz w:val="20"/>
          </w:rPr>
          <w:t> </w:t>
        </w:r>
        <w:r>
          <w:rPr>
            <w:b/>
            <w:sz w:val="20"/>
          </w:rPr>
          <w:t>CAU/UF</w:t>
        </w:r>
        <w:r>
          <w:rPr>
            <w:b/>
            <w:spacing w:val="-4"/>
            <w:sz w:val="20"/>
          </w:rPr>
          <w:t> </w:t>
        </w:r>
        <w:r>
          <w:rPr>
            <w:b/>
            <w:sz w:val="20"/>
          </w:rPr>
          <w:t>E</w:t>
        </w:r>
        <w:r>
          <w:rPr>
            <w:b/>
            <w:spacing w:val="-3"/>
            <w:sz w:val="20"/>
          </w:rPr>
          <w:t> </w:t>
        </w:r>
        <w:r>
          <w:rPr>
            <w:b/>
            <w:sz w:val="20"/>
          </w:rPr>
          <w:t>DO</w:t>
        </w:r>
        <w:r>
          <w:rPr>
            <w:b/>
            <w:spacing w:val="-5"/>
            <w:sz w:val="20"/>
          </w:rPr>
          <w:t> </w:t>
        </w:r>
        <w:r>
          <w:rPr>
            <w:b/>
            <w:sz w:val="20"/>
          </w:rPr>
          <w:t>CAU/BR</w:t>
        </w:r>
        <w:r>
          <w:rPr>
            <w:b/>
            <w:spacing w:val="-3"/>
            <w:sz w:val="20"/>
          </w:rPr>
          <w:t> </w:t>
        </w:r>
        <w:r>
          <w:rPr>
            <w:b/>
            <w:sz w:val="20"/>
          </w:rPr>
          <w:t>NAS</w:t>
        </w:r>
        <w:r>
          <w:rPr>
            <w:b/>
            <w:spacing w:val="-5"/>
            <w:sz w:val="20"/>
          </w:rPr>
          <w:t> </w:t>
        </w:r>
        <w:r>
          <w:rPr>
            <w:b/>
            <w:sz w:val="20"/>
          </w:rPr>
          <w:t>DESPESAS</w:t>
        </w:r>
        <w:r>
          <w:rPr>
            <w:b/>
            <w:spacing w:val="-4"/>
            <w:sz w:val="20"/>
          </w:rPr>
          <w:t> </w:t>
        </w:r>
        <w:r>
          <w:rPr>
            <w:b/>
            <w:sz w:val="20"/>
          </w:rPr>
          <w:t>DO</w:t>
        </w:r>
        <w:r>
          <w:rPr>
            <w:b/>
            <w:spacing w:val="-5"/>
            <w:sz w:val="20"/>
          </w:rPr>
          <w:t> </w:t>
        </w:r>
        <w:r>
          <w:rPr>
            <w:b/>
            <w:sz w:val="20"/>
          </w:rPr>
          <w:t>CENTRO</w:t>
        </w:r>
        <w:r>
          <w:rPr>
            <w:b/>
            <w:spacing w:val="-3"/>
            <w:sz w:val="20"/>
          </w:rPr>
          <w:t> </w:t>
        </w:r>
        <w:r>
          <w:rPr>
            <w:b/>
            <w:sz w:val="20"/>
          </w:rPr>
          <w:t>DE</w:t>
        </w:r>
      </w:hyperlink>
      <w:r>
        <w:rPr>
          <w:b/>
          <w:sz w:val="20"/>
        </w:rPr>
        <w:t> </w:t>
      </w:r>
      <w:hyperlink w:history="true" w:anchor="_bookmark44">
        <w:r>
          <w:rPr>
            <w:b/>
            <w:sz w:val="20"/>
          </w:rPr>
          <w:t>SERVIÇOS COMPARTILHADOS (SERVIÇO TELEFÔNICO DE TELEATENDIMENTO 0800</w:t>
        </w:r>
        <w:r>
          <w:rPr>
            <w:b/>
            <w:spacing w:val="-26"/>
            <w:sz w:val="20"/>
          </w:rPr>
          <w:t> </w:t>
        </w:r>
        <w:r>
          <w:rPr>
            <w:b/>
            <w:sz w:val="20"/>
          </w:rPr>
          <w:t>E</w:t>
        </w:r>
        <w:r>
          <w:rPr>
            <w:b/>
            <w:spacing w:val="-3"/>
            <w:sz w:val="20"/>
          </w:rPr>
          <w:t> </w:t>
        </w:r>
        <w:r>
          <w:rPr>
            <w:b/>
            <w:sz w:val="20"/>
          </w:rPr>
          <w:t>4007)</w:t>
          <w:tab/>
        </w:r>
        <w:r>
          <w:rPr>
            <w:b/>
            <w:spacing w:val="-7"/>
            <w:sz w:val="20"/>
          </w:rPr>
          <w:t>79</w:t>
        </w:r>
      </w:hyperlink>
    </w:p>
    <w:p>
      <w:pPr>
        <w:tabs>
          <w:tab w:pos="10562" w:val="left" w:leader="dot"/>
        </w:tabs>
        <w:spacing w:line="259" w:lineRule="auto" w:before="121"/>
        <w:ind w:left="1702" w:right="1129" w:firstLine="0"/>
        <w:jc w:val="left"/>
        <w:rPr>
          <w:b/>
          <w:sz w:val="20"/>
        </w:rPr>
      </w:pPr>
      <w:hyperlink w:history="true" w:anchor="_bookmark45">
        <w:r>
          <w:rPr>
            <w:b/>
            <w:sz w:val="20"/>
          </w:rPr>
          <w:t>ANEXO</w:t>
        </w:r>
        <w:r>
          <w:rPr>
            <w:b/>
            <w:spacing w:val="-8"/>
            <w:sz w:val="20"/>
          </w:rPr>
          <w:t> </w:t>
        </w:r>
        <w:r>
          <w:rPr>
            <w:b/>
            <w:sz w:val="20"/>
          </w:rPr>
          <w:t>VII.II</w:t>
        </w:r>
        <w:r>
          <w:rPr>
            <w:b/>
            <w:spacing w:val="-7"/>
            <w:sz w:val="20"/>
          </w:rPr>
          <w:t> </w:t>
        </w:r>
        <w:r>
          <w:rPr>
            <w:b/>
            <w:sz w:val="20"/>
          </w:rPr>
          <w:t>–</w:t>
        </w:r>
        <w:r>
          <w:rPr>
            <w:b/>
            <w:spacing w:val="-9"/>
            <w:sz w:val="20"/>
          </w:rPr>
          <w:t> </w:t>
        </w:r>
        <w:r>
          <w:rPr>
            <w:b/>
            <w:sz w:val="20"/>
          </w:rPr>
          <w:t>DEMONSTRATIVO</w:t>
        </w:r>
        <w:r>
          <w:rPr>
            <w:b/>
            <w:spacing w:val="-7"/>
            <w:sz w:val="20"/>
          </w:rPr>
          <w:t> </w:t>
        </w:r>
        <w:r>
          <w:rPr>
            <w:b/>
            <w:sz w:val="20"/>
          </w:rPr>
          <w:t>DA</w:t>
        </w:r>
        <w:r>
          <w:rPr>
            <w:b/>
            <w:spacing w:val="-9"/>
            <w:sz w:val="20"/>
          </w:rPr>
          <w:t> </w:t>
        </w:r>
        <w:r>
          <w:rPr>
            <w:b/>
            <w:sz w:val="20"/>
          </w:rPr>
          <w:t>PARTICIPAÇÃO</w:t>
        </w:r>
        <w:r>
          <w:rPr>
            <w:b/>
            <w:spacing w:val="-7"/>
            <w:sz w:val="20"/>
          </w:rPr>
          <w:t> </w:t>
        </w:r>
        <w:r>
          <w:rPr>
            <w:b/>
            <w:sz w:val="20"/>
          </w:rPr>
          <w:t>DOS</w:t>
        </w:r>
        <w:r>
          <w:rPr>
            <w:b/>
            <w:spacing w:val="-9"/>
            <w:sz w:val="20"/>
          </w:rPr>
          <w:t> </w:t>
        </w:r>
        <w:r>
          <w:rPr>
            <w:b/>
            <w:sz w:val="20"/>
          </w:rPr>
          <w:t>CAU/UF</w:t>
        </w:r>
        <w:r>
          <w:rPr>
            <w:b/>
            <w:spacing w:val="-8"/>
            <w:sz w:val="20"/>
          </w:rPr>
          <w:t> </w:t>
        </w:r>
        <w:r>
          <w:rPr>
            <w:b/>
            <w:sz w:val="20"/>
          </w:rPr>
          <w:t>E</w:t>
        </w:r>
        <w:r>
          <w:rPr>
            <w:b/>
            <w:spacing w:val="-7"/>
            <w:sz w:val="20"/>
          </w:rPr>
          <w:t> </w:t>
        </w:r>
        <w:r>
          <w:rPr>
            <w:b/>
            <w:sz w:val="20"/>
          </w:rPr>
          <w:t>DO</w:t>
        </w:r>
        <w:r>
          <w:rPr>
            <w:b/>
            <w:spacing w:val="-7"/>
            <w:sz w:val="20"/>
          </w:rPr>
          <w:t> </w:t>
        </w:r>
        <w:r>
          <w:rPr>
            <w:b/>
            <w:sz w:val="20"/>
          </w:rPr>
          <w:t>CAU/BR</w:t>
        </w:r>
        <w:r>
          <w:rPr>
            <w:b/>
            <w:spacing w:val="-7"/>
            <w:sz w:val="20"/>
          </w:rPr>
          <w:t> </w:t>
        </w:r>
        <w:r>
          <w:rPr>
            <w:b/>
            <w:sz w:val="20"/>
          </w:rPr>
          <w:t>NAS</w:t>
        </w:r>
        <w:r>
          <w:rPr>
            <w:b/>
            <w:spacing w:val="-8"/>
            <w:sz w:val="20"/>
          </w:rPr>
          <w:t> </w:t>
        </w:r>
        <w:r>
          <w:rPr>
            <w:b/>
            <w:sz w:val="20"/>
          </w:rPr>
          <w:t>DESPESAS</w:t>
        </w:r>
        <w:r>
          <w:rPr>
            <w:b/>
            <w:spacing w:val="-5"/>
            <w:sz w:val="20"/>
          </w:rPr>
          <w:t> </w:t>
        </w:r>
        <w:r>
          <w:rPr>
            <w:b/>
            <w:sz w:val="20"/>
          </w:rPr>
          <w:t>DO</w:t>
        </w:r>
        <w:r>
          <w:rPr>
            <w:b/>
            <w:spacing w:val="-8"/>
            <w:sz w:val="20"/>
          </w:rPr>
          <w:t> </w:t>
        </w:r>
        <w:r>
          <w:rPr>
            <w:b/>
            <w:sz w:val="20"/>
          </w:rPr>
          <w:t>CENTRO</w:t>
        </w:r>
        <w:r>
          <w:rPr>
            <w:b/>
            <w:spacing w:val="1"/>
            <w:sz w:val="20"/>
          </w:rPr>
          <w:t> </w:t>
        </w:r>
        <w:r>
          <w:rPr>
            <w:b/>
            <w:sz w:val="20"/>
          </w:rPr>
          <w:t>DE</w:t>
        </w:r>
      </w:hyperlink>
      <w:r>
        <w:rPr>
          <w:b/>
          <w:sz w:val="20"/>
        </w:rPr>
        <w:t> </w:t>
      </w:r>
      <w:hyperlink w:history="true" w:anchor="_bookmark45">
        <w:r>
          <w:rPr>
            <w:b/>
            <w:sz w:val="20"/>
          </w:rPr>
          <w:t>SERVIÇOS COMPARTILHADOS (DEMAIS</w:t>
        </w:r>
        <w:r>
          <w:rPr>
            <w:b/>
            <w:spacing w:val="-17"/>
            <w:sz w:val="20"/>
          </w:rPr>
          <w:t> </w:t>
        </w:r>
        <w:r>
          <w:rPr>
            <w:b/>
            <w:sz w:val="20"/>
          </w:rPr>
          <w:t>SERVIÇOS</w:t>
        </w:r>
        <w:r>
          <w:rPr>
            <w:b/>
            <w:spacing w:val="-6"/>
            <w:sz w:val="20"/>
          </w:rPr>
          <w:t> </w:t>
        </w:r>
        <w:r>
          <w:rPr>
            <w:b/>
            <w:sz w:val="20"/>
          </w:rPr>
          <w:t>ESSENCIAIS)</w:t>
          <w:tab/>
          <w:t>80</w:t>
        </w:r>
      </w:hyperlink>
    </w:p>
    <w:p>
      <w:pPr>
        <w:tabs>
          <w:tab w:pos="10562" w:val="left" w:leader="dot"/>
        </w:tabs>
        <w:spacing w:line="376" w:lineRule="auto" w:before="118"/>
        <w:ind w:left="1702" w:right="1140" w:firstLine="0"/>
        <w:jc w:val="left"/>
        <w:rPr>
          <w:b/>
          <w:sz w:val="20"/>
        </w:rPr>
      </w:pPr>
      <w:hyperlink w:history="true" w:anchor="_bookmark46">
        <w:r>
          <w:rPr>
            <w:b/>
            <w:sz w:val="20"/>
          </w:rPr>
          <w:t>ANEXO</w:t>
        </w:r>
        <w:r>
          <w:rPr>
            <w:b/>
            <w:spacing w:val="-5"/>
            <w:sz w:val="20"/>
          </w:rPr>
          <w:t> </w:t>
        </w:r>
        <w:r>
          <w:rPr>
            <w:b/>
            <w:sz w:val="20"/>
          </w:rPr>
          <w:t>VII.III</w:t>
        </w:r>
        <w:r>
          <w:rPr>
            <w:b/>
            <w:spacing w:val="-4"/>
            <w:sz w:val="20"/>
          </w:rPr>
          <w:t> </w:t>
        </w:r>
        <w:r>
          <w:rPr>
            <w:b/>
            <w:sz w:val="20"/>
          </w:rPr>
          <w:t>–</w:t>
        </w:r>
        <w:r>
          <w:rPr>
            <w:b/>
            <w:spacing w:val="-2"/>
            <w:sz w:val="20"/>
          </w:rPr>
          <w:t> </w:t>
        </w:r>
        <w:r>
          <w:rPr>
            <w:b/>
            <w:sz w:val="20"/>
          </w:rPr>
          <w:t>DESPESAS</w:t>
        </w:r>
        <w:r>
          <w:rPr>
            <w:b/>
            <w:spacing w:val="-5"/>
            <w:sz w:val="20"/>
          </w:rPr>
          <w:t> </w:t>
        </w:r>
        <w:r>
          <w:rPr>
            <w:b/>
            <w:sz w:val="20"/>
          </w:rPr>
          <w:t>DO</w:t>
        </w:r>
        <w:r>
          <w:rPr>
            <w:b/>
            <w:spacing w:val="-5"/>
            <w:sz w:val="20"/>
          </w:rPr>
          <w:t> </w:t>
        </w:r>
        <w:r>
          <w:rPr>
            <w:b/>
            <w:sz w:val="20"/>
          </w:rPr>
          <w:t>CENTRO</w:t>
        </w:r>
        <w:r>
          <w:rPr>
            <w:b/>
            <w:spacing w:val="-3"/>
            <w:sz w:val="20"/>
          </w:rPr>
          <w:t> </w:t>
        </w:r>
        <w:r>
          <w:rPr>
            <w:b/>
            <w:sz w:val="20"/>
          </w:rPr>
          <w:t>DE</w:t>
        </w:r>
        <w:r>
          <w:rPr>
            <w:b/>
            <w:spacing w:val="-1"/>
            <w:sz w:val="20"/>
          </w:rPr>
          <w:t> </w:t>
        </w:r>
        <w:r>
          <w:rPr>
            <w:b/>
            <w:sz w:val="20"/>
          </w:rPr>
          <w:t>SERVIÇOS</w:t>
        </w:r>
        <w:r>
          <w:rPr>
            <w:b/>
            <w:spacing w:val="-4"/>
            <w:sz w:val="20"/>
          </w:rPr>
          <w:t> </w:t>
        </w:r>
        <w:r>
          <w:rPr>
            <w:b/>
            <w:sz w:val="20"/>
          </w:rPr>
          <w:t>COMPARTILHADOS</w:t>
        </w:r>
        <w:r>
          <w:rPr>
            <w:b/>
            <w:spacing w:val="-4"/>
            <w:sz w:val="20"/>
          </w:rPr>
          <w:t> </w:t>
        </w:r>
        <w:r>
          <w:rPr>
            <w:b/>
            <w:sz w:val="20"/>
          </w:rPr>
          <w:t>(SERVIÇOS</w:t>
        </w:r>
        <w:r>
          <w:rPr>
            <w:b/>
            <w:spacing w:val="-5"/>
            <w:sz w:val="20"/>
          </w:rPr>
          <w:t> </w:t>
        </w:r>
        <w:r>
          <w:rPr>
            <w:b/>
            <w:sz w:val="20"/>
          </w:rPr>
          <w:t>POR</w:t>
        </w:r>
        <w:r>
          <w:rPr>
            <w:b/>
            <w:spacing w:val="-2"/>
            <w:sz w:val="20"/>
          </w:rPr>
          <w:t> </w:t>
        </w:r>
        <w:r>
          <w:rPr>
            <w:b/>
            <w:sz w:val="20"/>
          </w:rPr>
          <w:t>ADESÃO –</w:t>
        </w:r>
        <w:r>
          <w:rPr>
            <w:b/>
            <w:spacing w:val="-2"/>
            <w:sz w:val="20"/>
          </w:rPr>
          <w:t> </w:t>
        </w:r>
        <w:r>
          <w:rPr>
            <w:b/>
            <w:sz w:val="20"/>
          </w:rPr>
          <w:t>SISCAF)</w:t>
        </w:r>
        <w:r>
          <w:rPr>
            <w:b/>
            <w:spacing w:val="-16"/>
            <w:sz w:val="20"/>
          </w:rPr>
          <w:t> </w:t>
        </w:r>
        <w:r>
          <w:rPr>
            <w:b/>
            <w:sz w:val="20"/>
          </w:rPr>
          <w:t>.81</w:t>
        </w:r>
      </w:hyperlink>
      <w:r>
        <w:rPr>
          <w:b/>
          <w:sz w:val="20"/>
        </w:rPr>
        <w:t> </w:t>
      </w:r>
      <w:hyperlink w:history="true" w:anchor="_bookmark48">
        <w:r>
          <w:rPr>
            <w:b/>
            <w:sz w:val="20"/>
          </w:rPr>
          <w:t>ANEXO VIII – RESSARCIMENTO DE TARIFAS BANCÁRIAS</w:t>
        </w:r>
        <w:r>
          <w:rPr>
            <w:b/>
            <w:spacing w:val="-22"/>
            <w:sz w:val="20"/>
          </w:rPr>
          <w:t> </w:t>
        </w:r>
        <w:r>
          <w:rPr>
            <w:b/>
            <w:sz w:val="20"/>
          </w:rPr>
          <w:t>AOS</w:t>
        </w:r>
        <w:r>
          <w:rPr>
            <w:b/>
            <w:spacing w:val="-4"/>
            <w:sz w:val="20"/>
          </w:rPr>
          <w:t> </w:t>
        </w:r>
        <w:r>
          <w:rPr>
            <w:b/>
            <w:sz w:val="20"/>
          </w:rPr>
          <w:t>CAU/UF</w:t>
          <w:tab/>
        </w:r>
        <w:r>
          <w:rPr>
            <w:b/>
            <w:spacing w:val="-9"/>
            <w:sz w:val="20"/>
          </w:rPr>
          <w:t>83</w:t>
        </w:r>
      </w:hyperlink>
    </w:p>
    <w:p>
      <w:pPr>
        <w:spacing w:before="1"/>
        <w:ind w:left="1702" w:right="0" w:firstLine="0"/>
        <w:jc w:val="left"/>
        <w:rPr>
          <w:b/>
          <w:sz w:val="20"/>
        </w:rPr>
      </w:pPr>
      <w:hyperlink w:history="true" w:anchor="_bookmark49">
        <w:r>
          <w:rPr>
            <w:b/>
            <w:sz w:val="20"/>
          </w:rPr>
          <w:t>ANEXO </w:t>
        </w:r>
        <w:r>
          <w:rPr>
            <w:b/>
            <w:spacing w:val="4"/>
            <w:sz w:val="20"/>
          </w:rPr>
          <w:t> </w:t>
        </w:r>
        <w:r>
          <w:rPr>
            <w:b/>
            <w:sz w:val="20"/>
          </w:rPr>
          <w:t>IX </w:t>
        </w:r>
        <w:r>
          <w:rPr>
            <w:b/>
            <w:spacing w:val="5"/>
            <w:sz w:val="20"/>
          </w:rPr>
          <w:t> </w:t>
        </w:r>
        <w:r>
          <w:rPr>
            <w:b/>
            <w:sz w:val="20"/>
          </w:rPr>
          <w:t>– </w:t>
        </w:r>
        <w:r>
          <w:rPr>
            <w:b/>
            <w:spacing w:val="4"/>
            <w:sz w:val="20"/>
          </w:rPr>
          <w:t> </w:t>
        </w:r>
        <w:r>
          <w:rPr>
            <w:b/>
            <w:sz w:val="20"/>
          </w:rPr>
          <w:t>MODELO </w:t>
        </w:r>
        <w:r>
          <w:rPr>
            <w:b/>
            <w:spacing w:val="6"/>
            <w:sz w:val="20"/>
          </w:rPr>
          <w:t> </w:t>
        </w:r>
        <w:r>
          <w:rPr>
            <w:b/>
            <w:sz w:val="20"/>
          </w:rPr>
          <w:t>PARA </w:t>
        </w:r>
        <w:r>
          <w:rPr>
            <w:b/>
            <w:spacing w:val="3"/>
            <w:sz w:val="20"/>
          </w:rPr>
          <w:t> </w:t>
        </w:r>
        <w:r>
          <w:rPr>
            <w:b/>
            <w:sz w:val="20"/>
          </w:rPr>
          <w:t>ELABORAÇÃO </w:t>
        </w:r>
        <w:r>
          <w:rPr>
            <w:b/>
            <w:spacing w:val="7"/>
            <w:sz w:val="20"/>
          </w:rPr>
          <w:t> </w:t>
        </w:r>
        <w:r>
          <w:rPr>
            <w:b/>
            <w:sz w:val="20"/>
          </w:rPr>
          <w:t>DA </w:t>
        </w:r>
        <w:r>
          <w:rPr>
            <w:b/>
            <w:spacing w:val="3"/>
            <w:sz w:val="20"/>
          </w:rPr>
          <w:t> </w:t>
        </w:r>
        <w:r>
          <w:rPr>
            <w:b/>
            <w:sz w:val="20"/>
          </w:rPr>
          <w:t>PROGRAMAÇÃO </w:t>
        </w:r>
        <w:r>
          <w:rPr>
            <w:b/>
            <w:spacing w:val="4"/>
            <w:sz w:val="20"/>
          </w:rPr>
          <w:t> </w:t>
        </w:r>
        <w:r>
          <w:rPr>
            <w:b/>
            <w:sz w:val="20"/>
          </w:rPr>
          <w:t>DO </w:t>
        </w:r>
        <w:r>
          <w:rPr>
            <w:b/>
            <w:spacing w:val="4"/>
            <w:sz w:val="20"/>
          </w:rPr>
          <w:t> </w:t>
        </w:r>
        <w:r>
          <w:rPr>
            <w:b/>
            <w:sz w:val="20"/>
          </w:rPr>
          <w:t>PLANO </w:t>
        </w:r>
        <w:r>
          <w:rPr>
            <w:b/>
            <w:spacing w:val="4"/>
            <w:sz w:val="20"/>
          </w:rPr>
          <w:t> </w:t>
        </w:r>
        <w:r>
          <w:rPr>
            <w:b/>
            <w:sz w:val="20"/>
          </w:rPr>
          <w:t>DE </w:t>
        </w:r>
        <w:r>
          <w:rPr>
            <w:b/>
            <w:spacing w:val="5"/>
            <w:sz w:val="20"/>
          </w:rPr>
          <w:t> </w:t>
        </w:r>
        <w:r>
          <w:rPr>
            <w:b/>
            <w:sz w:val="20"/>
          </w:rPr>
          <w:t>AÇÃO </w:t>
        </w:r>
        <w:r>
          <w:rPr>
            <w:b/>
            <w:spacing w:val="4"/>
            <w:sz w:val="20"/>
          </w:rPr>
          <w:t> </w:t>
        </w:r>
        <w:r>
          <w:rPr>
            <w:b/>
            <w:sz w:val="20"/>
          </w:rPr>
          <w:t>E </w:t>
        </w:r>
        <w:r>
          <w:rPr>
            <w:b/>
            <w:spacing w:val="5"/>
            <w:sz w:val="20"/>
          </w:rPr>
          <w:t> </w:t>
        </w:r>
        <w:r>
          <w:rPr>
            <w:b/>
            <w:sz w:val="20"/>
          </w:rPr>
          <w:t>ORÇAMENTO </w:t>
        </w:r>
        <w:r>
          <w:rPr>
            <w:b/>
            <w:spacing w:val="14"/>
            <w:sz w:val="20"/>
          </w:rPr>
          <w:t> </w:t>
        </w:r>
        <w:r>
          <w:rPr>
            <w:b/>
            <w:sz w:val="20"/>
          </w:rPr>
          <w:t>–</w:t>
        </w:r>
      </w:hyperlink>
    </w:p>
    <w:p>
      <w:pPr>
        <w:tabs>
          <w:tab w:pos="10562" w:val="left" w:leader="dot"/>
        </w:tabs>
        <w:spacing w:before="20"/>
        <w:ind w:left="1702" w:right="0" w:firstLine="0"/>
        <w:jc w:val="left"/>
        <w:rPr>
          <w:b/>
          <w:sz w:val="20"/>
        </w:rPr>
      </w:pPr>
      <w:hyperlink w:history="true" w:anchor="_bookmark49">
        <w:r>
          <w:rPr>
            <w:b/>
            <w:sz w:val="20"/>
          </w:rPr>
          <w:t>EXERCÍCIO</w:t>
        </w:r>
        <w:r>
          <w:rPr>
            <w:b/>
            <w:spacing w:val="-3"/>
            <w:sz w:val="20"/>
          </w:rPr>
          <w:t> </w:t>
        </w:r>
        <w:r>
          <w:rPr>
            <w:b/>
            <w:sz w:val="20"/>
          </w:rPr>
          <w:t>2021</w:t>
          <w:tab/>
          <w:t>85</w:t>
        </w:r>
      </w:hyperlink>
    </w:p>
    <w:p>
      <w:pPr>
        <w:tabs>
          <w:tab w:pos="10562" w:val="left" w:leader="dot"/>
        </w:tabs>
        <w:spacing w:before="138"/>
        <w:ind w:left="1702" w:right="0" w:firstLine="0"/>
        <w:jc w:val="left"/>
        <w:rPr>
          <w:b/>
          <w:sz w:val="20"/>
        </w:rPr>
      </w:pPr>
      <w:hyperlink w:history="true" w:anchor="_bookmark50">
        <w:r>
          <w:rPr>
            <w:b/>
            <w:sz w:val="20"/>
          </w:rPr>
          <w:t>ANEXO X – ANEXOS DOS DETALHAMENTOS DAS PROJEÇÕES DA RECEITA</w:t>
        </w:r>
        <w:r>
          <w:rPr>
            <w:b/>
            <w:spacing w:val="-26"/>
            <w:sz w:val="20"/>
          </w:rPr>
          <w:t> </w:t>
        </w:r>
        <w:r>
          <w:rPr>
            <w:b/>
            <w:sz w:val="20"/>
          </w:rPr>
          <w:t>DO</w:t>
        </w:r>
        <w:r>
          <w:rPr>
            <w:b/>
            <w:spacing w:val="-3"/>
            <w:sz w:val="20"/>
          </w:rPr>
          <w:t> </w:t>
        </w:r>
        <w:r>
          <w:rPr>
            <w:b/>
            <w:sz w:val="20"/>
          </w:rPr>
          <w:t>CAU</w:t>
          <w:tab/>
          <w:t>92</w:t>
        </w:r>
      </w:hyperlink>
    </w:p>
    <w:p>
      <w:pPr>
        <w:spacing w:after="0"/>
        <w:jc w:val="left"/>
        <w:rPr>
          <w:sz w:val="20"/>
        </w:rPr>
        <w:sectPr>
          <w:pgSz w:w="11910" w:h="16840"/>
          <w:pgMar w:header="590" w:footer="612" w:top="1460" w:bottom="800" w:left="0" w:right="0"/>
        </w:sectPr>
      </w:pPr>
    </w:p>
    <w:p>
      <w:pPr>
        <w:pStyle w:val="BodyText"/>
        <w:spacing w:before="10"/>
        <w:rPr>
          <w:b/>
          <w:sz w:val="15"/>
        </w:rPr>
      </w:pPr>
    </w:p>
    <w:p>
      <w:pPr>
        <w:pStyle w:val="Heading2"/>
        <w:ind w:left="2129"/>
      </w:pPr>
      <w:bookmarkStart w:name="_bookmark0" w:id="1"/>
      <w:bookmarkEnd w:id="1"/>
      <w:r>
        <w:rPr>
          <w:b w:val="0"/>
        </w:rPr>
      </w:r>
      <w:r>
        <w:rPr>
          <w:color w:val="006666"/>
        </w:rPr>
        <w:t>INTRODUÇÃO</w:t>
      </w:r>
    </w:p>
    <w:p>
      <w:pPr>
        <w:pStyle w:val="BodyText"/>
        <w:spacing w:before="2"/>
        <w:rPr>
          <w:b/>
          <w:sz w:val="32"/>
        </w:rPr>
      </w:pPr>
    </w:p>
    <w:p>
      <w:pPr>
        <w:pStyle w:val="BodyText"/>
        <w:spacing w:before="1"/>
        <w:ind w:left="2554"/>
        <w:jc w:val="both"/>
      </w:pPr>
      <w:r>
        <w:rPr/>
        <w:t>O Conselho de Arquitetura e Urbanismo – CAU, compreendendo a Unidade Nacional</w:t>
      </w:r>
    </w:p>
    <w:p>
      <w:pPr>
        <w:pStyle w:val="BodyText"/>
        <w:spacing w:line="360" w:lineRule="auto" w:before="146"/>
        <w:ind w:left="1702" w:right="1126"/>
        <w:jc w:val="both"/>
      </w:pPr>
      <w:r>
        <w:rPr/>
        <w:t>– CAU/BR e as Unidades Estaduais – CAU/UF, autarquia criada pela Lei nº 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pPr>
        <w:spacing w:line="360" w:lineRule="auto" w:before="162"/>
        <w:ind w:left="1702" w:right="1128" w:firstLine="851"/>
        <w:jc w:val="both"/>
        <w:rPr>
          <w:b/>
          <w:i/>
          <w:sz w:val="24"/>
        </w:rPr>
      </w:pPr>
      <w:r>
        <w:rPr>
          <w:b/>
          <w:i/>
          <w:sz w:val="24"/>
        </w:rPr>
        <w:t>O Plano de Ação do CAU orienta-se pela missão da instituição, definida no </w:t>
      </w:r>
      <w:r>
        <w:rPr>
          <w:b/>
          <w:i/>
          <w:sz w:val="24"/>
        </w:rPr>
        <w:t>Planejamento Estratégico 2023, de “Promover a Arquitetura e Urbanismo para Todos”; e por sua visão de futuro, de “Ser reconhecido como referência na defesa e fomento das boas práticas da Arquitetura e Urbanismo”.</w:t>
      </w:r>
    </w:p>
    <w:p>
      <w:pPr>
        <w:pStyle w:val="BodyText"/>
        <w:spacing w:line="360" w:lineRule="auto" w:before="160"/>
        <w:ind w:left="1702" w:right="1127" w:firstLine="851"/>
        <w:jc w:val="both"/>
      </w:pPr>
      <w:r>
        <w:rPr/>
        <w:t>As Diretrizes para Elaboração do Plano de Ação e Orçamento 2021 do CAU buscam, a partir do Planejamento Estratégico, da avaliação dos resultados obtidos com a aplicação da estratégia atual, bem como de uma reflexão sobre os cenários de atuação e de recursos, estabelecer um conjunto de prioridades e metas para orientar a atualização dos planos de ação do CAU/BR e dos CAU/UF, visando o alcance dos objetivos estabelecidos no Mapa Estratégico do CAU, que é a síntese do seu Planejamento Estratégico 2023.</w:t>
      </w:r>
    </w:p>
    <w:p>
      <w:pPr>
        <w:pStyle w:val="BodyText"/>
        <w:spacing w:line="360" w:lineRule="auto" w:before="160"/>
        <w:ind w:left="1702" w:right="1128" w:firstLine="851"/>
        <w:jc w:val="both"/>
      </w:pPr>
      <w:r>
        <w:rPr/>
        <w:t>Nesse contexto, o processo de planejamento caracteriza-se como uma atividade contínua</w:t>
      </w:r>
      <w:r>
        <w:rPr>
          <w:spacing w:val="-7"/>
        </w:rPr>
        <w:t> </w:t>
      </w:r>
      <w:r>
        <w:rPr/>
        <w:t>e</w:t>
      </w:r>
      <w:r>
        <w:rPr>
          <w:spacing w:val="-3"/>
        </w:rPr>
        <w:t> </w:t>
      </w:r>
      <w:r>
        <w:rPr/>
        <w:t>sistematizada,</w:t>
      </w:r>
      <w:r>
        <w:rPr>
          <w:spacing w:val="-4"/>
        </w:rPr>
        <w:t> </w:t>
      </w:r>
      <w:r>
        <w:rPr/>
        <w:t>que</w:t>
      </w:r>
      <w:r>
        <w:rPr>
          <w:spacing w:val="-6"/>
        </w:rPr>
        <w:t> </w:t>
      </w:r>
      <w:r>
        <w:rPr/>
        <w:t>objetiva</w:t>
      </w:r>
      <w:r>
        <w:rPr>
          <w:spacing w:val="-6"/>
        </w:rPr>
        <w:t> </w:t>
      </w:r>
      <w:r>
        <w:rPr/>
        <w:t>implementar</w:t>
      </w:r>
      <w:r>
        <w:rPr>
          <w:spacing w:val="-4"/>
        </w:rPr>
        <w:t> </w:t>
      </w:r>
      <w:r>
        <w:rPr/>
        <w:t>as</w:t>
      </w:r>
      <w:r>
        <w:rPr>
          <w:spacing w:val="-4"/>
        </w:rPr>
        <w:t> </w:t>
      </w:r>
      <w:r>
        <w:rPr/>
        <w:t>políticas</w:t>
      </w:r>
      <w:r>
        <w:rPr>
          <w:spacing w:val="-4"/>
        </w:rPr>
        <w:t> </w:t>
      </w:r>
      <w:r>
        <w:rPr/>
        <w:t>e</w:t>
      </w:r>
      <w:r>
        <w:rPr>
          <w:spacing w:val="-6"/>
        </w:rPr>
        <w:t> </w:t>
      </w:r>
      <w:r>
        <w:rPr/>
        <w:t>estratégias</w:t>
      </w:r>
      <w:r>
        <w:rPr>
          <w:spacing w:val="-4"/>
        </w:rPr>
        <w:t> </w:t>
      </w:r>
      <w:r>
        <w:rPr/>
        <w:t>definidas</w:t>
      </w:r>
      <w:r>
        <w:rPr>
          <w:spacing w:val="-5"/>
        </w:rPr>
        <w:t> </w:t>
      </w:r>
      <w:r>
        <w:rPr/>
        <w:t>para</w:t>
      </w:r>
      <w:r>
        <w:rPr>
          <w:spacing w:val="-6"/>
        </w:rPr>
        <w:t> </w:t>
      </w:r>
      <w:r>
        <w:rPr/>
        <w:t>a entidade.</w:t>
      </w:r>
    </w:p>
    <w:p>
      <w:pPr>
        <w:spacing w:after="0" w:line="360" w:lineRule="auto"/>
        <w:jc w:val="both"/>
        <w:sectPr>
          <w:pgSz w:w="11910" w:h="16840"/>
          <w:pgMar w:header="590" w:footer="612" w:top="1460" w:bottom="800" w:left="0" w:right="0"/>
        </w:sectPr>
      </w:pPr>
    </w:p>
    <w:p>
      <w:pPr>
        <w:pStyle w:val="BodyText"/>
        <w:spacing w:before="10"/>
        <w:rPr>
          <w:sz w:val="15"/>
        </w:rPr>
      </w:pPr>
    </w:p>
    <w:p>
      <w:pPr>
        <w:pStyle w:val="Heading2"/>
        <w:numPr>
          <w:ilvl w:val="0"/>
          <w:numId w:val="2"/>
        </w:numPr>
        <w:tabs>
          <w:tab w:pos="2130" w:val="left" w:leader="none"/>
        </w:tabs>
        <w:spacing w:line="240" w:lineRule="auto" w:before="35" w:after="0"/>
        <w:ind w:left="2129" w:right="0" w:hanging="428"/>
        <w:jc w:val="left"/>
      </w:pPr>
      <w:bookmarkStart w:name="_bookmark1" w:id="2"/>
      <w:bookmarkEnd w:id="2"/>
      <w:r>
        <w:rPr>
          <w:b w:val="0"/>
        </w:rPr>
      </w:r>
      <w:bookmarkStart w:name="_bookmark1" w:id="3"/>
      <w:bookmarkEnd w:id="3"/>
      <w:r>
        <w:rPr>
          <w:color w:val="006666"/>
        </w:rPr>
        <w:t>EST</w:t>
      </w:r>
      <w:r>
        <w:rPr>
          <w:color w:val="006666"/>
        </w:rPr>
        <w:t>RATÉGIA DE</w:t>
      </w:r>
      <w:r>
        <w:rPr>
          <w:color w:val="006666"/>
          <w:spacing w:val="-2"/>
        </w:rPr>
        <w:t> </w:t>
      </w:r>
      <w:r>
        <w:rPr>
          <w:color w:val="006666"/>
        </w:rPr>
        <w:t>ATUAÇÃO</w:t>
      </w:r>
    </w:p>
    <w:p>
      <w:pPr>
        <w:pStyle w:val="BodyText"/>
        <w:spacing w:before="2"/>
        <w:rPr>
          <w:b/>
          <w:sz w:val="32"/>
        </w:rPr>
      </w:pPr>
    </w:p>
    <w:p>
      <w:pPr>
        <w:pStyle w:val="BodyText"/>
        <w:spacing w:line="360" w:lineRule="auto" w:before="1"/>
        <w:ind w:left="1702" w:right="1126" w:firstLine="851"/>
        <w:jc w:val="both"/>
      </w:pPr>
      <w:r>
        <w:rPr/>
        <w:t>A estratégia de atuação do CAU orienta-se por uma leitura do cenário econômico e social do país e da arquitetura e urbanismo, e da análise do desempenho e projeções sobre a evolução do Conselho no período. Nessas estratégias são consideradas a ampliação da capacidade operacional decorrente da necessidade da melhoria da fiscalização profissional e do</w:t>
      </w:r>
      <w:r>
        <w:rPr>
          <w:spacing w:val="-3"/>
        </w:rPr>
        <w:t> </w:t>
      </w:r>
      <w:r>
        <w:rPr/>
        <w:t>atendimento</w:t>
      </w:r>
      <w:r>
        <w:rPr>
          <w:spacing w:val="-3"/>
        </w:rPr>
        <w:t> </w:t>
      </w:r>
      <w:r>
        <w:rPr/>
        <w:t>aos</w:t>
      </w:r>
      <w:r>
        <w:rPr>
          <w:spacing w:val="-3"/>
        </w:rPr>
        <w:t> </w:t>
      </w:r>
      <w:r>
        <w:rPr/>
        <w:t>arquitetos</w:t>
      </w:r>
      <w:r>
        <w:rPr>
          <w:spacing w:val="-4"/>
        </w:rPr>
        <w:t> </w:t>
      </w:r>
      <w:r>
        <w:rPr/>
        <w:t>e</w:t>
      </w:r>
      <w:r>
        <w:rPr>
          <w:spacing w:val="-5"/>
        </w:rPr>
        <w:t> </w:t>
      </w:r>
      <w:r>
        <w:rPr/>
        <w:t>urbanistas,</w:t>
      </w:r>
      <w:r>
        <w:rPr>
          <w:spacing w:val="-4"/>
        </w:rPr>
        <w:t> </w:t>
      </w:r>
      <w:r>
        <w:rPr/>
        <w:t>dos</w:t>
      </w:r>
      <w:r>
        <w:rPr>
          <w:spacing w:val="-5"/>
        </w:rPr>
        <w:t> </w:t>
      </w:r>
      <w:r>
        <w:rPr/>
        <w:t>recursos</w:t>
      </w:r>
      <w:r>
        <w:rPr>
          <w:spacing w:val="-4"/>
        </w:rPr>
        <w:t> </w:t>
      </w:r>
      <w:r>
        <w:rPr/>
        <w:t>tecnológicos</w:t>
      </w:r>
      <w:r>
        <w:rPr>
          <w:spacing w:val="-5"/>
        </w:rPr>
        <w:t> </w:t>
      </w:r>
      <w:r>
        <w:rPr/>
        <w:t>e</w:t>
      </w:r>
      <w:r>
        <w:rPr>
          <w:spacing w:val="-6"/>
        </w:rPr>
        <w:t> </w:t>
      </w:r>
      <w:r>
        <w:rPr/>
        <w:t>da</w:t>
      </w:r>
      <w:r>
        <w:rPr>
          <w:spacing w:val="-3"/>
        </w:rPr>
        <w:t> </w:t>
      </w:r>
      <w:r>
        <w:rPr/>
        <w:t>força</w:t>
      </w:r>
      <w:r>
        <w:rPr>
          <w:spacing w:val="-4"/>
        </w:rPr>
        <w:t> </w:t>
      </w:r>
      <w:r>
        <w:rPr/>
        <w:t>de</w:t>
      </w:r>
      <w:r>
        <w:rPr>
          <w:spacing w:val="-5"/>
        </w:rPr>
        <w:t> </w:t>
      </w:r>
      <w:r>
        <w:rPr/>
        <w:t>trabalho da instituição, composta por colaboradores oriundos do processo de concurso público e prestadores de</w:t>
      </w:r>
      <w:r>
        <w:rPr>
          <w:spacing w:val="-5"/>
        </w:rPr>
        <w:t> </w:t>
      </w:r>
      <w:r>
        <w:rPr/>
        <w:t>serviços.</w:t>
      </w:r>
    </w:p>
    <w:p>
      <w:pPr>
        <w:pStyle w:val="BodyText"/>
        <w:spacing w:line="360" w:lineRule="auto" w:before="162"/>
        <w:ind w:left="1702" w:right="1127" w:firstLine="851"/>
        <w:jc w:val="both"/>
      </w:pPr>
      <w:r>
        <w:rPr/>
        <w:t>A estratégia é definida pela identificação do foco de cada objetivo estratégico, representado por um conjunto de indicadores e metas, que são desdobrados nos respectivos planos de ação do CAU/BR e dos CAU/UF. São estabelecidos limites para a aplicação dos recursos, que complementam a estratégia de atuação nos níveis tático e operacional.</w:t>
      </w:r>
    </w:p>
    <w:p>
      <w:pPr>
        <w:pStyle w:val="BodyText"/>
        <w:spacing w:line="360" w:lineRule="auto" w:before="160"/>
        <w:ind w:left="1702" w:right="1131" w:firstLine="851"/>
        <w:jc w:val="both"/>
      </w:pPr>
      <w:r>
        <w:rPr/>
        <w:t>O Planejamento Estratégico do CAU 2023 orienta a visão de longo prazo, enquanto as Diretrizes para Elaboração do Plano de Ação e Orçamento 2021 direcionam a atuação no período anual.</w:t>
      </w:r>
    </w:p>
    <w:p>
      <w:pPr>
        <w:pStyle w:val="BodyText"/>
        <w:spacing w:line="360" w:lineRule="auto" w:before="160"/>
        <w:ind w:left="1702" w:right="1127" w:firstLine="851"/>
        <w:jc w:val="both"/>
      </w:pPr>
      <w:r>
        <w:rPr/>
        <w:t>As</w:t>
      </w:r>
      <w:r>
        <w:rPr>
          <w:spacing w:val="-13"/>
        </w:rPr>
        <w:t> </w:t>
      </w:r>
      <w:r>
        <w:rPr/>
        <w:t>metas</w:t>
      </w:r>
      <w:r>
        <w:rPr>
          <w:spacing w:val="-15"/>
        </w:rPr>
        <w:t> </w:t>
      </w:r>
      <w:r>
        <w:rPr/>
        <w:t>do</w:t>
      </w:r>
      <w:r>
        <w:rPr>
          <w:spacing w:val="-15"/>
        </w:rPr>
        <w:t> </w:t>
      </w:r>
      <w:r>
        <w:rPr/>
        <w:t>Plano</w:t>
      </w:r>
      <w:r>
        <w:rPr>
          <w:spacing w:val="-13"/>
        </w:rPr>
        <w:t> </w:t>
      </w:r>
      <w:r>
        <w:rPr/>
        <w:t>de</w:t>
      </w:r>
      <w:r>
        <w:rPr>
          <w:spacing w:val="-14"/>
        </w:rPr>
        <w:t> </w:t>
      </w:r>
      <w:r>
        <w:rPr/>
        <w:t>Ação</w:t>
      </w:r>
      <w:r>
        <w:rPr>
          <w:spacing w:val="-13"/>
        </w:rPr>
        <w:t> </w:t>
      </w:r>
      <w:r>
        <w:rPr/>
        <w:t>são</w:t>
      </w:r>
      <w:r>
        <w:rPr>
          <w:spacing w:val="-12"/>
        </w:rPr>
        <w:t> </w:t>
      </w:r>
      <w:r>
        <w:rPr/>
        <w:t>compostas</w:t>
      </w:r>
      <w:r>
        <w:rPr>
          <w:spacing w:val="-16"/>
        </w:rPr>
        <w:t> </w:t>
      </w:r>
      <w:r>
        <w:rPr/>
        <w:t>pelas</w:t>
      </w:r>
      <w:r>
        <w:rPr>
          <w:spacing w:val="-15"/>
        </w:rPr>
        <w:t> </w:t>
      </w:r>
      <w:r>
        <w:rPr/>
        <w:t>Metas</w:t>
      </w:r>
      <w:r>
        <w:rPr>
          <w:spacing w:val="-14"/>
        </w:rPr>
        <w:t> </w:t>
      </w:r>
      <w:r>
        <w:rPr/>
        <w:t>dos</w:t>
      </w:r>
      <w:r>
        <w:rPr>
          <w:spacing w:val="-12"/>
        </w:rPr>
        <w:t> </w:t>
      </w:r>
      <w:r>
        <w:rPr/>
        <w:t>Indicadores</w:t>
      </w:r>
      <w:r>
        <w:rPr>
          <w:spacing w:val="-13"/>
        </w:rPr>
        <w:t> </w:t>
      </w:r>
      <w:r>
        <w:rPr/>
        <w:t>de</w:t>
      </w:r>
      <w:r>
        <w:rPr>
          <w:spacing w:val="-14"/>
        </w:rPr>
        <w:t> </w:t>
      </w:r>
      <w:r>
        <w:rPr/>
        <w:t>Resultados Institucionais, que estão vinculadas à Missão, Visão e Sociedade; e pelas Metas de Desempenho, que estão vinculadas às perspectivas dos Processos Internos do </w:t>
      </w:r>
      <w:r>
        <w:rPr>
          <w:b/>
        </w:rPr>
        <w:t>Mapa Estratégico do CAU</w:t>
      </w:r>
      <w:r>
        <w:rPr/>
        <w:t>. Os indicadores de desempenho possibilitam a indução e o monitoramento contínuo do esforço do CAU para o alcance dos seus objetivos. Os projetos e atividades operacionalizam a estratégia de atuação e viabilizam o alcance dos resultados propostos.</w:t>
      </w:r>
    </w:p>
    <w:p>
      <w:pPr>
        <w:pStyle w:val="BodyText"/>
      </w:pPr>
    </w:p>
    <w:p>
      <w:pPr>
        <w:pStyle w:val="BodyText"/>
        <w:spacing w:before="1"/>
        <w:rPr>
          <w:sz w:val="25"/>
        </w:rPr>
      </w:pPr>
    </w:p>
    <w:p>
      <w:pPr>
        <w:pStyle w:val="Heading3"/>
        <w:numPr>
          <w:ilvl w:val="1"/>
          <w:numId w:val="2"/>
        </w:numPr>
        <w:tabs>
          <w:tab w:pos="2979" w:val="left" w:leader="none"/>
        </w:tabs>
        <w:spacing w:line="240" w:lineRule="auto" w:before="0" w:after="0"/>
        <w:ind w:left="2978" w:right="0" w:hanging="425"/>
        <w:jc w:val="left"/>
      </w:pPr>
      <w:bookmarkStart w:name="_bookmark2" w:id="4"/>
      <w:bookmarkEnd w:id="4"/>
      <w:r>
        <w:rPr>
          <w:b w:val="0"/>
        </w:rPr>
      </w:r>
      <w:bookmarkStart w:name="_bookmark2" w:id="5"/>
      <w:bookmarkEnd w:id="5"/>
      <w:r>
        <w:rPr>
          <w:color w:val="006666"/>
        </w:rPr>
        <w:t>Map</w:t>
      </w:r>
      <w:r>
        <w:rPr>
          <w:color w:val="006666"/>
        </w:rPr>
        <w:t>a Estratégico do CAU</w:t>
      </w:r>
      <w:r>
        <w:rPr>
          <w:color w:val="006666"/>
          <w:spacing w:val="-4"/>
        </w:rPr>
        <w:t> </w:t>
      </w:r>
      <w:r>
        <w:rPr>
          <w:color w:val="006666"/>
        </w:rPr>
        <w:t>2023</w:t>
      </w:r>
    </w:p>
    <w:p>
      <w:pPr>
        <w:pStyle w:val="BodyText"/>
        <w:spacing w:before="5"/>
        <w:rPr>
          <w:b/>
          <w:sz w:val="30"/>
        </w:rPr>
      </w:pPr>
    </w:p>
    <w:p>
      <w:pPr>
        <w:pStyle w:val="BodyText"/>
        <w:spacing w:line="360" w:lineRule="auto"/>
        <w:ind w:left="1702" w:right="1126" w:firstLine="851"/>
        <w:jc w:val="both"/>
      </w:pPr>
      <w:r>
        <w:rPr/>
        <w:t>O Plano de Ação do CAU está inserido no contexto do Planejamento Estratégico do Conselho de Arquitetura e Urbanismo, que orienta a atuação do CAU/BR e dos CAU/UF até 2023. O mapa estratégico introduzido por esse Planejamento apresenta mudanças que se refletem nos indicadores estratégicos monitorados no Plano.</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3" w:firstLine="851"/>
        <w:jc w:val="both"/>
      </w:pPr>
      <w:r>
        <w:rPr/>
        <w:t>A Figura 1, a seguir, mostra o mapa que resume o Planejamento Estratégico do CAU com a Missão, Visão e os Objetivos Estratégicos agrupados pelas perspectivas de Sociedade, Processos Internos e Pessoas e Infraestrutura.</w:t>
      </w:r>
    </w:p>
    <w:p>
      <w:pPr>
        <w:spacing w:before="160" w:after="21"/>
        <w:ind w:left="7105" w:right="0" w:firstLine="0"/>
        <w:jc w:val="left"/>
        <w:rPr>
          <w:rFonts w:ascii="Calibri Light" w:hAnsi="Calibri Light"/>
          <w:b w:val="0"/>
          <w:sz w:val="22"/>
        </w:rPr>
      </w:pPr>
      <w:bookmarkStart w:name="_bookmark3" w:id="6"/>
      <w:bookmarkEnd w:id="6"/>
      <w:r>
        <w:rPr/>
      </w:r>
      <w:r>
        <w:rPr>
          <w:rFonts w:ascii="Calibri Light" w:hAnsi="Calibri Light"/>
          <w:b w:val="0"/>
          <w:color w:val="001F5F"/>
          <w:sz w:val="22"/>
        </w:rPr>
        <w:t>Figura 1 – Mapa Estratégico do CAU 2023</w:t>
      </w:r>
    </w:p>
    <w:p>
      <w:pPr>
        <w:pStyle w:val="BodyText"/>
        <w:ind w:left="1703"/>
        <w:rPr>
          <w:rFonts w:ascii="Calibri Light"/>
          <w:sz w:val="20"/>
        </w:rPr>
      </w:pPr>
      <w:r>
        <w:rPr>
          <w:rFonts w:ascii="Calibri Light"/>
          <w:sz w:val="20"/>
        </w:rPr>
        <w:drawing>
          <wp:inline distT="0" distB="0" distL="0" distR="0">
            <wp:extent cx="5758793" cy="4144899"/>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5758793" cy="4144899"/>
                    </a:xfrm>
                    <a:prstGeom prst="rect">
                      <a:avLst/>
                    </a:prstGeom>
                  </pic:spPr>
                </pic:pic>
              </a:graphicData>
            </a:graphic>
          </wp:inline>
        </w:drawing>
      </w:r>
      <w:r>
        <w:rPr>
          <w:rFonts w:ascii="Calibri Light"/>
          <w:sz w:val="20"/>
        </w:rPr>
      </w:r>
    </w:p>
    <w:p>
      <w:pPr>
        <w:pStyle w:val="BodyText"/>
        <w:rPr>
          <w:rFonts w:ascii="Calibri Light"/>
          <w:b w:val="0"/>
          <w:sz w:val="22"/>
        </w:rPr>
      </w:pPr>
    </w:p>
    <w:p>
      <w:pPr>
        <w:pStyle w:val="BodyText"/>
        <w:rPr>
          <w:rFonts w:ascii="Calibri Light"/>
          <w:b w:val="0"/>
          <w:sz w:val="22"/>
        </w:rPr>
      </w:pPr>
    </w:p>
    <w:p>
      <w:pPr>
        <w:pStyle w:val="Heading4"/>
        <w:numPr>
          <w:ilvl w:val="2"/>
          <w:numId w:val="2"/>
        </w:numPr>
        <w:tabs>
          <w:tab w:pos="3121" w:val="left" w:leader="none"/>
        </w:tabs>
        <w:spacing w:line="240" w:lineRule="auto" w:before="176" w:after="0"/>
        <w:ind w:left="3120" w:right="0" w:hanging="567"/>
        <w:jc w:val="left"/>
      </w:pPr>
      <w:bookmarkStart w:name="_bookmark4" w:id="7"/>
      <w:bookmarkEnd w:id="7"/>
      <w:r>
        <w:rPr>
          <w:b w:val="0"/>
        </w:rPr>
      </w:r>
      <w:bookmarkStart w:name="_bookmark4" w:id="8"/>
      <w:bookmarkEnd w:id="8"/>
      <w:r>
        <w:rPr>
          <w:color w:val="006666"/>
        </w:rPr>
        <w:t>Ind</w:t>
      </w:r>
      <w:r>
        <w:rPr>
          <w:color w:val="006666"/>
        </w:rPr>
        <w:t>icadores do Mapa</w:t>
      </w:r>
      <w:r>
        <w:rPr>
          <w:color w:val="006666"/>
          <w:spacing w:val="1"/>
        </w:rPr>
        <w:t> </w:t>
      </w:r>
      <w:r>
        <w:rPr>
          <w:color w:val="006666"/>
        </w:rPr>
        <w:t>Estratégico</w:t>
      </w:r>
    </w:p>
    <w:p>
      <w:pPr>
        <w:pStyle w:val="BodyText"/>
        <w:spacing w:before="2"/>
        <w:rPr>
          <w:b/>
          <w:sz w:val="29"/>
        </w:rPr>
      </w:pPr>
    </w:p>
    <w:p>
      <w:pPr>
        <w:pStyle w:val="BodyText"/>
        <w:spacing w:line="360" w:lineRule="auto" w:before="1"/>
        <w:ind w:left="1702" w:right="1127" w:firstLine="851"/>
        <w:jc w:val="both"/>
      </w:pPr>
      <w:r>
        <w:rPr/>
        <w:t>Os Indicadores Institucionais mensuram os resultados obtidos, os da Perspectiva da “Sociedade” mensuram os resultados junto à Sociedade e aos Arquitetos e Urbanistas. Os Indicadores de Resultado, das Perspectivas de “Processos Internos” e “Pessoas e Infraestrutura”, mensuram os resultados dos Projetos Estratégicos implementados no CAU, no atendimento dos Objetivos Estratégicos.</w:t>
      </w:r>
    </w:p>
    <w:p>
      <w:pPr>
        <w:pStyle w:val="BodyText"/>
        <w:spacing w:line="360" w:lineRule="auto" w:before="160"/>
        <w:ind w:left="1702" w:right="1126" w:firstLine="851"/>
        <w:jc w:val="both"/>
      </w:pPr>
      <w:r>
        <w:rPr/>
        <w:t>Os</w:t>
      </w:r>
      <w:r>
        <w:rPr>
          <w:spacing w:val="-15"/>
        </w:rPr>
        <w:t> </w:t>
      </w:r>
      <w:r>
        <w:rPr/>
        <w:t>indicadores</w:t>
      </w:r>
      <w:r>
        <w:rPr>
          <w:spacing w:val="-13"/>
        </w:rPr>
        <w:t> </w:t>
      </w:r>
      <w:r>
        <w:rPr/>
        <w:t>dos</w:t>
      </w:r>
      <w:r>
        <w:rPr>
          <w:spacing w:val="-13"/>
        </w:rPr>
        <w:t> </w:t>
      </w:r>
      <w:r>
        <w:rPr/>
        <w:t>CAU/UF</w:t>
      </w:r>
      <w:r>
        <w:rPr>
          <w:spacing w:val="-14"/>
        </w:rPr>
        <w:t> </w:t>
      </w:r>
      <w:r>
        <w:rPr/>
        <w:t>e</w:t>
      </w:r>
      <w:r>
        <w:rPr>
          <w:spacing w:val="-13"/>
        </w:rPr>
        <w:t> </w:t>
      </w:r>
      <w:r>
        <w:rPr/>
        <w:t>CAU/BR</w:t>
      </w:r>
      <w:r>
        <w:rPr>
          <w:spacing w:val="-13"/>
        </w:rPr>
        <w:t> </w:t>
      </w:r>
      <w:r>
        <w:rPr/>
        <w:t>estão</w:t>
      </w:r>
      <w:r>
        <w:rPr>
          <w:spacing w:val="-14"/>
        </w:rPr>
        <w:t> </w:t>
      </w:r>
      <w:r>
        <w:rPr/>
        <w:t>em</w:t>
      </w:r>
      <w:r>
        <w:rPr>
          <w:spacing w:val="-13"/>
        </w:rPr>
        <w:t> </w:t>
      </w:r>
      <w:r>
        <w:rPr/>
        <w:t>processo</w:t>
      </w:r>
      <w:r>
        <w:rPr>
          <w:spacing w:val="-13"/>
        </w:rPr>
        <w:t> </w:t>
      </w:r>
      <w:r>
        <w:rPr/>
        <w:t>de</w:t>
      </w:r>
      <w:r>
        <w:rPr>
          <w:spacing w:val="-13"/>
        </w:rPr>
        <w:t> </w:t>
      </w:r>
      <w:r>
        <w:rPr/>
        <w:t>reavaliação,</w:t>
      </w:r>
      <w:r>
        <w:rPr>
          <w:spacing w:val="-13"/>
        </w:rPr>
        <w:t> </w:t>
      </w:r>
      <w:r>
        <w:rPr/>
        <w:t>que</w:t>
      </w:r>
      <w:r>
        <w:rPr>
          <w:spacing w:val="-13"/>
        </w:rPr>
        <w:t> </w:t>
      </w:r>
      <w:r>
        <w:rPr/>
        <w:t>consiste na análise dos atuais indicadores e a criação de novos que sejam mensuráveis e adequados à realidade atual do CAU. No Seminário de Planejamento e Prestação de Contas, realizado em 11 e 12 de fevereiro de 2020, foram definidos 44 indicadores comuns aos CAU/UF. Para o CAU/BR,</w:t>
      </w:r>
      <w:r>
        <w:rPr>
          <w:spacing w:val="12"/>
        </w:rPr>
        <w:t> </w:t>
      </w:r>
      <w:r>
        <w:rPr/>
        <w:t>foram</w:t>
      </w:r>
      <w:r>
        <w:rPr>
          <w:spacing w:val="14"/>
        </w:rPr>
        <w:t> </w:t>
      </w:r>
      <w:r>
        <w:rPr/>
        <w:t>definidos</w:t>
      </w:r>
      <w:r>
        <w:rPr>
          <w:spacing w:val="13"/>
        </w:rPr>
        <w:t> </w:t>
      </w:r>
      <w:r>
        <w:rPr/>
        <w:t>46</w:t>
      </w:r>
      <w:r>
        <w:rPr>
          <w:spacing w:val="18"/>
        </w:rPr>
        <w:t> </w:t>
      </w:r>
      <w:r>
        <w:rPr/>
        <w:t>indicadores</w:t>
      </w:r>
      <w:r>
        <w:rPr>
          <w:spacing w:val="13"/>
        </w:rPr>
        <w:t> </w:t>
      </w:r>
      <w:r>
        <w:rPr/>
        <w:t>através</w:t>
      </w:r>
      <w:r>
        <w:rPr>
          <w:spacing w:val="13"/>
        </w:rPr>
        <w:t> </w:t>
      </w:r>
      <w:r>
        <w:rPr/>
        <w:t>de</w:t>
      </w:r>
      <w:r>
        <w:rPr>
          <w:spacing w:val="13"/>
        </w:rPr>
        <w:t> </w:t>
      </w:r>
      <w:r>
        <w:rPr/>
        <w:t>reuniões</w:t>
      </w:r>
      <w:r>
        <w:rPr>
          <w:spacing w:val="14"/>
        </w:rPr>
        <w:t> </w:t>
      </w:r>
      <w:r>
        <w:rPr/>
        <w:t>com</w:t>
      </w:r>
      <w:r>
        <w:rPr>
          <w:spacing w:val="14"/>
        </w:rPr>
        <w:t> </w:t>
      </w:r>
      <w:r>
        <w:rPr/>
        <w:t>as</w:t>
      </w:r>
      <w:r>
        <w:rPr>
          <w:spacing w:val="12"/>
        </w:rPr>
        <w:t> </w:t>
      </w:r>
      <w:r>
        <w:rPr/>
        <w:t>áreas</w:t>
      </w:r>
      <w:r>
        <w:rPr>
          <w:spacing w:val="17"/>
        </w:rPr>
        <w:t> </w:t>
      </w:r>
      <w:r>
        <w:rPr/>
        <w:t>técnicas</w:t>
      </w:r>
      <w:r>
        <w:rPr>
          <w:spacing w:val="13"/>
        </w:rPr>
        <w:t> </w:t>
      </w:r>
      <w:r>
        <w:rPr/>
        <w:t>e</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8"/>
        <w:jc w:val="both"/>
      </w:pPr>
      <w:r>
        <w:rPr/>
        <w:t>comissões. Os indicadores escolhidos serão aprimorados e poderão ser redefinidos no decorrer do exercício de 2021.</w:t>
      </w:r>
    </w:p>
    <w:p>
      <w:pPr>
        <w:pStyle w:val="BodyText"/>
        <w:spacing w:line="360" w:lineRule="auto" w:before="161"/>
        <w:ind w:left="1702" w:right="1126" w:firstLine="851"/>
        <w:jc w:val="both"/>
      </w:pPr>
      <w:r>
        <w:rPr/>
        <w:t>As</w:t>
      </w:r>
      <w:r>
        <w:rPr>
          <w:spacing w:val="-14"/>
        </w:rPr>
        <w:t> </w:t>
      </w:r>
      <w:r>
        <w:rPr/>
        <w:t>metas</w:t>
      </w:r>
      <w:r>
        <w:rPr>
          <w:spacing w:val="-14"/>
        </w:rPr>
        <w:t> </w:t>
      </w:r>
      <w:r>
        <w:rPr/>
        <w:t>dos</w:t>
      </w:r>
      <w:r>
        <w:rPr>
          <w:spacing w:val="-13"/>
        </w:rPr>
        <w:t> </w:t>
      </w:r>
      <w:r>
        <w:rPr/>
        <w:t>indicadores</w:t>
      </w:r>
      <w:r>
        <w:rPr>
          <w:spacing w:val="-15"/>
        </w:rPr>
        <w:t> </w:t>
      </w:r>
      <w:r>
        <w:rPr/>
        <w:t>serão</w:t>
      </w:r>
      <w:r>
        <w:rPr>
          <w:spacing w:val="-13"/>
        </w:rPr>
        <w:t> </w:t>
      </w:r>
      <w:r>
        <w:rPr/>
        <w:t>projetadas</w:t>
      </w:r>
      <w:r>
        <w:rPr>
          <w:spacing w:val="-14"/>
        </w:rPr>
        <w:t> </w:t>
      </w:r>
      <w:r>
        <w:rPr/>
        <w:t>com</w:t>
      </w:r>
      <w:r>
        <w:rPr>
          <w:spacing w:val="-14"/>
        </w:rPr>
        <w:t> </w:t>
      </w:r>
      <w:r>
        <w:rPr/>
        <w:t>base</w:t>
      </w:r>
      <w:r>
        <w:rPr>
          <w:spacing w:val="-13"/>
        </w:rPr>
        <w:t> </w:t>
      </w:r>
      <w:r>
        <w:rPr/>
        <w:t>em</w:t>
      </w:r>
      <w:r>
        <w:rPr>
          <w:spacing w:val="-11"/>
        </w:rPr>
        <w:t> </w:t>
      </w:r>
      <w:r>
        <w:rPr/>
        <w:t>suas</w:t>
      </w:r>
      <w:r>
        <w:rPr>
          <w:spacing w:val="-14"/>
        </w:rPr>
        <w:t> </w:t>
      </w:r>
      <w:r>
        <w:rPr/>
        <w:t>séries</w:t>
      </w:r>
      <w:r>
        <w:rPr>
          <w:spacing w:val="-17"/>
        </w:rPr>
        <w:t> </w:t>
      </w:r>
      <w:r>
        <w:rPr/>
        <w:t>históricas</w:t>
      </w:r>
      <w:r>
        <w:rPr>
          <w:spacing w:val="-12"/>
        </w:rPr>
        <w:t> </w:t>
      </w:r>
      <w:r>
        <w:rPr/>
        <w:t>e</w:t>
      </w:r>
      <w:r>
        <w:rPr>
          <w:spacing w:val="-14"/>
        </w:rPr>
        <w:t> </w:t>
      </w:r>
      <w:r>
        <w:rPr/>
        <w:t>serão monitoradas</w:t>
      </w:r>
      <w:r>
        <w:rPr>
          <w:spacing w:val="-5"/>
        </w:rPr>
        <w:t> </w:t>
      </w:r>
      <w:r>
        <w:rPr/>
        <w:t>com</w:t>
      </w:r>
      <w:r>
        <w:rPr>
          <w:spacing w:val="-4"/>
        </w:rPr>
        <w:t> </w:t>
      </w:r>
      <w:r>
        <w:rPr/>
        <w:t>o</w:t>
      </w:r>
      <w:r>
        <w:rPr>
          <w:spacing w:val="-3"/>
        </w:rPr>
        <w:t> </w:t>
      </w:r>
      <w:r>
        <w:rPr/>
        <w:t>apoio</w:t>
      </w:r>
      <w:r>
        <w:rPr>
          <w:spacing w:val="-4"/>
        </w:rPr>
        <w:t> </w:t>
      </w:r>
      <w:r>
        <w:rPr/>
        <w:t>da</w:t>
      </w:r>
      <w:r>
        <w:rPr>
          <w:spacing w:val="-6"/>
        </w:rPr>
        <w:t> </w:t>
      </w:r>
      <w:r>
        <w:rPr/>
        <w:t>Plataforma</w:t>
      </w:r>
      <w:r>
        <w:rPr>
          <w:spacing w:val="-6"/>
        </w:rPr>
        <w:t> </w:t>
      </w:r>
      <w:r>
        <w:rPr/>
        <w:t>de</w:t>
      </w:r>
      <w:r>
        <w:rPr>
          <w:spacing w:val="-3"/>
        </w:rPr>
        <w:t> </w:t>
      </w:r>
      <w:r>
        <w:rPr/>
        <w:t>Gestão</w:t>
      </w:r>
      <w:r>
        <w:rPr>
          <w:spacing w:val="-3"/>
        </w:rPr>
        <w:t> </w:t>
      </w:r>
      <w:r>
        <w:rPr/>
        <w:t>Integrada</w:t>
      </w:r>
      <w:r>
        <w:rPr>
          <w:spacing w:val="-2"/>
        </w:rPr>
        <w:t> </w:t>
      </w:r>
      <w:r>
        <w:rPr/>
        <w:t>(SGI),</w:t>
      </w:r>
      <w:r>
        <w:rPr>
          <w:spacing w:val="-5"/>
        </w:rPr>
        <w:t> </w:t>
      </w:r>
      <w:r>
        <w:rPr/>
        <w:t>em</w:t>
      </w:r>
      <w:r>
        <w:rPr>
          <w:spacing w:val="-5"/>
        </w:rPr>
        <w:t> </w:t>
      </w:r>
      <w:r>
        <w:rPr/>
        <w:t>especial,</w:t>
      </w:r>
      <w:r>
        <w:rPr>
          <w:spacing w:val="-4"/>
        </w:rPr>
        <w:t> </w:t>
      </w:r>
      <w:r>
        <w:rPr/>
        <w:t>pelo</w:t>
      </w:r>
      <w:r>
        <w:rPr>
          <w:spacing w:val="-4"/>
        </w:rPr>
        <w:t> </w:t>
      </w:r>
      <w:r>
        <w:rPr/>
        <w:t>módulo “Gestão Estratégica e de Indicadores”. Nos Anexos I e II estão demonstrados e contextualizados os indicadores vinculados aos objetivos</w:t>
      </w:r>
      <w:r>
        <w:rPr>
          <w:spacing w:val="1"/>
        </w:rPr>
        <w:t> </w:t>
      </w:r>
      <w:r>
        <w:rPr/>
        <w:t>estratégicos.</w:t>
      </w:r>
    </w:p>
    <w:p>
      <w:pPr>
        <w:pStyle w:val="BodyText"/>
      </w:pPr>
    </w:p>
    <w:p>
      <w:pPr>
        <w:pStyle w:val="BodyText"/>
        <w:spacing w:before="1"/>
        <w:rPr>
          <w:sz w:val="25"/>
        </w:rPr>
      </w:pPr>
    </w:p>
    <w:p>
      <w:pPr>
        <w:pStyle w:val="Heading2"/>
        <w:numPr>
          <w:ilvl w:val="0"/>
          <w:numId w:val="2"/>
        </w:numPr>
        <w:tabs>
          <w:tab w:pos="2268" w:val="left" w:leader="none"/>
          <w:tab w:pos="2269" w:val="left" w:leader="none"/>
        </w:tabs>
        <w:spacing w:line="240" w:lineRule="auto" w:before="1" w:after="0"/>
        <w:ind w:left="2268" w:right="0" w:hanging="567"/>
        <w:jc w:val="left"/>
      </w:pPr>
      <w:bookmarkStart w:name="_bookmark5" w:id="9"/>
      <w:bookmarkEnd w:id="9"/>
      <w:r>
        <w:rPr>
          <w:b w:val="0"/>
        </w:rPr>
      </w:r>
      <w:bookmarkStart w:name="_bookmark5" w:id="10"/>
      <w:bookmarkEnd w:id="10"/>
      <w:r>
        <w:rPr>
          <w:color w:val="006666"/>
        </w:rPr>
        <w:t>METAS</w:t>
      </w:r>
      <w:r>
        <w:rPr>
          <w:color w:val="006666"/>
        </w:rPr>
        <w:t> PARA O PLANO DE AÇÃO 2021</w:t>
      </w:r>
    </w:p>
    <w:p>
      <w:pPr>
        <w:pStyle w:val="BodyText"/>
        <w:spacing w:before="3"/>
        <w:rPr>
          <w:b/>
          <w:sz w:val="32"/>
        </w:rPr>
      </w:pPr>
    </w:p>
    <w:p>
      <w:pPr>
        <w:pStyle w:val="Heading3"/>
        <w:numPr>
          <w:ilvl w:val="1"/>
          <w:numId w:val="2"/>
        </w:numPr>
        <w:tabs>
          <w:tab w:pos="2979" w:val="left" w:leader="none"/>
        </w:tabs>
        <w:spacing w:line="240" w:lineRule="auto" w:before="0" w:after="0"/>
        <w:ind w:left="2978" w:right="0" w:hanging="425"/>
        <w:jc w:val="left"/>
      </w:pPr>
      <w:bookmarkStart w:name="_bookmark6" w:id="11"/>
      <w:bookmarkEnd w:id="11"/>
      <w:r>
        <w:rPr>
          <w:b w:val="0"/>
        </w:rPr>
      </w:r>
      <w:bookmarkStart w:name="_bookmark6" w:id="12"/>
      <w:bookmarkEnd w:id="12"/>
      <w:r>
        <w:rPr>
          <w:color w:val="006666"/>
        </w:rPr>
        <w:t>No</w:t>
      </w:r>
      <w:r>
        <w:rPr>
          <w:color w:val="006666"/>
        </w:rPr>
        <w:t>vos Objetivos Estratégicos de âmbito</w:t>
      </w:r>
      <w:r>
        <w:rPr>
          <w:color w:val="006666"/>
          <w:spacing w:val="-5"/>
        </w:rPr>
        <w:t> </w:t>
      </w:r>
      <w:r>
        <w:rPr>
          <w:color w:val="006666"/>
        </w:rPr>
        <w:t>nacional</w:t>
      </w:r>
    </w:p>
    <w:p>
      <w:pPr>
        <w:pStyle w:val="BodyText"/>
        <w:spacing w:before="4"/>
        <w:rPr>
          <w:b/>
          <w:sz w:val="30"/>
        </w:rPr>
      </w:pPr>
    </w:p>
    <w:p>
      <w:pPr>
        <w:pStyle w:val="BodyText"/>
        <w:spacing w:line="360" w:lineRule="auto"/>
        <w:ind w:left="1702" w:right="1124" w:firstLine="566"/>
        <w:jc w:val="both"/>
      </w:pPr>
      <w:r>
        <w:rPr/>
        <w:t>Em</w:t>
      </w:r>
      <w:r>
        <w:rPr>
          <w:spacing w:val="-6"/>
        </w:rPr>
        <w:t> </w:t>
      </w:r>
      <w:r>
        <w:rPr/>
        <w:t>2020,</w:t>
      </w:r>
      <w:r>
        <w:rPr>
          <w:spacing w:val="-9"/>
        </w:rPr>
        <w:t> </w:t>
      </w:r>
      <w:r>
        <w:rPr/>
        <w:t>os</w:t>
      </w:r>
      <w:r>
        <w:rPr>
          <w:spacing w:val="-8"/>
        </w:rPr>
        <w:t> </w:t>
      </w:r>
      <w:r>
        <w:rPr/>
        <w:t>objetivos</w:t>
      </w:r>
      <w:r>
        <w:rPr>
          <w:spacing w:val="-8"/>
        </w:rPr>
        <w:t> </w:t>
      </w:r>
      <w:r>
        <w:rPr/>
        <w:t>estratégicos</w:t>
      </w:r>
      <w:r>
        <w:rPr>
          <w:spacing w:val="-11"/>
        </w:rPr>
        <w:t> </w:t>
      </w:r>
      <w:r>
        <w:rPr/>
        <w:t>de</w:t>
      </w:r>
      <w:r>
        <w:rPr>
          <w:spacing w:val="-8"/>
        </w:rPr>
        <w:t> </w:t>
      </w:r>
      <w:r>
        <w:rPr/>
        <w:t>âmbito</w:t>
      </w:r>
      <w:r>
        <w:rPr>
          <w:spacing w:val="-8"/>
        </w:rPr>
        <w:t> </w:t>
      </w:r>
      <w:r>
        <w:rPr/>
        <w:t>nacional</w:t>
      </w:r>
      <w:r>
        <w:rPr>
          <w:spacing w:val="-8"/>
        </w:rPr>
        <w:t> </w:t>
      </w:r>
      <w:r>
        <w:rPr/>
        <w:t>eram:</w:t>
      </w:r>
      <w:r>
        <w:rPr>
          <w:spacing w:val="-8"/>
        </w:rPr>
        <w:t> </w:t>
      </w:r>
      <w:r>
        <w:rPr/>
        <w:t>(i)</w:t>
      </w:r>
      <w:r>
        <w:rPr>
          <w:spacing w:val="-7"/>
        </w:rPr>
        <w:t> </w:t>
      </w:r>
      <w:r>
        <w:rPr/>
        <w:t>Tornar</w:t>
      </w:r>
      <w:r>
        <w:rPr>
          <w:spacing w:val="-7"/>
        </w:rPr>
        <w:t> </w:t>
      </w:r>
      <w:r>
        <w:rPr/>
        <w:t>a</w:t>
      </w:r>
      <w:r>
        <w:rPr>
          <w:spacing w:val="-9"/>
        </w:rPr>
        <w:t> </w:t>
      </w:r>
      <w:r>
        <w:rPr/>
        <w:t>fiscalização</w:t>
      </w:r>
      <w:r>
        <w:rPr>
          <w:spacing w:val="-8"/>
        </w:rPr>
        <w:t> </w:t>
      </w:r>
      <w:r>
        <w:rPr/>
        <w:t>um vetor de melhoria do exercício da Arquitetura e Urbanismo, (ii) Estimular a produção da Arquitetura</w:t>
      </w:r>
      <w:r>
        <w:rPr>
          <w:spacing w:val="-16"/>
        </w:rPr>
        <w:t> </w:t>
      </w:r>
      <w:r>
        <w:rPr/>
        <w:t>e</w:t>
      </w:r>
      <w:r>
        <w:rPr>
          <w:spacing w:val="-15"/>
        </w:rPr>
        <w:t> </w:t>
      </w:r>
      <w:r>
        <w:rPr/>
        <w:t>Urbanismo</w:t>
      </w:r>
      <w:r>
        <w:rPr>
          <w:spacing w:val="-18"/>
        </w:rPr>
        <w:t> </w:t>
      </w:r>
      <w:r>
        <w:rPr/>
        <w:t>como</w:t>
      </w:r>
      <w:r>
        <w:rPr>
          <w:spacing w:val="-15"/>
        </w:rPr>
        <w:t> </w:t>
      </w:r>
      <w:r>
        <w:rPr/>
        <w:t>política</w:t>
      </w:r>
      <w:r>
        <w:rPr>
          <w:spacing w:val="-16"/>
        </w:rPr>
        <w:t> </w:t>
      </w:r>
      <w:r>
        <w:rPr/>
        <w:t>de</w:t>
      </w:r>
      <w:r>
        <w:rPr>
          <w:spacing w:val="-15"/>
        </w:rPr>
        <w:t> </w:t>
      </w:r>
      <w:r>
        <w:rPr/>
        <w:t>Estado</w:t>
      </w:r>
      <w:r>
        <w:rPr>
          <w:spacing w:val="-12"/>
        </w:rPr>
        <w:t> </w:t>
      </w:r>
      <w:r>
        <w:rPr/>
        <w:t>e</w:t>
      </w:r>
      <w:r>
        <w:rPr>
          <w:spacing w:val="-15"/>
        </w:rPr>
        <w:t> </w:t>
      </w:r>
      <w:r>
        <w:rPr/>
        <w:t>(iii)</w:t>
      </w:r>
      <w:r>
        <w:rPr>
          <w:spacing w:val="-15"/>
        </w:rPr>
        <w:t> </w:t>
      </w:r>
      <w:r>
        <w:rPr/>
        <w:t>Assegurar</w:t>
      </w:r>
      <w:r>
        <w:rPr>
          <w:spacing w:val="-15"/>
        </w:rPr>
        <w:t> </w:t>
      </w:r>
      <w:r>
        <w:rPr/>
        <w:t>a</w:t>
      </w:r>
      <w:r>
        <w:rPr>
          <w:spacing w:val="-16"/>
        </w:rPr>
        <w:t> </w:t>
      </w:r>
      <w:r>
        <w:rPr/>
        <w:t>eficácia</w:t>
      </w:r>
      <w:r>
        <w:rPr>
          <w:spacing w:val="-19"/>
        </w:rPr>
        <w:t> </w:t>
      </w:r>
      <w:r>
        <w:rPr/>
        <w:t>no</w:t>
      </w:r>
      <w:r>
        <w:rPr>
          <w:spacing w:val="-15"/>
        </w:rPr>
        <w:t> </w:t>
      </w:r>
      <w:r>
        <w:rPr/>
        <w:t>relacionamento e comunicação com a sociedade. Em 2021, o CAU/BR e os CAU/UF deverão propor as suas metas de resultados para indicadores dos objetivos estratégicos das Perspectivas de "Processos Internos" e "Pessoas e Infraestrutura" considerando as</w:t>
      </w:r>
      <w:r>
        <w:rPr>
          <w:spacing w:val="-40"/>
        </w:rPr>
        <w:t> </w:t>
      </w:r>
      <w:r>
        <w:rPr/>
        <w:t>seguintes condicionantes:</w:t>
      </w:r>
    </w:p>
    <w:p>
      <w:pPr>
        <w:pStyle w:val="Heading5"/>
        <w:numPr>
          <w:ilvl w:val="0"/>
          <w:numId w:val="3"/>
        </w:numPr>
        <w:tabs>
          <w:tab w:pos="4136" w:val="left" w:leader="none"/>
          <w:tab w:pos="4137" w:val="left" w:leader="none"/>
        </w:tabs>
        <w:spacing w:line="360" w:lineRule="auto" w:before="162" w:after="0"/>
        <w:ind w:left="4136" w:right="1132" w:hanging="720"/>
        <w:jc w:val="left"/>
      </w:pPr>
      <w:r>
        <w:rPr/>
        <w:t>Tornar a fiscalização um vetor de melhoria do exercício da Arquitetura e</w:t>
      </w:r>
      <w:r>
        <w:rPr>
          <w:spacing w:val="-3"/>
        </w:rPr>
        <w:t> </w:t>
      </w:r>
      <w:r>
        <w:rPr/>
        <w:t>Urbanismo;</w:t>
      </w:r>
    </w:p>
    <w:p>
      <w:pPr>
        <w:pStyle w:val="ListParagraph"/>
        <w:numPr>
          <w:ilvl w:val="0"/>
          <w:numId w:val="3"/>
        </w:numPr>
        <w:tabs>
          <w:tab w:pos="4136" w:val="left" w:leader="none"/>
          <w:tab w:pos="4137" w:val="left" w:leader="none"/>
        </w:tabs>
        <w:spacing w:line="360" w:lineRule="auto" w:before="0" w:after="0"/>
        <w:ind w:left="4136" w:right="1131" w:hanging="720"/>
        <w:jc w:val="left"/>
        <w:rPr>
          <w:b/>
          <w:sz w:val="24"/>
        </w:rPr>
      </w:pPr>
      <w:r>
        <w:rPr>
          <w:b/>
          <w:sz w:val="24"/>
        </w:rPr>
        <w:t>Estimular</w:t>
      </w:r>
      <w:r>
        <w:rPr>
          <w:b/>
          <w:spacing w:val="-4"/>
          <w:sz w:val="24"/>
        </w:rPr>
        <w:t> </w:t>
      </w:r>
      <w:r>
        <w:rPr>
          <w:b/>
          <w:sz w:val="24"/>
        </w:rPr>
        <w:t>a</w:t>
      </w:r>
      <w:r>
        <w:rPr>
          <w:b/>
          <w:spacing w:val="-8"/>
          <w:sz w:val="24"/>
        </w:rPr>
        <w:t> </w:t>
      </w:r>
      <w:r>
        <w:rPr>
          <w:b/>
          <w:sz w:val="24"/>
        </w:rPr>
        <w:t>produção</w:t>
      </w:r>
      <w:r>
        <w:rPr>
          <w:b/>
          <w:spacing w:val="-7"/>
          <w:sz w:val="24"/>
        </w:rPr>
        <w:t> </w:t>
      </w:r>
      <w:r>
        <w:rPr>
          <w:b/>
          <w:sz w:val="24"/>
        </w:rPr>
        <w:t>da</w:t>
      </w:r>
      <w:r>
        <w:rPr>
          <w:b/>
          <w:spacing w:val="-6"/>
          <w:sz w:val="24"/>
        </w:rPr>
        <w:t> </w:t>
      </w:r>
      <w:r>
        <w:rPr>
          <w:b/>
          <w:sz w:val="24"/>
        </w:rPr>
        <w:t>Arquitetura</w:t>
      </w:r>
      <w:r>
        <w:rPr>
          <w:b/>
          <w:spacing w:val="-6"/>
          <w:sz w:val="24"/>
        </w:rPr>
        <w:t> </w:t>
      </w:r>
      <w:r>
        <w:rPr>
          <w:b/>
          <w:sz w:val="24"/>
        </w:rPr>
        <w:t>e</w:t>
      </w:r>
      <w:r>
        <w:rPr>
          <w:b/>
          <w:spacing w:val="-7"/>
          <w:sz w:val="24"/>
        </w:rPr>
        <w:t> </w:t>
      </w:r>
      <w:r>
        <w:rPr>
          <w:b/>
          <w:sz w:val="24"/>
        </w:rPr>
        <w:t>Urbanismo</w:t>
      </w:r>
      <w:r>
        <w:rPr>
          <w:b/>
          <w:spacing w:val="-4"/>
          <w:sz w:val="24"/>
        </w:rPr>
        <w:t> </w:t>
      </w:r>
      <w:r>
        <w:rPr>
          <w:b/>
          <w:sz w:val="24"/>
        </w:rPr>
        <w:t>como</w:t>
      </w:r>
      <w:r>
        <w:rPr>
          <w:b/>
          <w:spacing w:val="-8"/>
          <w:sz w:val="24"/>
        </w:rPr>
        <w:t> </w:t>
      </w:r>
      <w:r>
        <w:rPr>
          <w:b/>
          <w:sz w:val="24"/>
        </w:rPr>
        <w:t>política</w:t>
      </w:r>
      <w:r>
        <w:rPr>
          <w:b/>
          <w:spacing w:val="-6"/>
          <w:sz w:val="24"/>
        </w:rPr>
        <w:t> </w:t>
      </w:r>
      <w:r>
        <w:rPr>
          <w:b/>
          <w:sz w:val="24"/>
        </w:rPr>
        <w:t>de Estado.</w:t>
      </w:r>
      <w:r>
        <w:rPr>
          <w:b/>
          <w:spacing w:val="-1"/>
          <w:sz w:val="24"/>
        </w:rPr>
        <w:t> </w:t>
      </w:r>
      <w:r>
        <w:rPr>
          <w:b/>
          <w:sz w:val="24"/>
        </w:rPr>
        <w:t>e</w:t>
      </w:r>
    </w:p>
    <w:p>
      <w:pPr>
        <w:pStyle w:val="Heading5"/>
        <w:numPr>
          <w:ilvl w:val="0"/>
          <w:numId w:val="3"/>
        </w:numPr>
        <w:tabs>
          <w:tab w:pos="4136" w:val="left" w:leader="none"/>
          <w:tab w:pos="4137" w:val="left" w:leader="none"/>
        </w:tabs>
        <w:spacing w:line="240" w:lineRule="auto" w:before="0" w:after="0"/>
        <w:ind w:left="4136" w:right="0" w:hanging="721"/>
        <w:jc w:val="left"/>
      </w:pPr>
      <w:r>
        <w:rPr/>
        <w:t>Fomentar o acesso da sociedade à Arquitetura e</w:t>
      </w:r>
      <w:r>
        <w:rPr>
          <w:spacing w:val="-7"/>
        </w:rPr>
        <w:t> </w:t>
      </w:r>
      <w:r>
        <w:rPr/>
        <w:t>Urbanismo:</w:t>
      </w:r>
    </w:p>
    <w:p>
      <w:pPr>
        <w:pStyle w:val="BodyText"/>
        <w:spacing w:before="3"/>
        <w:rPr>
          <w:b/>
          <w:sz w:val="28"/>
        </w:rPr>
      </w:pPr>
    </w:p>
    <w:p>
      <w:pPr>
        <w:spacing w:line="360" w:lineRule="auto" w:before="1"/>
        <w:ind w:left="1702" w:right="1126" w:firstLine="851"/>
        <w:jc w:val="both"/>
        <w:rPr>
          <w:sz w:val="24"/>
        </w:rPr>
      </w:pPr>
      <w:r>
        <w:rPr>
          <w:sz w:val="24"/>
        </w:rPr>
        <w:t>A proposta para as </w:t>
      </w:r>
      <w:r>
        <w:rPr>
          <w:b/>
          <w:sz w:val="24"/>
        </w:rPr>
        <w:t>metas de “Tornar a fiscalização um vetor de melhoria do exercício da Arquitetura e Urbanismo” </w:t>
      </w:r>
      <w:r>
        <w:rPr>
          <w:sz w:val="24"/>
        </w:rPr>
        <w:t>deve ter como base as metas estabelecidas no Planejamento Estratégico do CAU/BR e dos CAU/UF e o número de profissionais e empresas projetados para 2021.</w:t>
      </w:r>
    </w:p>
    <w:p>
      <w:pPr>
        <w:spacing w:line="360" w:lineRule="auto" w:before="162"/>
        <w:ind w:left="1702" w:right="1131" w:firstLine="851"/>
        <w:jc w:val="both"/>
        <w:rPr>
          <w:sz w:val="24"/>
        </w:rPr>
      </w:pPr>
      <w:r>
        <w:rPr>
          <w:sz w:val="24"/>
        </w:rPr>
        <w:t>A proposta para as </w:t>
      </w:r>
      <w:r>
        <w:rPr>
          <w:b/>
          <w:sz w:val="24"/>
        </w:rPr>
        <w:t>metas de “Estimular a produção da Arquitetura e Urbanismo como política de Estado” </w:t>
      </w:r>
      <w:r>
        <w:rPr>
          <w:sz w:val="24"/>
        </w:rPr>
        <w:t>deve ter como base as metas estabelecidas no Planejamento Estratégico do CAU/BR e dos CAU/UF, buscando estar presente nos grupos de discussão de políticas públicas em prol da arquitetura e urbanismo, nas três esferas de Governo.</w:t>
      </w:r>
    </w:p>
    <w:p>
      <w:pPr>
        <w:spacing w:after="0" w:line="360" w:lineRule="auto"/>
        <w:jc w:val="both"/>
        <w:rPr>
          <w:sz w:val="24"/>
        </w:rPr>
        <w:sectPr>
          <w:pgSz w:w="11910" w:h="16840"/>
          <w:pgMar w:header="590" w:footer="612" w:top="1460" w:bottom="800" w:left="0" w:right="0"/>
        </w:sectPr>
      </w:pPr>
    </w:p>
    <w:p>
      <w:pPr>
        <w:pStyle w:val="BodyText"/>
        <w:spacing w:before="5"/>
        <w:rPr>
          <w:sz w:val="14"/>
        </w:rPr>
      </w:pPr>
    </w:p>
    <w:p>
      <w:pPr>
        <w:spacing w:line="360" w:lineRule="auto" w:before="51"/>
        <w:ind w:left="1702" w:right="1131" w:firstLine="851"/>
        <w:jc w:val="both"/>
        <w:rPr>
          <w:sz w:val="24"/>
        </w:rPr>
      </w:pPr>
      <w:r>
        <w:rPr>
          <w:sz w:val="24"/>
        </w:rPr>
        <w:t>A proposta para as </w:t>
      </w:r>
      <w:r>
        <w:rPr>
          <w:b/>
          <w:sz w:val="24"/>
        </w:rPr>
        <w:t>metas de “(iii) Fomentar o acesso da sociedade à Arquitetura e Urbanismo” </w:t>
      </w:r>
      <w:r>
        <w:rPr>
          <w:sz w:val="24"/>
        </w:rPr>
        <w:t>tem como base as metas estabelecidas no Planejamento Estratégico do CAU/BR e dos CAU/UF em prol da observância dos aspectos relevantes para a melhoria da qualidade de vida da população brasileira.</w:t>
      </w:r>
    </w:p>
    <w:p>
      <w:pPr>
        <w:spacing w:line="360" w:lineRule="auto" w:before="160"/>
        <w:ind w:left="1702" w:right="1124" w:firstLine="851"/>
        <w:jc w:val="both"/>
        <w:rPr>
          <w:sz w:val="24"/>
        </w:rPr>
      </w:pPr>
      <w:r>
        <w:rPr>
          <w:sz w:val="24"/>
        </w:rPr>
        <w:t>A proposta para as </w:t>
      </w:r>
      <w:r>
        <w:rPr>
          <w:b/>
          <w:sz w:val="24"/>
        </w:rPr>
        <w:t>metas dos indicadores dos objetivos estratégicos locais </w:t>
      </w:r>
      <w:r>
        <w:rPr>
          <w:sz w:val="24"/>
        </w:rPr>
        <w:t>selecionados</w:t>
      </w:r>
      <w:r>
        <w:rPr>
          <w:spacing w:val="-16"/>
          <w:sz w:val="24"/>
        </w:rPr>
        <w:t> </w:t>
      </w:r>
      <w:r>
        <w:rPr>
          <w:sz w:val="24"/>
        </w:rPr>
        <w:t>pelos</w:t>
      </w:r>
      <w:r>
        <w:rPr>
          <w:spacing w:val="-16"/>
          <w:sz w:val="24"/>
        </w:rPr>
        <w:t> </w:t>
      </w:r>
      <w:r>
        <w:rPr>
          <w:sz w:val="24"/>
        </w:rPr>
        <w:t>CAU/UF</w:t>
      </w:r>
      <w:r>
        <w:rPr>
          <w:spacing w:val="-15"/>
          <w:sz w:val="24"/>
        </w:rPr>
        <w:t> </w:t>
      </w:r>
      <w:r>
        <w:rPr>
          <w:sz w:val="24"/>
        </w:rPr>
        <w:t>e</w:t>
      </w:r>
      <w:r>
        <w:rPr>
          <w:spacing w:val="-16"/>
          <w:sz w:val="24"/>
        </w:rPr>
        <w:t> </w:t>
      </w:r>
      <w:r>
        <w:rPr>
          <w:sz w:val="24"/>
        </w:rPr>
        <w:t>CAU/BR</w:t>
      </w:r>
      <w:r>
        <w:rPr>
          <w:spacing w:val="-16"/>
          <w:sz w:val="24"/>
        </w:rPr>
        <w:t> </w:t>
      </w:r>
      <w:r>
        <w:rPr>
          <w:sz w:val="24"/>
        </w:rPr>
        <w:t>tem</w:t>
      </w:r>
      <w:r>
        <w:rPr>
          <w:spacing w:val="-15"/>
          <w:sz w:val="24"/>
        </w:rPr>
        <w:t> </w:t>
      </w:r>
      <w:r>
        <w:rPr>
          <w:sz w:val="24"/>
        </w:rPr>
        <w:t>como</w:t>
      </w:r>
      <w:r>
        <w:rPr>
          <w:spacing w:val="-15"/>
          <w:sz w:val="24"/>
        </w:rPr>
        <w:t> </w:t>
      </w:r>
      <w:r>
        <w:rPr>
          <w:sz w:val="24"/>
        </w:rPr>
        <w:t>base</w:t>
      </w:r>
      <w:r>
        <w:rPr>
          <w:spacing w:val="-16"/>
          <w:sz w:val="24"/>
        </w:rPr>
        <w:t> </w:t>
      </w:r>
      <w:r>
        <w:rPr>
          <w:sz w:val="24"/>
        </w:rPr>
        <w:t>as</w:t>
      </w:r>
      <w:r>
        <w:rPr>
          <w:spacing w:val="-16"/>
          <w:sz w:val="24"/>
        </w:rPr>
        <w:t> </w:t>
      </w:r>
      <w:r>
        <w:rPr>
          <w:sz w:val="24"/>
        </w:rPr>
        <w:t>metas</w:t>
      </w:r>
      <w:r>
        <w:rPr>
          <w:spacing w:val="-15"/>
          <w:sz w:val="24"/>
        </w:rPr>
        <w:t> </w:t>
      </w:r>
      <w:r>
        <w:rPr>
          <w:sz w:val="24"/>
        </w:rPr>
        <w:t>estabelecidas</w:t>
      </w:r>
      <w:r>
        <w:rPr>
          <w:spacing w:val="-16"/>
          <w:sz w:val="24"/>
        </w:rPr>
        <w:t> </w:t>
      </w:r>
      <w:r>
        <w:rPr>
          <w:sz w:val="24"/>
        </w:rPr>
        <w:t>no</w:t>
      </w:r>
      <w:r>
        <w:rPr>
          <w:spacing w:val="-15"/>
          <w:sz w:val="24"/>
        </w:rPr>
        <w:t> </w:t>
      </w:r>
      <w:r>
        <w:rPr>
          <w:sz w:val="24"/>
        </w:rPr>
        <w:t>Planejamento Estratégico dos CAU/UF e do</w:t>
      </w:r>
      <w:r>
        <w:rPr>
          <w:spacing w:val="-1"/>
          <w:sz w:val="24"/>
        </w:rPr>
        <w:t> </w:t>
      </w:r>
      <w:r>
        <w:rPr>
          <w:sz w:val="24"/>
        </w:rPr>
        <w:t>CAU/BR.</w:t>
      </w:r>
    </w:p>
    <w:p>
      <w:pPr>
        <w:pStyle w:val="BodyText"/>
        <w:spacing w:line="360" w:lineRule="auto" w:before="161"/>
        <w:ind w:left="1702" w:right="1126" w:firstLine="851"/>
        <w:jc w:val="both"/>
      </w:pPr>
      <w:r>
        <w:rPr/>
        <w:t>As ações, visando ao alcance da Missão do Conselho “Arquitetura e Urbanismo para Todos”, no âmbito do Objetivo Estratégico “Fomentar o acesso da sociedade à Arquitetura e Urbanismo” continuarão sendo implementadas por meio de projeto em Assistência Técnica em Habitações de Interesse Social – ATHIS, que devem observar aspectos relevantes para a melhoria da qualidade de vida da população brasileira, em acordo com as Resoluções do CAU/BR e aos princípios da Lei n° 11.888/2008 “...que assegura às famílias de baixa renda assistência técnica pública e gratuita para o projeto e a construção de habitação de interesse social...”.</w:t>
      </w:r>
    </w:p>
    <w:p>
      <w:pPr>
        <w:pStyle w:val="BodyText"/>
      </w:pPr>
    </w:p>
    <w:p>
      <w:pPr>
        <w:pStyle w:val="BodyText"/>
        <w:rPr>
          <w:sz w:val="25"/>
        </w:rPr>
      </w:pPr>
    </w:p>
    <w:p>
      <w:pPr>
        <w:pStyle w:val="Heading3"/>
        <w:numPr>
          <w:ilvl w:val="1"/>
          <w:numId w:val="2"/>
        </w:numPr>
        <w:tabs>
          <w:tab w:pos="2979" w:val="left" w:leader="none"/>
        </w:tabs>
        <w:spacing w:line="240" w:lineRule="auto" w:before="0" w:after="0"/>
        <w:ind w:left="2978" w:right="0" w:hanging="425"/>
        <w:jc w:val="left"/>
      </w:pPr>
      <w:bookmarkStart w:name="_bookmark7" w:id="13"/>
      <w:bookmarkEnd w:id="13"/>
      <w:r>
        <w:rPr>
          <w:b w:val="0"/>
        </w:rPr>
      </w:r>
      <w:bookmarkStart w:name="_bookmark7" w:id="14"/>
      <w:bookmarkEnd w:id="14"/>
      <w:r>
        <w:rPr>
          <w:color w:val="006666"/>
        </w:rPr>
        <w:t>Obj</w:t>
      </w:r>
      <w:r>
        <w:rPr>
          <w:color w:val="006666"/>
        </w:rPr>
        <w:t>etivos de Desenvolvimento Sustentável</w:t>
      </w:r>
      <w:r>
        <w:rPr>
          <w:color w:val="006666"/>
          <w:spacing w:val="-4"/>
        </w:rPr>
        <w:t> </w:t>
      </w:r>
      <w:r>
        <w:rPr>
          <w:color w:val="006666"/>
        </w:rPr>
        <w:t>(ODS)</w:t>
      </w:r>
    </w:p>
    <w:p>
      <w:pPr>
        <w:pStyle w:val="BodyText"/>
        <w:spacing w:before="5"/>
        <w:rPr>
          <w:b/>
          <w:sz w:val="30"/>
        </w:rPr>
      </w:pPr>
    </w:p>
    <w:p>
      <w:pPr>
        <w:pStyle w:val="BodyText"/>
        <w:spacing w:line="360" w:lineRule="auto"/>
        <w:ind w:left="1702" w:right="1125" w:firstLine="851"/>
        <w:jc w:val="both"/>
      </w:pPr>
      <w:r>
        <w:rPr/>
        <w:t>Os Objetivos de Desenvolvimento Sustentável (ODS) são uma agenda mundial adotada durante a Cúpula das Nações Unidas sobre o Desenvolvimento Sustentável, em setembro de 2015, composta por 17 objetivos e 169 metas a serem atingidos até 2030. Os objetivos estão dispostos na figura 2.</w:t>
      </w:r>
    </w:p>
    <w:p>
      <w:pPr>
        <w:spacing w:after="0" w:line="360" w:lineRule="auto"/>
        <w:jc w:val="both"/>
        <w:sectPr>
          <w:pgSz w:w="11910" w:h="16840"/>
          <w:pgMar w:header="590" w:footer="612" w:top="1460" w:bottom="800" w:left="0" w:right="0"/>
        </w:sectPr>
      </w:pPr>
    </w:p>
    <w:p>
      <w:pPr>
        <w:pStyle w:val="BodyText"/>
        <w:rPr>
          <w:sz w:val="14"/>
        </w:rPr>
      </w:pPr>
    </w:p>
    <w:p>
      <w:pPr>
        <w:spacing w:before="56" w:after="23"/>
        <w:ind w:left="6080" w:right="0" w:firstLine="0"/>
        <w:jc w:val="left"/>
        <w:rPr>
          <w:rFonts w:ascii="Calibri Light" w:hAnsi="Calibri Light"/>
          <w:b w:val="0"/>
          <w:i/>
          <w:sz w:val="22"/>
        </w:rPr>
      </w:pPr>
      <w:bookmarkStart w:name="_bookmark8" w:id="15"/>
      <w:bookmarkEnd w:id="15"/>
      <w:r>
        <w:rPr/>
      </w:r>
      <w:r>
        <w:rPr>
          <w:rFonts w:ascii="Calibri Light" w:hAnsi="Calibri Light"/>
          <w:b w:val="0"/>
          <w:color w:val="001F5F"/>
          <w:sz w:val="22"/>
        </w:rPr>
        <w:t>Figura 2 – Objetivos de Desenvolvimento Sustentável</w:t>
      </w:r>
      <w:r>
        <w:rPr>
          <w:rFonts w:ascii="Calibri Light" w:hAnsi="Calibri Light"/>
          <w:b w:val="0"/>
          <w:i/>
          <w:color w:val="001F5F"/>
          <w:sz w:val="22"/>
        </w:rPr>
        <w:t> </w:t>
      </w:r>
    </w:p>
    <w:p>
      <w:pPr>
        <w:pStyle w:val="BodyText"/>
        <w:ind w:left="1701"/>
        <w:rPr>
          <w:rFonts w:ascii="Calibri Light"/>
          <w:sz w:val="20"/>
        </w:rPr>
      </w:pPr>
      <w:r>
        <w:rPr>
          <w:rFonts w:ascii="Calibri Light"/>
          <w:sz w:val="20"/>
        </w:rPr>
        <w:drawing>
          <wp:inline distT="0" distB="0" distL="0" distR="0">
            <wp:extent cx="5728572" cy="293370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728572" cy="2933700"/>
                    </a:xfrm>
                    <a:prstGeom prst="rect">
                      <a:avLst/>
                    </a:prstGeom>
                  </pic:spPr>
                </pic:pic>
              </a:graphicData>
            </a:graphic>
          </wp:inline>
        </w:drawing>
      </w:r>
      <w:r>
        <w:rPr>
          <w:rFonts w:ascii="Calibri Light"/>
          <w:sz w:val="20"/>
        </w:rPr>
      </w:r>
    </w:p>
    <w:p>
      <w:pPr>
        <w:spacing w:before="175"/>
        <w:ind w:left="1702" w:right="0" w:firstLine="0"/>
        <w:jc w:val="left"/>
        <w:rPr>
          <w:sz w:val="22"/>
        </w:rPr>
      </w:pPr>
      <w:r>
        <w:rPr>
          <w:sz w:val="24"/>
        </w:rPr>
        <w:t>Disponível em: </w:t>
      </w:r>
      <w:hyperlink r:id="rId11">
        <w:r>
          <w:rPr>
            <w:color w:val="0462C1"/>
            <w:sz w:val="22"/>
            <w:u w:val="single" w:color="0462C1"/>
          </w:rPr>
          <w:t>http://www.estrategiaods.org.br/</w:t>
        </w:r>
      </w:hyperlink>
    </w:p>
    <w:p>
      <w:pPr>
        <w:pStyle w:val="BodyText"/>
        <w:rPr>
          <w:sz w:val="21"/>
        </w:rPr>
      </w:pPr>
    </w:p>
    <w:p>
      <w:pPr>
        <w:pStyle w:val="BodyText"/>
        <w:spacing w:line="360" w:lineRule="auto" w:before="51"/>
        <w:ind w:left="1702" w:right="1127" w:firstLine="851"/>
        <w:jc w:val="both"/>
      </w:pPr>
      <w:r>
        <w:rPr/>
        <w:t>Ao</w:t>
      </w:r>
      <w:r>
        <w:rPr>
          <w:spacing w:val="-10"/>
        </w:rPr>
        <w:t> </w:t>
      </w:r>
      <w:r>
        <w:rPr/>
        <w:t>firmar</w:t>
      </w:r>
      <w:r>
        <w:rPr>
          <w:spacing w:val="-13"/>
        </w:rPr>
        <w:t> </w:t>
      </w:r>
      <w:r>
        <w:rPr/>
        <w:t>o</w:t>
      </w:r>
      <w:r>
        <w:rPr>
          <w:spacing w:val="-10"/>
        </w:rPr>
        <w:t> </w:t>
      </w:r>
      <w:r>
        <w:rPr/>
        <w:t>compromisso</w:t>
      </w:r>
      <w:r>
        <w:rPr>
          <w:spacing w:val="-13"/>
        </w:rPr>
        <w:t> </w:t>
      </w:r>
      <w:r>
        <w:rPr/>
        <w:t>de</w:t>
      </w:r>
      <w:r>
        <w:rPr>
          <w:spacing w:val="-13"/>
        </w:rPr>
        <w:t> </w:t>
      </w:r>
      <w:r>
        <w:rPr/>
        <w:t>incluir</w:t>
      </w:r>
      <w:r>
        <w:rPr>
          <w:spacing w:val="-10"/>
        </w:rPr>
        <w:t> </w:t>
      </w:r>
      <w:r>
        <w:rPr/>
        <w:t>os</w:t>
      </w:r>
      <w:r>
        <w:rPr>
          <w:spacing w:val="-13"/>
        </w:rPr>
        <w:t> </w:t>
      </w:r>
      <w:r>
        <w:rPr/>
        <w:t>ODS</w:t>
      </w:r>
      <w:r>
        <w:rPr>
          <w:spacing w:val="-13"/>
        </w:rPr>
        <w:t> </w:t>
      </w:r>
      <w:r>
        <w:rPr/>
        <w:t>à</w:t>
      </w:r>
      <w:r>
        <w:rPr>
          <w:spacing w:val="-10"/>
        </w:rPr>
        <w:t> </w:t>
      </w:r>
      <w:r>
        <w:rPr/>
        <w:t>sua</w:t>
      </w:r>
      <w:r>
        <w:rPr>
          <w:spacing w:val="-13"/>
        </w:rPr>
        <w:t> </w:t>
      </w:r>
      <w:r>
        <w:rPr/>
        <w:t>estratégia,</w:t>
      </w:r>
      <w:r>
        <w:rPr>
          <w:spacing w:val="-10"/>
        </w:rPr>
        <w:t> </w:t>
      </w:r>
      <w:r>
        <w:rPr/>
        <w:t>o</w:t>
      </w:r>
      <w:r>
        <w:rPr>
          <w:spacing w:val="-12"/>
        </w:rPr>
        <w:t> </w:t>
      </w:r>
      <w:r>
        <w:rPr/>
        <w:t>CAU</w:t>
      </w:r>
      <w:r>
        <w:rPr>
          <w:spacing w:val="-11"/>
        </w:rPr>
        <w:t> </w:t>
      </w:r>
      <w:r>
        <w:rPr/>
        <w:t>abre</w:t>
      </w:r>
      <w:r>
        <w:rPr>
          <w:spacing w:val="-11"/>
        </w:rPr>
        <w:t> </w:t>
      </w:r>
      <w:r>
        <w:rPr/>
        <w:t>caminho</w:t>
      </w:r>
      <w:r>
        <w:rPr>
          <w:spacing w:val="-12"/>
        </w:rPr>
        <w:t> </w:t>
      </w:r>
      <w:r>
        <w:rPr/>
        <w:t>para melhorar sua atuação e atender aos anseios da sociedade por projetos e serviços alinhados aos princípios da sustentabilidade. Neste contexto, o enquadramento dos projetos e atividades nos ODS em 2021 continua</w:t>
      </w:r>
      <w:r>
        <w:rPr>
          <w:spacing w:val="-5"/>
        </w:rPr>
        <w:t> </w:t>
      </w:r>
      <w:r>
        <w:rPr/>
        <w:t>facultativo.</w:t>
      </w:r>
    </w:p>
    <w:p>
      <w:pPr>
        <w:pStyle w:val="BodyText"/>
      </w:pPr>
    </w:p>
    <w:p>
      <w:pPr>
        <w:pStyle w:val="BodyText"/>
        <w:spacing w:before="2"/>
        <w:rPr>
          <w:sz w:val="25"/>
        </w:rPr>
      </w:pPr>
    </w:p>
    <w:p>
      <w:pPr>
        <w:pStyle w:val="Heading2"/>
        <w:numPr>
          <w:ilvl w:val="0"/>
          <w:numId w:val="2"/>
        </w:numPr>
        <w:tabs>
          <w:tab w:pos="1986" w:val="left" w:leader="none"/>
        </w:tabs>
        <w:spacing w:line="240" w:lineRule="auto" w:before="0" w:after="0"/>
        <w:ind w:left="1985" w:right="0" w:hanging="284"/>
        <w:jc w:val="left"/>
      </w:pPr>
      <w:bookmarkStart w:name="_bookmark9" w:id="16"/>
      <w:bookmarkEnd w:id="16"/>
      <w:r>
        <w:rPr>
          <w:b w:val="0"/>
        </w:rPr>
      </w:r>
      <w:bookmarkStart w:name="_bookmark9" w:id="17"/>
      <w:bookmarkEnd w:id="17"/>
      <w:r>
        <w:rPr>
          <w:color w:val="006666"/>
        </w:rPr>
        <w:t>L</w:t>
      </w:r>
      <w:r>
        <w:rPr>
          <w:color w:val="006666"/>
        </w:rPr>
        <w:t>IMITES DE APLICAÇÃO DE</w:t>
      </w:r>
      <w:r>
        <w:rPr>
          <w:color w:val="006666"/>
          <w:spacing w:val="-2"/>
        </w:rPr>
        <w:t> </w:t>
      </w:r>
      <w:r>
        <w:rPr>
          <w:color w:val="006666"/>
        </w:rPr>
        <w:t>RECURSOS</w:t>
      </w:r>
    </w:p>
    <w:p>
      <w:pPr>
        <w:pStyle w:val="BodyText"/>
        <w:spacing w:before="3"/>
        <w:rPr>
          <w:b/>
          <w:sz w:val="32"/>
        </w:rPr>
      </w:pPr>
    </w:p>
    <w:p>
      <w:pPr>
        <w:pStyle w:val="BodyText"/>
        <w:spacing w:line="362" w:lineRule="auto"/>
        <w:ind w:left="1702" w:right="1126" w:firstLine="851"/>
        <w:jc w:val="both"/>
      </w:pPr>
      <w:r>
        <w:rPr/>
        <w:t>Os limites e condições de alocação dos recursos orçamentários são estabelecidos com os seguintes focos:</w:t>
      </w:r>
    </w:p>
    <w:p>
      <w:pPr>
        <w:pStyle w:val="ListParagraph"/>
        <w:numPr>
          <w:ilvl w:val="1"/>
          <w:numId w:val="4"/>
        </w:numPr>
        <w:tabs>
          <w:tab w:pos="2974" w:val="left" w:leader="none"/>
        </w:tabs>
        <w:spacing w:line="240" w:lineRule="auto" w:before="155" w:after="0"/>
        <w:ind w:left="2973" w:right="0" w:hanging="420"/>
        <w:jc w:val="left"/>
        <w:rPr>
          <w:sz w:val="24"/>
        </w:rPr>
      </w:pPr>
      <w:r>
        <w:rPr>
          <w:sz w:val="24"/>
        </w:rPr>
        <w:t>Objetivos</w:t>
      </w:r>
      <w:r>
        <w:rPr>
          <w:spacing w:val="-1"/>
          <w:sz w:val="24"/>
        </w:rPr>
        <w:t> </w:t>
      </w:r>
      <w:r>
        <w:rPr>
          <w:sz w:val="24"/>
        </w:rPr>
        <w:t>Estratégicos;</w:t>
      </w:r>
    </w:p>
    <w:p>
      <w:pPr>
        <w:pStyle w:val="BodyText"/>
        <w:spacing w:before="2"/>
        <w:rPr>
          <w:sz w:val="25"/>
        </w:rPr>
      </w:pPr>
    </w:p>
    <w:p>
      <w:pPr>
        <w:pStyle w:val="ListParagraph"/>
        <w:numPr>
          <w:ilvl w:val="1"/>
          <w:numId w:val="4"/>
        </w:numPr>
        <w:tabs>
          <w:tab w:pos="2974" w:val="left" w:leader="none"/>
        </w:tabs>
        <w:spacing w:line="240" w:lineRule="auto" w:before="0" w:after="0"/>
        <w:ind w:left="2973" w:right="0" w:hanging="420"/>
        <w:jc w:val="left"/>
        <w:rPr>
          <w:sz w:val="24"/>
        </w:rPr>
      </w:pPr>
      <w:r>
        <w:rPr>
          <w:sz w:val="24"/>
        </w:rPr>
        <w:t>Destinação de Recursos ao Fundo de Apoio Financeiro aos</w:t>
      </w:r>
      <w:r>
        <w:rPr>
          <w:spacing w:val="-10"/>
          <w:sz w:val="24"/>
        </w:rPr>
        <w:t> </w:t>
      </w:r>
      <w:r>
        <w:rPr>
          <w:sz w:val="24"/>
        </w:rPr>
        <w:t>CAU/UF;</w:t>
      </w:r>
    </w:p>
    <w:p>
      <w:pPr>
        <w:pStyle w:val="BodyText"/>
        <w:spacing w:before="1"/>
        <w:rPr>
          <w:sz w:val="25"/>
        </w:rPr>
      </w:pPr>
    </w:p>
    <w:p>
      <w:pPr>
        <w:pStyle w:val="ListParagraph"/>
        <w:numPr>
          <w:ilvl w:val="1"/>
          <w:numId w:val="4"/>
        </w:numPr>
        <w:tabs>
          <w:tab w:pos="2974" w:val="left" w:leader="none"/>
        </w:tabs>
        <w:spacing w:line="240" w:lineRule="auto" w:before="1" w:after="0"/>
        <w:ind w:left="2973" w:right="0" w:hanging="420"/>
        <w:jc w:val="left"/>
        <w:rPr>
          <w:sz w:val="24"/>
        </w:rPr>
      </w:pPr>
      <w:r>
        <w:rPr>
          <w:sz w:val="24"/>
        </w:rPr>
        <w:t>Destinação de Recursos para Reserva de</w:t>
      </w:r>
      <w:r>
        <w:rPr>
          <w:spacing w:val="-7"/>
          <w:sz w:val="24"/>
        </w:rPr>
        <w:t> </w:t>
      </w:r>
      <w:r>
        <w:rPr>
          <w:sz w:val="24"/>
        </w:rPr>
        <w:t>Contingência;</w:t>
      </w:r>
    </w:p>
    <w:p>
      <w:pPr>
        <w:pStyle w:val="BodyText"/>
        <w:spacing w:before="2"/>
        <w:rPr>
          <w:sz w:val="25"/>
        </w:rPr>
      </w:pPr>
    </w:p>
    <w:p>
      <w:pPr>
        <w:pStyle w:val="ListParagraph"/>
        <w:numPr>
          <w:ilvl w:val="1"/>
          <w:numId w:val="4"/>
        </w:numPr>
        <w:tabs>
          <w:tab w:pos="2974" w:val="left" w:leader="none"/>
        </w:tabs>
        <w:spacing w:line="240" w:lineRule="auto" w:before="0" w:after="0"/>
        <w:ind w:left="2973" w:right="0" w:hanging="420"/>
        <w:jc w:val="left"/>
        <w:rPr>
          <w:sz w:val="24"/>
        </w:rPr>
      </w:pPr>
      <w:r>
        <w:rPr>
          <w:sz w:val="24"/>
        </w:rPr>
        <w:t>Grupos de</w:t>
      </w:r>
      <w:r>
        <w:rPr>
          <w:spacing w:val="-1"/>
          <w:sz w:val="24"/>
        </w:rPr>
        <w:t> </w:t>
      </w:r>
      <w:r>
        <w:rPr>
          <w:sz w:val="24"/>
        </w:rPr>
        <w:t>Despesas.</w:t>
      </w:r>
    </w:p>
    <w:p>
      <w:pPr>
        <w:pStyle w:val="BodyText"/>
      </w:pPr>
    </w:p>
    <w:p>
      <w:pPr>
        <w:pStyle w:val="BodyText"/>
      </w:pPr>
    </w:p>
    <w:p>
      <w:pPr>
        <w:pStyle w:val="Heading3"/>
        <w:numPr>
          <w:ilvl w:val="1"/>
          <w:numId w:val="2"/>
        </w:numPr>
        <w:tabs>
          <w:tab w:pos="2979" w:val="left" w:leader="none"/>
        </w:tabs>
        <w:spacing w:line="240" w:lineRule="auto" w:before="160" w:after="0"/>
        <w:ind w:left="2978" w:right="0" w:hanging="425"/>
        <w:jc w:val="left"/>
      </w:pPr>
      <w:bookmarkStart w:name="_bookmark10" w:id="18"/>
      <w:bookmarkEnd w:id="18"/>
      <w:r>
        <w:rPr>
          <w:b w:val="0"/>
        </w:rPr>
      </w:r>
      <w:bookmarkStart w:name="_bookmark10" w:id="19"/>
      <w:bookmarkEnd w:id="19"/>
      <w:r>
        <w:rPr>
          <w:color w:val="006666"/>
        </w:rPr>
        <w:t>Alo</w:t>
      </w:r>
      <w:r>
        <w:rPr>
          <w:color w:val="006666"/>
        </w:rPr>
        <w:t>cação de Recursos nos Objetivos</w:t>
      </w:r>
      <w:r>
        <w:rPr>
          <w:color w:val="006666"/>
          <w:spacing w:val="-3"/>
        </w:rPr>
        <w:t> </w:t>
      </w:r>
      <w:r>
        <w:rPr>
          <w:color w:val="006666"/>
        </w:rPr>
        <w:t>Estratégicos</w:t>
      </w:r>
    </w:p>
    <w:p>
      <w:pPr>
        <w:spacing w:after="0" w:line="240" w:lineRule="auto"/>
        <w:jc w:val="left"/>
        <w:sectPr>
          <w:pgSz w:w="11910" w:h="16840"/>
          <w:pgMar w:header="590" w:footer="612" w:top="1460" w:bottom="800" w:left="0" w:right="0"/>
        </w:sectPr>
      </w:pPr>
    </w:p>
    <w:p>
      <w:pPr>
        <w:pStyle w:val="BodyText"/>
        <w:spacing w:before="5"/>
        <w:rPr>
          <w:b/>
          <w:sz w:val="14"/>
        </w:rPr>
      </w:pPr>
    </w:p>
    <w:p>
      <w:pPr>
        <w:pStyle w:val="BodyText"/>
        <w:spacing w:line="360" w:lineRule="auto" w:before="51"/>
        <w:ind w:left="1702" w:right="1127" w:firstLine="851"/>
        <w:jc w:val="both"/>
      </w:pPr>
      <w:r>
        <w:rPr/>
        <w:t>Os direcionadores estratégicos, objeto de todo o processo do Planejamento do CAU 2023, e as programações que os CAU/UF e o CAU/BR já vêm desenvolvendo, na forma dos projetos e atividades aprovadas nos Planos de Ação e Orçamento, apontam que a programação do Plano de Ação 2021, enfatizando a alocação estratégica de recursos como forma de garantir a implementação do planejamento do CAU e o alcance dos resultados institucionais da Visão de Futuro 2023, </w:t>
      </w:r>
      <w:r>
        <w:rPr>
          <w:b/>
        </w:rPr>
        <w:t>são</w:t>
      </w:r>
      <w:r>
        <w:rPr/>
        <w:t>:</w:t>
      </w:r>
    </w:p>
    <w:p>
      <w:pPr>
        <w:pStyle w:val="ListParagraph"/>
        <w:numPr>
          <w:ilvl w:val="0"/>
          <w:numId w:val="5"/>
        </w:numPr>
        <w:tabs>
          <w:tab w:pos="2835" w:val="left" w:leader="none"/>
        </w:tabs>
        <w:spacing w:line="360" w:lineRule="auto" w:before="162" w:after="0"/>
        <w:ind w:left="2834" w:right="1129" w:hanging="281"/>
        <w:jc w:val="both"/>
        <w:rPr>
          <w:sz w:val="24"/>
        </w:rPr>
      </w:pPr>
      <w:r>
        <w:rPr>
          <w:b/>
          <w:sz w:val="24"/>
        </w:rPr>
        <w:t>mínimo de 15% </w:t>
      </w:r>
      <w:r>
        <w:rPr>
          <w:sz w:val="24"/>
        </w:rPr>
        <w:t>(quinze por cento) do </w:t>
      </w:r>
      <w:r>
        <w:rPr>
          <w:b/>
          <w:sz w:val="24"/>
        </w:rPr>
        <w:t>total das receitas de arrecadação </w:t>
      </w:r>
      <w:r>
        <w:rPr>
          <w:sz w:val="24"/>
        </w:rPr>
        <w:t>(anuidades do exercício e exercícios anteriores, RRT e taxas e multas) mais os recursos oriundos do Fundo de Apoio no caso dos CAU Básicos, deduzido o valor do aporte destinado ao Fundo de Apoio, deve ser alocado em projetos estratégicos para atender ao objetivo estratégico </w:t>
      </w:r>
      <w:r>
        <w:rPr>
          <w:b/>
          <w:sz w:val="24"/>
        </w:rPr>
        <w:t>"Tornar a fiscalização um vetor de melhoria do exercício da Arquitetura e</w:t>
      </w:r>
      <w:r>
        <w:rPr>
          <w:b/>
          <w:spacing w:val="-11"/>
          <w:sz w:val="24"/>
        </w:rPr>
        <w:t> </w:t>
      </w:r>
      <w:r>
        <w:rPr>
          <w:b/>
          <w:sz w:val="24"/>
        </w:rPr>
        <w:t>Urbanismo"</w:t>
      </w:r>
      <w:r>
        <w:rPr>
          <w:sz w:val="24"/>
        </w:rPr>
        <w:t>;</w:t>
      </w:r>
    </w:p>
    <w:p>
      <w:pPr>
        <w:pStyle w:val="ListParagraph"/>
        <w:numPr>
          <w:ilvl w:val="0"/>
          <w:numId w:val="5"/>
        </w:numPr>
        <w:tabs>
          <w:tab w:pos="2835" w:val="left" w:leader="none"/>
        </w:tabs>
        <w:spacing w:line="360" w:lineRule="auto" w:before="0" w:after="0"/>
        <w:ind w:left="2834" w:right="1128" w:hanging="281"/>
        <w:jc w:val="both"/>
        <w:rPr>
          <w:sz w:val="24"/>
        </w:rPr>
      </w:pPr>
      <w:r>
        <w:rPr>
          <w:b/>
          <w:sz w:val="24"/>
        </w:rPr>
        <w:t>mínimo de 10% </w:t>
      </w:r>
      <w:r>
        <w:rPr>
          <w:sz w:val="24"/>
        </w:rPr>
        <w:t>(dez por cento) do </w:t>
      </w:r>
      <w:r>
        <w:rPr>
          <w:b/>
          <w:sz w:val="24"/>
        </w:rPr>
        <w:t>total das receitas de arrecadação (</w:t>
      </w:r>
      <w:r>
        <w:rPr>
          <w:sz w:val="24"/>
        </w:rPr>
        <w:t>anuidades do exercício e exercícios anteriores, RRT e taxas e multas) mais os recursos oriundos</w:t>
      </w:r>
      <w:r>
        <w:rPr>
          <w:spacing w:val="-7"/>
          <w:sz w:val="24"/>
        </w:rPr>
        <w:t> </w:t>
      </w:r>
      <w:r>
        <w:rPr>
          <w:sz w:val="24"/>
        </w:rPr>
        <w:t>do</w:t>
      </w:r>
      <w:r>
        <w:rPr>
          <w:spacing w:val="-3"/>
          <w:sz w:val="24"/>
        </w:rPr>
        <w:t> </w:t>
      </w:r>
      <w:r>
        <w:rPr>
          <w:sz w:val="24"/>
        </w:rPr>
        <w:t>Fundo</w:t>
      </w:r>
      <w:r>
        <w:rPr>
          <w:spacing w:val="-3"/>
          <w:sz w:val="24"/>
        </w:rPr>
        <w:t> </w:t>
      </w:r>
      <w:r>
        <w:rPr>
          <w:sz w:val="24"/>
        </w:rPr>
        <w:t>de</w:t>
      </w:r>
      <w:r>
        <w:rPr>
          <w:spacing w:val="-6"/>
          <w:sz w:val="24"/>
        </w:rPr>
        <w:t> </w:t>
      </w:r>
      <w:r>
        <w:rPr>
          <w:sz w:val="24"/>
        </w:rPr>
        <w:t>Apoio</w:t>
      </w:r>
      <w:r>
        <w:rPr>
          <w:spacing w:val="-1"/>
          <w:sz w:val="24"/>
        </w:rPr>
        <w:t> </w:t>
      </w:r>
      <w:r>
        <w:rPr>
          <w:sz w:val="24"/>
        </w:rPr>
        <w:t>no</w:t>
      </w:r>
      <w:r>
        <w:rPr>
          <w:spacing w:val="-6"/>
          <w:sz w:val="24"/>
        </w:rPr>
        <w:t> </w:t>
      </w:r>
      <w:r>
        <w:rPr>
          <w:sz w:val="24"/>
        </w:rPr>
        <w:t>caso</w:t>
      </w:r>
      <w:r>
        <w:rPr>
          <w:spacing w:val="-3"/>
          <w:sz w:val="24"/>
        </w:rPr>
        <w:t> </w:t>
      </w:r>
      <w:r>
        <w:rPr>
          <w:sz w:val="24"/>
        </w:rPr>
        <w:t>dos</w:t>
      </w:r>
      <w:r>
        <w:rPr>
          <w:spacing w:val="-3"/>
          <w:sz w:val="24"/>
        </w:rPr>
        <w:t> </w:t>
      </w:r>
      <w:r>
        <w:rPr>
          <w:sz w:val="24"/>
        </w:rPr>
        <w:t>CAU</w:t>
      </w:r>
      <w:r>
        <w:rPr>
          <w:spacing w:val="-5"/>
          <w:sz w:val="24"/>
        </w:rPr>
        <w:t> </w:t>
      </w:r>
      <w:r>
        <w:rPr>
          <w:sz w:val="24"/>
        </w:rPr>
        <w:t>Básicos,</w:t>
      </w:r>
      <w:r>
        <w:rPr>
          <w:spacing w:val="-3"/>
          <w:sz w:val="24"/>
        </w:rPr>
        <w:t> </w:t>
      </w:r>
      <w:r>
        <w:rPr>
          <w:sz w:val="24"/>
        </w:rPr>
        <w:t>deduzido</w:t>
      </w:r>
      <w:r>
        <w:rPr>
          <w:spacing w:val="-3"/>
          <w:sz w:val="24"/>
        </w:rPr>
        <w:t> </w:t>
      </w:r>
      <w:r>
        <w:rPr>
          <w:sz w:val="24"/>
        </w:rPr>
        <w:t>o</w:t>
      </w:r>
      <w:r>
        <w:rPr>
          <w:spacing w:val="-3"/>
          <w:sz w:val="24"/>
        </w:rPr>
        <w:t> </w:t>
      </w:r>
      <w:r>
        <w:rPr>
          <w:sz w:val="24"/>
        </w:rPr>
        <w:t>valor</w:t>
      </w:r>
      <w:r>
        <w:rPr>
          <w:spacing w:val="-4"/>
          <w:sz w:val="24"/>
        </w:rPr>
        <w:t> </w:t>
      </w:r>
      <w:r>
        <w:rPr>
          <w:sz w:val="24"/>
        </w:rPr>
        <w:t>do</w:t>
      </w:r>
      <w:r>
        <w:rPr>
          <w:spacing w:val="-4"/>
          <w:sz w:val="24"/>
        </w:rPr>
        <w:t> </w:t>
      </w:r>
      <w:r>
        <w:rPr>
          <w:sz w:val="24"/>
        </w:rPr>
        <w:t>aporte destinado ao Fundo de Apoio, deve ser alocado em projetos estratégicos para atender ao objetivo estratégico </w:t>
      </w:r>
      <w:r>
        <w:rPr>
          <w:b/>
          <w:sz w:val="24"/>
        </w:rPr>
        <w:t>"Assegurar a eficácia no atendimento e no relacionamento com os arquitetos e urbanistas e a</w:t>
      </w:r>
      <w:r>
        <w:rPr>
          <w:b/>
          <w:spacing w:val="-14"/>
          <w:sz w:val="24"/>
        </w:rPr>
        <w:t> </w:t>
      </w:r>
      <w:r>
        <w:rPr>
          <w:b/>
          <w:sz w:val="24"/>
        </w:rPr>
        <w:t>sociedade"</w:t>
      </w:r>
      <w:r>
        <w:rPr>
          <w:sz w:val="24"/>
        </w:rPr>
        <w:t>.</w:t>
      </w:r>
    </w:p>
    <w:p>
      <w:pPr>
        <w:pStyle w:val="ListParagraph"/>
        <w:numPr>
          <w:ilvl w:val="0"/>
          <w:numId w:val="5"/>
        </w:numPr>
        <w:tabs>
          <w:tab w:pos="2835" w:val="left" w:leader="none"/>
        </w:tabs>
        <w:spacing w:line="360" w:lineRule="auto" w:before="0" w:after="0"/>
        <w:ind w:left="2834" w:right="1130" w:hanging="281"/>
        <w:jc w:val="both"/>
        <w:rPr>
          <w:sz w:val="24"/>
        </w:rPr>
      </w:pPr>
      <w:r>
        <w:rPr>
          <w:sz w:val="24"/>
        </w:rPr>
        <w:t>O</w:t>
      </w:r>
      <w:r>
        <w:rPr>
          <w:spacing w:val="-8"/>
          <w:sz w:val="24"/>
        </w:rPr>
        <w:t> </w:t>
      </w:r>
      <w:r>
        <w:rPr>
          <w:b/>
          <w:sz w:val="24"/>
        </w:rPr>
        <w:t>mínimo</w:t>
      </w:r>
      <w:r>
        <w:rPr>
          <w:b/>
          <w:spacing w:val="-6"/>
          <w:sz w:val="24"/>
        </w:rPr>
        <w:t> </w:t>
      </w:r>
      <w:r>
        <w:rPr>
          <w:b/>
          <w:sz w:val="24"/>
        </w:rPr>
        <w:t>de</w:t>
      </w:r>
      <w:r>
        <w:rPr>
          <w:b/>
          <w:spacing w:val="-8"/>
          <w:sz w:val="24"/>
        </w:rPr>
        <w:t> </w:t>
      </w:r>
      <w:r>
        <w:rPr>
          <w:b/>
          <w:sz w:val="24"/>
        </w:rPr>
        <w:t>3%</w:t>
      </w:r>
      <w:r>
        <w:rPr>
          <w:b/>
          <w:spacing w:val="-4"/>
          <w:sz w:val="24"/>
        </w:rPr>
        <w:t> </w:t>
      </w:r>
      <w:r>
        <w:rPr>
          <w:sz w:val="24"/>
        </w:rPr>
        <w:t>(três</w:t>
      </w:r>
      <w:r>
        <w:rPr>
          <w:spacing w:val="-7"/>
          <w:sz w:val="24"/>
        </w:rPr>
        <w:t> </w:t>
      </w:r>
      <w:r>
        <w:rPr>
          <w:sz w:val="24"/>
        </w:rPr>
        <w:t>por</w:t>
      </w:r>
      <w:r>
        <w:rPr>
          <w:spacing w:val="-7"/>
          <w:sz w:val="24"/>
        </w:rPr>
        <w:t> </w:t>
      </w:r>
      <w:r>
        <w:rPr>
          <w:sz w:val="24"/>
        </w:rPr>
        <w:t>cento)</w:t>
      </w:r>
      <w:r>
        <w:rPr>
          <w:spacing w:val="-9"/>
          <w:sz w:val="24"/>
        </w:rPr>
        <w:t> </w:t>
      </w:r>
      <w:r>
        <w:rPr>
          <w:sz w:val="24"/>
        </w:rPr>
        <w:t>do</w:t>
      </w:r>
      <w:r>
        <w:rPr>
          <w:spacing w:val="-5"/>
          <w:sz w:val="24"/>
        </w:rPr>
        <w:t> </w:t>
      </w:r>
      <w:r>
        <w:rPr>
          <w:b/>
          <w:sz w:val="24"/>
        </w:rPr>
        <w:t>total</w:t>
      </w:r>
      <w:r>
        <w:rPr>
          <w:b/>
          <w:spacing w:val="-6"/>
          <w:sz w:val="24"/>
        </w:rPr>
        <w:t> </w:t>
      </w:r>
      <w:r>
        <w:rPr>
          <w:b/>
          <w:sz w:val="24"/>
        </w:rPr>
        <w:t>das</w:t>
      </w:r>
      <w:r>
        <w:rPr>
          <w:b/>
          <w:spacing w:val="-8"/>
          <w:sz w:val="24"/>
        </w:rPr>
        <w:t> </w:t>
      </w:r>
      <w:r>
        <w:rPr>
          <w:b/>
          <w:sz w:val="24"/>
        </w:rPr>
        <w:t>receitas</w:t>
      </w:r>
      <w:r>
        <w:rPr>
          <w:b/>
          <w:spacing w:val="-6"/>
          <w:sz w:val="24"/>
        </w:rPr>
        <w:t> </w:t>
      </w:r>
      <w:r>
        <w:rPr>
          <w:b/>
          <w:sz w:val="24"/>
        </w:rPr>
        <w:t>de</w:t>
      </w:r>
      <w:r>
        <w:rPr>
          <w:b/>
          <w:spacing w:val="-7"/>
          <w:sz w:val="24"/>
        </w:rPr>
        <w:t> </w:t>
      </w:r>
      <w:r>
        <w:rPr>
          <w:b/>
          <w:sz w:val="24"/>
        </w:rPr>
        <w:t>arrecadação</w:t>
      </w:r>
      <w:r>
        <w:rPr>
          <w:b/>
          <w:spacing w:val="-4"/>
          <w:sz w:val="24"/>
        </w:rPr>
        <w:t> </w:t>
      </w:r>
      <w:r>
        <w:rPr>
          <w:sz w:val="24"/>
        </w:rPr>
        <w:t>(anuidades do exercício e exercícios anteriores, RRT e taxas e multas) mais os recursos oriundos</w:t>
      </w:r>
      <w:r>
        <w:rPr>
          <w:spacing w:val="-7"/>
          <w:sz w:val="24"/>
        </w:rPr>
        <w:t> </w:t>
      </w:r>
      <w:r>
        <w:rPr>
          <w:sz w:val="24"/>
        </w:rPr>
        <w:t>do</w:t>
      </w:r>
      <w:r>
        <w:rPr>
          <w:spacing w:val="-3"/>
          <w:sz w:val="24"/>
        </w:rPr>
        <w:t> </w:t>
      </w:r>
      <w:r>
        <w:rPr>
          <w:sz w:val="24"/>
        </w:rPr>
        <w:t>Fundo</w:t>
      </w:r>
      <w:r>
        <w:rPr>
          <w:spacing w:val="-3"/>
          <w:sz w:val="24"/>
        </w:rPr>
        <w:t> </w:t>
      </w:r>
      <w:r>
        <w:rPr>
          <w:sz w:val="24"/>
        </w:rPr>
        <w:t>de</w:t>
      </w:r>
      <w:r>
        <w:rPr>
          <w:spacing w:val="-6"/>
          <w:sz w:val="24"/>
        </w:rPr>
        <w:t> </w:t>
      </w:r>
      <w:r>
        <w:rPr>
          <w:sz w:val="24"/>
        </w:rPr>
        <w:t>Apoio</w:t>
      </w:r>
      <w:r>
        <w:rPr>
          <w:spacing w:val="-1"/>
          <w:sz w:val="24"/>
        </w:rPr>
        <w:t> </w:t>
      </w:r>
      <w:r>
        <w:rPr>
          <w:sz w:val="24"/>
        </w:rPr>
        <w:t>no</w:t>
      </w:r>
      <w:r>
        <w:rPr>
          <w:spacing w:val="-6"/>
          <w:sz w:val="24"/>
        </w:rPr>
        <w:t> </w:t>
      </w:r>
      <w:r>
        <w:rPr>
          <w:sz w:val="24"/>
        </w:rPr>
        <w:t>caso</w:t>
      </w:r>
      <w:r>
        <w:rPr>
          <w:spacing w:val="-3"/>
          <w:sz w:val="24"/>
        </w:rPr>
        <w:t> </w:t>
      </w:r>
      <w:r>
        <w:rPr>
          <w:sz w:val="24"/>
        </w:rPr>
        <w:t>dos</w:t>
      </w:r>
      <w:r>
        <w:rPr>
          <w:spacing w:val="-3"/>
          <w:sz w:val="24"/>
        </w:rPr>
        <w:t> </w:t>
      </w:r>
      <w:r>
        <w:rPr>
          <w:sz w:val="24"/>
        </w:rPr>
        <w:t>CAU</w:t>
      </w:r>
      <w:r>
        <w:rPr>
          <w:spacing w:val="-5"/>
          <w:sz w:val="24"/>
        </w:rPr>
        <w:t> </w:t>
      </w:r>
      <w:r>
        <w:rPr>
          <w:sz w:val="24"/>
        </w:rPr>
        <w:t>Básicos,</w:t>
      </w:r>
      <w:r>
        <w:rPr>
          <w:spacing w:val="-4"/>
          <w:sz w:val="24"/>
        </w:rPr>
        <w:t> </w:t>
      </w:r>
      <w:r>
        <w:rPr>
          <w:sz w:val="24"/>
        </w:rPr>
        <w:t>deduzido</w:t>
      </w:r>
      <w:r>
        <w:rPr>
          <w:spacing w:val="-3"/>
          <w:sz w:val="24"/>
        </w:rPr>
        <w:t> </w:t>
      </w:r>
      <w:r>
        <w:rPr>
          <w:sz w:val="24"/>
        </w:rPr>
        <w:t>o</w:t>
      </w:r>
      <w:r>
        <w:rPr>
          <w:spacing w:val="-3"/>
          <w:sz w:val="24"/>
        </w:rPr>
        <w:t> </w:t>
      </w:r>
      <w:r>
        <w:rPr>
          <w:sz w:val="24"/>
        </w:rPr>
        <w:t>valor</w:t>
      </w:r>
      <w:r>
        <w:rPr>
          <w:spacing w:val="-4"/>
          <w:sz w:val="24"/>
        </w:rPr>
        <w:t> </w:t>
      </w:r>
      <w:r>
        <w:rPr>
          <w:sz w:val="24"/>
        </w:rPr>
        <w:t>do</w:t>
      </w:r>
      <w:r>
        <w:rPr>
          <w:spacing w:val="-6"/>
          <w:sz w:val="24"/>
        </w:rPr>
        <w:t> </w:t>
      </w:r>
      <w:r>
        <w:rPr>
          <w:sz w:val="24"/>
        </w:rPr>
        <w:t>aporte destinado ao Fundo de Apoio, deve ser alocado em projetos estratégicos para atender o objetivo estratégico </w:t>
      </w:r>
      <w:r>
        <w:rPr>
          <w:b/>
          <w:sz w:val="24"/>
        </w:rPr>
        <w:t>"Assegurar a eficácia no relacionamento e comunicação com a</w:t>
      </w:r>
      <w:r>
        <w:rPr>
          <w:b/>
          <w:spacing w:val="-1"/>
          <w:sz w:val="24"/>
        </w:rPr>
        <w:t> </w:t>
      </w:r>
      <w:r>
        <w:rPr>
          <w:b/>
          <w:sz w:val="24"/>
        </w:rPr>
        <w:t>sociedade"</w:t>
      </w:r>
      <w:r>
        <w:rPr>
          <w:sz w:val="24"/>
        </w:rPr>
        <w:t>;</w:t>
      </w:r>
    </w:p>
    <w:p>
      <w:pPr>
        <w:pStyle w:val="ListParagraph"/>
        <w:numPr>
          <w:ilvl w:val="0"/>
          <w:numId w:val="5"/>
        </w:numPr>
        <w:tabs>
          <w:tab w:pos="2835" w:val="left" w:leader="none"/>
        </w:tabs>
        <w:spacing w:line="360" w:lineRule="auto" w:before="0" w:after="0"/>
        <w:ind w:left="2834" w:right="1131" w:hanging="281"/>
        <w:jc w:val="both"/>
        <w:rPr>
          <w:sz w:val="24"/>
        </w:rPr>
      </w:pPr>
      <w:r>
        <w:rPr>
          <w:sz w:val="24"/>
        </w:rPr>
        <w:t>O </w:t>
      </w:r>
      <w:r>
        <w:rPr>
          <w:b/>
          <w:sz w:val="24"/>
        </w:rPr>
        <w:t>máximo de 5% </w:t>
      </w:r>
      <w:r>
        <w:rPr>
          <w:sz w:val="24"/>
        </w:rPr>
        <w:t>(cinco por cento) do </w:t>
      </w:r>
      <w:r>
        <w:rPr>
          <w:b/>
          <w:sz w:val="24"/>
        </w:rPr>
        <w:t>total das receitas de arrecadação </w:t>
      </w:r>
      <w:r>
        <w:rPr>
          <w:sz w:val="24"/>
        </w:rPr>
        <w:t>(anuidades do exercício e exercícios anteriores, RRT e taxas e multas) mais os recursos oriundos do Fundo de Apoio no caso dos CAU Básicos, deduzido o valor do aporte destinado ao Fundo de Apoio, deve ser </w:t>
      </w:r>
      <w:r>
        <w:rPr>
          <w:b/>
          <w:sz w:val="24"/>
        </w:rPr>
        <w:t>alocado em patrocínios </w:t>
      </w:r>
      <w:r>
        <w:rPr>
          <w:sz w:val="24"/>
        </w:rPr>
        <w:t>para atender ao objetivo estratégico </w:t>
      </w:r>
      <w:r>
        <w:rPr>
          <w:b/>
          <w:sz w:val="24"/>
        </w:rPr>
        <w:t>"Estimular o conhecimento, o uso de processos criativos e a difusão das melhores práticas em Arquitetura e</w:t>
      </w:r>
      <w:r>
        <w:rPr>
          <w:b/>
          <w:spacing w:val="-16"/>
          <w:sz w:val="24"/>
        </w:rPr>
        <w:t> </w:t>
      </w:r>
      <w:r>
        <w:rPr>
          <w:b/>
          <w:sz w:val="24"/>
        </w:rPr>
        <w:t>Urbanismo"</w:t>
      </w:r>
      <w:r>
        <w:rPr>
          <w:sz w:val="24"/>
        </w:rPr>
        <w:t>;</w:t>
      </w:r>
    </w:p>
    <w:p>
      <w:pPr>
        <w:spacing w:after="0" w:line="360" w:lineRule="auto"/>
        <w:jc w:val="both"/>
        <w:rPr>
          <w:sz w:val="24"/>
        </w:rPr>
        <w:sectPr>
          <w:pgSz w:w="11910" w:h="16840"/>
          <w:pgMar w:header="590" w:footer="612" w:top="1460" w:bottom="800" w:left="0" w:right="0"/>
        </w:sectPr>
      </w:pPr>
    </w:p>
    <w:p>
      <w:pPr>
        <w:pStyle w:val="BodyText"/>
        <w:spacing w:before="7"/>
        <w:rPr>
          <w:sz w:val="10"/>
        </w:rPr>
      </w:pPr>
    </w:p>
    <w:p>
      <w:pPr>
        <w:pStyle w:val="ListParagraph"/>
        <w:numPr>
          <w:ilvl w:val="0"/>
          <w:numId w:val="5"/>
        </w:numPr>
        <w:tabs>
          <w:tab w:pos="2835" w:val="left" w:leader="none"/>
        </w:tabs>
        <w:spacing w:line="360" w:lineRule="auto" w:before="100" w:after="0"/>
        <w:ind w:left="2834" w:right="1129" w:hanging="281"/>
        <w:jc w:val="both"/>
        <w:rPr>
          <w:b/>
          <w:sz w:val="24"/>
        </w:rPr>
      </w:pPr>
      <w:r>
        <w:rPr>
          <w:sz w:val="24"/>
        </w:rPr>
        <w:t>O</w:t>
      </w:r>
      <w:r>
        <w:rPr>
          <w:spacing w:val="-5"/>
          <w:sz w:val="24"/>
        </w:rPr>
        <w:t> </w:t>
      </w:r>
      <w:r>
        <w:rPr>
          <w:b/>
          <w:sz w:val="24"/>
        </w:rPr>
        <w:t>mínimo</w:t>
      </w:r>
      <w:r>
        <w:rPr>
          <w:b/>
          <w:spacing w:val="-5"/>
          <w:sz w:val="24"/>
        </w:rPr>
        <w:t> </w:t>
      </w:r>
      <w:r>
        <w:rPr>
          <w:b/>
          <w:sz w:val="24"/>
        </w:rPr>
        <w:t>de</w:t>
      </w:r>
      <w:r>
        <w:rPr>
          <w:b/>
          <w:spacing w:val="-8"/>
          <w:sz w:val="24"/>
        </w:rPr>
        <w:t> </w:t>
      </w:r>
      <w:r>
        <w:rPr>
          <w:b/>
          <w:sz w:val="24"/>
        </w:rPr>
        <w:t>6%</w:t>
      </w:r>
      <w:r>
        <w:rPr>
          <w:b/>
          <w:spacing w:val="-4"/>
          <w:sz w:val="24"/>
        </w:rPr>
        <w:t> </w:t>
      </w:r>
      <w:r>
        <w:rPr>
          <w:sz w:val="24"/>
        </w:rPr>
        <w:t>(seis</w:t>
      </w:r>
      <w:r>
        <w:rPr>
          <w:spacing w:val="-7"/>
          <w:sz w:val="24"/>
        </w:rPr>
        <w:t> </w:t>
      </w:r>
      <w:r>
        <w:rPr>
          <w:sz w:val="24"/>
        </w:rPr>
        <w:t>por</w:t>
      </w:r>
      <w:r>
        <w:rPr>
          <w:spacing w:val="-5"/>
          <w:sz w:val="24"/>
        </w:rPr>
        <w:t> </w:t>
      </w:r>
      <w:r>
        <w:rPr>
          <w:sz w:val="24"/>
        </w:rPr>
        <w:t>cento)</w:t>
      </w:r>
      <w:r>
        <w:rPr>
          <w:spacing w:val="-7"/>
          <w:sz w:val="24"/>
        </w:rPr>
        <w:t> </w:t>
      </w:r>
      <w:r>
        <w:rPr>
          <w:sz w:val="24"/>
        </w:rPr>
        <w:t>do</w:t>
      </w:r>
      <w:r>
        <w:rPr>
          <w:spacing w:val="-6"/>
          <w:sz w:val="24"/>
        </w:rPr>
        <w:t> </w:t>
      </w:r>
      <w:r>
        <w:rPr>
          <w:b/>
          <w:sz w:val="24"/>
        </w:rPr>
        <w:t>total</w:t>
      </w:r>
      <w:r>
        <w:rPr>
          <w:b/>
          <w:spacing w:val="-6"/>
          <w:sz w:val="24"/>
        </w:rPr>
        <w:t> </w:t>
      </w:r>
      <w:r>
        <w:rPr>
          <w:b/>
          <w:sz w:val="24"/>
        </w:rPr>
        <w:t>das</w:t>
      </w:r>
      <w:r>
        <w:rPr>
          <w:b/>
          <w:spacing w:val="-5"/>
          <w:sz w:val="24"/>
        </w:rPr>
        <w:t> </w:t>
      </w:r>
      <w:r>
        <w:rPr>
          <w:b/>
          <w:sz w:val="24"/>
        </w:rPr>
        <w:t>receitas</w:t>
      </w:r>
      <w:r>
        <w:rPr>
          <w:b/>
          <w:spacing w:val="-5"/>
          <w:sz w:val="24"/>
        </w:rPr>
        <w:t> </w:t>
      </w:r>
      <w:r>
        <w:rPr>
          <w:b/>
          <w:sz w:val="24"/>
        </w:rPr>
        <w:t>de</w:t>
      </w:r>
      <w:r>
        <w:rPr>
          <w:b/>
          <w:spacing w:val="-4"/>
          <w:sz w:val="24"/>
        </w:rPr>
        <w:t> </w:t>
      </w:r>
      <w:r>
        <w:rPr>
          <w:b/>
          <w:sz w:val="24"/>
        </w:rPr>
        <w:t>arrecadação</w:t>
      </w:r>
      <w:r>
        <w:rPr>
          <w:b/>
          <w:spacing w:val="-3"/>
          <w:sz w:val="24"/>
        </w:rPr>
        <w:t> </w:t>
      </w:r>
      <w:r>
        <w:rPr>
          <w:sz w:val="24"/>
        </w:rPr>
        <w:t>(anuidades do exercício e exercícios anteriores, RRT e taxas e multas) mais os recursos oriundos</w:t>
      </w:r>
      <w:r>
        <w:rPr>
          <w:spacing w:val="-7"/>
          <w:sz w:val="24"/>
        </w:rPr>
        <w:t> </w:t>
      </w:r>
      <w:r>
        <w:rPr>
          <w:sz w:val="24"/>
        </w:rPr>
        <w:t>do</w:t>
      </w:r>
      <w:r>
        <w:rPr>
          <w:spacing w:val="-3"/>
          <w:sz w:val="24"/>
        </w:rPr>
        <w:t> </w:t>
      </w:r>
      <w:r>
        <w:rPr>
          <w:sz w:val="24"/>
        </w:rPr>
        <w:t>Fundo</w:t>
      </w:r>
      <w:r>
        <w:rPr>
          <w:spacing w:val="-3"/>
          <w:sz w:val="24"/>
        </w:rPr>
        <w:t> </w:t>
      </w:r>
      <w:r>
        <w:rPr>
          <w:sz w:val="24"/>
        </w:rPr>
        <w:t>de</w:t>
      </w:r>
      <w:r>
        <w:rPr>
          <w:spacing w:val="-6"/>
          <w:sz w:val="24"/>
        </w:rPr>
        <w:t> </w:t>
      </w:r>
      <w:r>
        <w:rPr>
          <w:sz w:val="24"/>
        </w:rPr>
        <w:t>Apoio</w:t>
      </w:r>
      <w:r>
        <w:rPr>
          <w:spacing w:val="-1"/>
          <w:sz w:val="24"/>
        </w:rPr>
        <w:t> </w:t>
      </w:r>
      <w:r>
        <w:rPr>
          <w:sz w:val="24"/>
        </w:rPr>
        <w:t>no</w:t>
      </w:r>
      <w:r>
        <w:rPr>
          <w:spacing w:val="-6"/>
          <w:sz w:val="24"/>
        </w:rPr>
        <w:t> </w:t>
      </w:r>
      <w:r>
        <w:rPr>
          <w:sz w:val="24"/>
        </w:rPr>
        <w:t>caso</w:t>
      </w:r>
      <w:r>
        <w:rPr>
          <w:spacing w:val="-3"/>
          <w:sz w:val="24"/>
        </w:rPr>
        <w:t> </w:t>
      </w:r>
      <w:r>
        <w:rPr>
          <w:sz w:val="24"/>
        </w:rPr>
        <w:t>dos</w:t>
      </w:r>
      <w:r>
        <w:rPr>
          <w:spacing w:val="-3"/>
          <w:sz w:val="24"/>
        </w:rPr>
        <w:t> </w:t>
      </w:r>
      <w:r>
        <w:rPr>
          <w:sz w:val="24"/>
        </w:rPr>
        <w:t>CAU</w:t>
      </w:r>
      <w:r>
        <w:rPr>
          <w:spacing w:val="-5"/>
          <w:sz w:val="24"/>
        </w:rPr>
        <w:t> </w:t>
      </w:r>
      <w:r>
        <w:rPr>
          <w:sz w:val="24"/>
        </w:rPr>
        <w:t>Básicos,</w:t>
      </w:r>
      <w:r>
        <w:rPr>
          <w:spacing w:val="-3"/>
          <w:sz w:val="24"/>
        </w:rPr>
        <w:t> </w:t>
      </w:r>
      <w:r>
        <w:rPr>
          <w:sz w:val="24"/>
        </w:rPr>
        <w:t>deduzido</w:t>
      </w:r>
      <w:r>
        <w:rPr>
          <w:spacing w:val="-3"/>
          <w:sz w:val="24"/>
        </w:rPr>
        <w:t> </w:t>
      </w:r>
      <w:r>
        <w:rPr>
          <w:sz w:val="24"/>
        </w:rPr>
        <w:t>o</w:t>
      </w:r>
      <w:r>
        <w:rPr>
          <w:spacing w:val="-3"/>
          <w:sz w:val="24"/>
        </w:rPr>
        <w:t> </w:t>
      </w:r>
      <w:r>
        <w:rPr>
          <w:sz w:val="24"/>
        </w:rPr>
        <w:t>valor</w:t>
      </w:r>
      <w:r>
        <w:rPr>
          <w:spacing w:val="-4"/>
          <w:sz w:val="24"/>
        </w:rPr>
        <w:t> </w:t>
      </w:r>
      <w:r>
        <w:rPr>
          <w:sz w:val="24"/>
        </w:rPr>
        <w:t>do</w:t>
      </w:r>
      <w:r>
        <w:rPr>
          <w:spacing w:val="-4"/>
          <w:sz w:val="24"/>
        </w:rPr>
        <w:t> </w:t>
      </w:r>
      <w:r>
        <w:rPr>
          <w:sz w:val="24"/>
        </w:rPr>
        <w:t>aporte destinado ao Fundo de Apoio, deve ser alocado em projetos estratégicos para atender </w:t>
      </w:r>
      <w:r>
        <w:rPr>
          <w:b/>
          <w:sz w:val="24"/>
        </w:rPr>
        <w:t>dois ou três objetivos estratégicos locais selecionados pelo CAU/BR e pelos</w:t>
      </w:r>
      <w:r>
        <w:rPr>
          <w:b/>
          <w:spacing w:val="1"/>
          <w:sz w:val="24"/>
        </w:rPr>
        <w:t> </w:t>
      </w:r>
      <w:r>
        <w:rPr>
          <w:b/>
          <w:sz w:val="24"/>
        </w:rPr>
        <w:t>CAU/UF;</w:t>
      </w:r>
    </w:p>
    <w:p>
      <w:pPr>
        <w:pStyle w:val="ListParagraph"/>
        <w:numPr>
          <w:ilvl w:val="0"/>
          <w:numId w:val="5"/>
        </w:numPr>
        <w:tabs>
          <w:tab w:pos="2835" w:val="left" w:leader="none"/>
        </w:tabs>
        <w:spacing w:line="360" w:lineRule="auto" w:before="0" w:after="0"/>
        <w:ind w:left="2834" w:right="1126" w:hanging="281"/>
        <w:jc w:val="both"/>
        <w:rPr>
          <w:sz w:val="24"/>
        </w:rPr>
      </w:pPr>
      <w:r>
        <w:rPr>
          <w:sz w:val="24"/>
        </w:rPr>
        <w:t>O</w:t>
      </w:r>
      <w:r>
        <w:rPr>
          <w:spacing w:val="-9"/>
          <w:sz w:val="24"/>
        </w:rPr>
        <w:t> </w:t>
      </w:r>
      <w:r>
        <w:rPr>
          <w:b/>
          <w:sz w:val="24"/>
        </w:rPr>
        <w:t>mínimo</w:t>
      </w:r>
      <w:r>
        <w:rPr>
          <w:b/>
          <w:spacing w:val="-8"/>
          <w:sz w:val="24"/>
        </w:rPr>
        <w:t> </w:t>
      </w:r>
      <w:r>
        <w:rPr>
          <w:b/>
          <w:sz w:val="24"/>
        </w:rPr>
        <w:t>de</w:t>
      </w:r>
      <w:r>
        <w:rPr>
          <w:b/>
          <w:spacing w:val="-10"/>
          <w:sz w:val="24"/>
        </w:rPr>
        <w:t> </w:t>
      </w:r>
      <w:r>
        <w:rPr>
          <w:b/>
          <w:sz w:val="24"/>
        </w:rPr>
        <w:t>2%</w:t>
      </w:r>
      <w:r>
        <w:rPr>
          <w:b/>
          <w:spacing w:val="-5"/>
          <w:sz w:val="24"/>
        </w:rPr>
        <w:t> </w:t>
      </w:r>
      <w:r>
        <w:rPr>
          <w:sz w:val="24"/>
        </w:rPr>
        <w:t>(dois</w:t>
      </w:r>
      <w:r>
        <w:rPr>
          <w:spacing w:val="-9"/>
          <w:sz w:val="24"/>
        </w:rPr>
        <w:t> </w:t>
      </w:r>
      <w:r>
        <w:rPr>
          <w:sz w:val="24"/>
        </w:rPr>
        <w:t>por</w:t>
      </w:r>
      <w:r>
        <w:rPr>
          <w:spacing w:val="-8"/>
          <w:sz w:val="24"/>
        </w:rPr>
        <w:t> </w:t>
      </w:r>
      <w:r>
        <w:rPr>
          <w:sz w:val="24"/>
        </w:rPr>
        <w:t>cento)</w:t>
      </w:r>
      <w:r>
        <w:rPr>
          <w:spacing w:val="-8"/>
          <w:sz w:val="24"/>
        </w:rPr>
        <w:t> </w:t>
      </w:r>
      <w:r>
        <w:rPr>
          <w:sz w:val="24"/>
        </w:rPr>
        <w:t>do</w:t>
      </w:r>
      <w:r>
        <w:rPr>
          <w:spacing w:val="-7"/>
          <w:sz w:val="24"/>
        </w:rPr>
        <w:t> </w:t>
      </w:r>
      <w:r>
        <w:rPr>
          <w:b/>
          <w:sz w:val="24"/>
        </w:rPr>
        <w:t>total</w:t>
      </w:r>
      <w:r>
        <w:rPr>
          <w:b/>
          <w:spacing w:val="-10"/>
          <w:sz w:val="24"/>
        </w:rPr>
        <w:t> </w:t>
      </w:r>
      <w:r>
        <w:rPr>
          <w:b/>
          <w:sz w:val="24"/>
        </w:rPr>
        <w:t>das</w:t>
      </w:r>
      <w:r>
        <w:rPr>
          <w:b/>
          <w:spacing w:val="-8"/>
          <w:sz w:val="24"/>
        </w:rPr>
        <w:t> </w:t>
      </w:r>
      <w:r>
        <w:rPr>
          <w:b/>
          <w:sz w:val="24"/>
        </w:rPr>
        <w:t>receitas</w:t>
      </w:r>
      <w:r>
        <w:rPr>
          <w:b/>
          <w:spacing w:val="-8"/>
          <w:sz w:val="24"/>
        </w:rPr>
        <w:t> </w:t>
      </w:r>
      <w:r>
        <w:rPr>
          <w:b/>
          <w:sz w:val="24"/>
        </w:rPr>
        <w:t>de</w:t>
      </w:r>
      <w:r>
        <w:rPr>
          <w:b/>
          <w:spacing w:val="-9"/>
          <w:sz w:val="24"/>
        </w:rPr>
        <w:t> </w:t>
      </w:r>
      <w:r>
        <w:rPr>
          <w:b/>
          <w:sz w:val="24"/>
        </w:rPr>
        <w:t>arrecadação</w:t>
      </w:r>
      <w:r>
        <w:rPr>
          <w:b/>
          <w:spacing w:val="-5"/>
          <w:sz w:val="24"/>
        </w:rPr>
        <w:t> </w:t>
      </w:r>
      <w:r>
        <w:rPr>
          <w:sz w:val="24"/>
        </w:rPr>
        <w:t>(anuidades do exercício e exercícios anteriores, RRT e taxas e multas) mais os recursos oriundos</w:t>
      </w:r>
      <w:r>
        <w:rPr>
          <w:spacing w:val="-7"/>
          <w:sz w:val="24"/>
        </w:rPr>
        <w:t> </w:t>
      </w:r>
      <w:r>
        <w:rPr>
          <w:sz w:val="24"/>
        </w:rPr>
        <w:t>do</w:t>
      </w:r>
      <w:r>
        <w:rPr>
          <w:spacing w:val="-3"/>
          <w:sz w:val="24"/>
        </w:rPr>
        <w:t> </w:t>
      </w:r>
      <w:r>
        <w:rPr>
          <w:sz w:val="24"/>
        </w:rPr>
        <w:t>Fundo</w:t>
      </w:r>
      <w:r>
        <w:rPr>
          <w:spacing w:val="-3"/>
          <w:sz w:val="24"/>
        </w:rPr>
        <w:t> </w:t>
      </w:r>
      <w:r>
        <w:rPr>
          <w:sz w:val="24"/>
        </w:rPr>
        <w:t>de</w:t>
      </w:r>
      <w:r>
        <w:rPr>
          <w:spacing w:val="-6"/>
          <w:sz w:val="24"/>
        </w:rPr>
        <w:t> </w:t>
      </w:r>
      <w:r>
        <w:rPr>
          <w:sz w:val="24"/>
        </w:rPr>
        <w:t>Apoio</w:t>
      </w:r>
      <w:r>
        <w:rPr>
          <w:spacing w:val="-1"/>
          <w:sz w:val="24"/>
        </w:rPr>
        <w:t> </w:t>
      </w:r>
      <w:r>
        <w:rPr>
          <w:sz w:val="24"/>
        </w:rPr>
        <w:t>no</w:t>
      </w:r>
      <w:r>
        <w:rPr>
          <w:spacing w:val="-6"/>
          <w:sz w:val="24"/>
        </w:rPr>
        <w:t> </w:t>
      </w:r>
      <w:r>
        <w:rPr>
          <w:sz w:val="24"/>
        </w:rPr>
        <w:t>caso</w:t>
      </w:r>
      <w:r>
        <w:rPr>
          <w:spacing w:val="-3"/>
          <w:sz w:val="24"/>
        </w:rPr>
        <w:t> </w:t>
      </w:r>
      <w:r>
        <w:rPr>
          <w:sz w:val="24"/>
        </w:rPr>
        <w:t>dos</w:t>
      </w:r>
      <w:r>
        <w:rPr>
          <w:spacing w:val="-3"/>
          <w:sz w:val="24"/>
        </w:rPr>
        <w:t> </w:t>
      </w:r>
      <w:r>
        <w:rPr>
          <w:sz w:val="24"/>
        </w:rPr>
        <w:t>CAU</w:t>
      </w:r>
      <w:r>
        <w:rPr>
          <w:spacing w:val="-4"/>
          <w:sz w:val="24"/>
        </w:rPr>
        <w:t> </w:t>
      </w:r>
      <w:r>
        <w:rPr>
          <w:sz w:val="24"/>
        </w:rPr>
        <w:t>Básicos,</w:t>
      </w:r>
      <w:r>
        <w:rPr>
          <w:spacing w:val="-5"/>
          <w:sz w:val="24"/>
        </w:rPr>
        <w:t> </w:t>
      </w:r>
      <w:r>
        <w:rPr>
          <w:sz w:val="24"/>
        </w:rPr>
        <w:t>deduzido</w:t>
      </w:r>
      <w:r>
        <w:rPr>
          <w:spacing w:val="-3"/>
          <w:sz w:val="24"/>
        </w:rPr>
        <w:t> </w:t>
      </w:r>
      <w:r>
        <w:rPr>
          <w:sz w:val="24"/>
        </w:rPr>
        <w:t>o</w:t>
      </w:r>
      <w:r>
        <w:rPr>
          <w:spacing w:val="-3"/>
          <w:sz w:val="24"/>
        </w:rPr>
        <w:t> </w:t>
      </w:r>
      <w:r>
        <w:rPr>
          <w:sz w:val="24"/>
        </w:rPr>
        <w:t>valor</w:t>
      </w:r>
      <w:r>
        <w:rPr>
          <w:spacing w:val="-3"/>
          <w:sz w:val="24"/>
        </w:rPr>
        <w:t> </w:t>
      </w:r>
      <w:r>
        <w:rPr>
          <w:sz w:val="24"/>
        </w:rPr>
        <w:t>do</w:t>
      </w:r>
      <w:r>
        <w:rPr>
          <w:spacing w:val="-7"/>
          <w:sz w:val="24"/>
        </w:rPr>
        <w:t> </w:t>
      </w:r>
      <w:r>
        <w:rPr>
          <w:sz w:val="24"/>
        </w:rPr>
        <w:t>aporte destinado ao Fundo de Apoio, deve ser alocado em </w:t>
      </w:r>
      <w:r>
        <w:rPr>
          <w:b/>
          <w:sz w:val="24"/>
        </w:rPr>
        <w:t>projeto(s) estratégico(s) </w:t>
      </w:r>
      <w:r>
        <w:rPr>
          <w:sz w:val="24"/>
        </w:rPr>
        <w:t>de </w:t>
      </w:r>
      <w:r>
        <w:rPr>
          <w:b/>
          <w:sz w:val="24"/>
        </w:rPr>
        <w:t>Assistência Técnica em Habitações de Interesse Social – ATHIS</w:t>
      </w:r>
      <w:r>
        <w:rPr>
          <w:sz w:val="24"/>
        </w:rPr>
        <w:t>, para atender ao objetivo Estratégico </w:t>
      </w:r>
      <w:r>
        <w:rPr>
          <w:b/>
          <w:sz w:val="24"/>
        </w:rPr>
        <w:t>“Fomentar o acesso da sociedade à arquitetura e urbanismo”</w:t>
      </w:r>
      <w:r>
        <w:rPr>
          <w:sz w:val="24"/>
        </w:rPr>
        <w:t>. Os projetos, nessa modalidade, devem observar os seguintes parâmetros</w:t>
      </w:r>
      <w:r>
        <w:rPr>
          <w:spacing w:val="-8"/>
          <w:sz w:val="24"/>
        </w:rPr>
        <w:t> </w:t>
      </w:r>
      <w:r>
        <w:rPr>
          <w:sz w:val="24"/>
        </w:rPr>
        <w:t>e</w:t>
      </w:r>
      <w:r>
        <w:rPr>
          <w:spacing w:val="-6"/>
          <w:sz w:val="24"/>
        </w:rPr>
        <w:t> </w:t>
      </w:r>
      <w:r>
        <w:rPr>
          <w:sz w:val="24"/>
        </w:rPr>
        <w:t>objetivos,</w:t>
      </w:r>
      <w:r>
        <w:rPr>
          <w:spacing w:val="-9"/>
          <w:sz w:val="24"/>
        </w:rPr>
        <w:t> </w:t>
      </w:r>
      <w:r>
        <w:rPr>
          <w:sz w:val="24"/>
        </w:rPr>
        <w:t>dentre</w:t>
      </w:r>
      <w:r>
        <w:rPr>
          <w:spacing w:val="-6"/>
          <w:sz w:val="24"/>
        </w:rPr>
        <w:t> </w:t>
      </w:r>
      <w:r>
        <w:rPr>
          <w:sz w:val="24"/>
        </w:rPr>
        <w:t>outros:</w:t>
      </w:r>
      <w:r>
        <w:rPr>
          <w:spacing w:val="-6"/>
          <w:sz w:val="24"/>
        </w:rPr>
        <w:t> </w:t>
      </w:r>
      <w:r>
        <w:rPr>
          <w:sz w:val="24"/>
        </w:rPr>
        <w:t>(i)</w:t>
      </w:r>
      <w:r>
        <w:rPr>
          <w:spacing w:val="-6"/>
          <w:sz w:val="24"/>
        </w:rPr>
        <w:t> </w:t>
      </w:r>
      <w:r>
        <w:rPr>
          <w:sz w:val="24"/>
        </w:rPr>
        <w:t>promover</w:t>
      </w:r>
      <w:r>
        <w:rPr>
          <w:spacing w:val="-4"/>
          <w:sz w:val="24"/>
        </w:rPr>
        <w:t> </w:t>
      </w:r>
      <w:r>
        <w:rPr>
          <w:sz w:val="24"/>
        </w:rPr>
        <w:t>a</w:t>
      </w:r>
      <w:r>
        <w:rPr>
          <w:spacing w:val="-6"/>
          <w:sz w:val="24"/>
        </w:rPr>
        <w:t> </w:t>
      </w:r>
      <w:r>
        <w:rPr>
          <w:sz w:val="24"/>
        </w:rPr>
        <w:t>produção</w:t>
      </w:r>
      <w:r>
        <w:rPr>
          <w:spacing w:val="-5"/>
          <w:sz w:val="24"/>
        </w:rPr>
        <w:t> </w:t>
      </w:r>
      <w:r>
        <w:rPr>
          <w:sz w:val="24"/>
        </w:rPr>
        <w:t>de</w:t>
      </w:r>
      <w:r>
        <w:rPr>
          <w:spacing w:val="-4"/>
          <w:sz w:val="24"/>
        </w:rPr>
        <w:t> </w:t>
      </w:r>
      <w:r>
        <w:rPr>
          <w:sz w:val="24"/>
        </w:rPr>
        <w:t>conhecimento que oriente o exercício profissional e o seu aperfeiçoamento; (ii) promover o desenvolvimento e o fortalecimento do ensino e do exercício profissional da Arquitetura e Urbanismo; (iii) promover a produção e disseminação de material técnico-profissional de interesse da Arquitetura e Urbanismo; (iv) sensibilizar, informar, educar e difundir conhecimentos e/ou troca de experiências com vista ao desenvolvimento, modernização e fortalecimento da Arquitetura e Urbanismo; (v) promover a produção de conhecimento na área de Assistência Técnica para Habitação de Interesse Social (ATHIS), que oriente o exercício profissional e o seu aperfeiçoamento, dentre</w:t>
      </w:r>
      <w:r>
        <w:rPr>
          <w:spacing w:val="-7"/>
          <w:sz w:val="24"/>
        </w:rPr>
        <w:t> </w:t>
      </w:r>
      <w:r>
        <w:rPr>
          <w:sz w:val="24"/>
        </w:rPr>
        <w:t>outros.</w:t>
      </w:r>
    </w:p>
    <w:p>
      <w:pPr>
        <w:pStyle w:val="ListParagraph"/>
        <w:numPr>
          <w:ilvl w:val="0"/>
          <w:numId w:val="5"/>
        </w:numPr>
        <w:tabs>
          <w:tab w:pos="2835" w:val="left" w:leader="none"/>
        </w:tabs>
        <w:spacing w:line="357" w:lineRule="auto" w:before="0" w:after="0"/>
        <w:ind w:left="2834" w:right="1126" w:hanging="281"/>
        <w:jc w:val="both"/>
        <w:rPr>
          <w:sz w:val="24"/>
        </w:rPr>
      </w:pPr>
      <w:r>
        <w:rPr>
          <w:sz w:val="24"/>
        </w:rPr>
        <w:t>O </w:t>
      </w:r>
      <w:r>
        <w:rPr>
          <w:b/>
          <w:sz w:val="24"/>
        </w:rPr>
        <w:t>mínimo de 2% </w:t>
      </w:r>
      <w:r>
        <w:rPr>
          <w:sz w:val="24"/>
        </w:rPr>
        <w:t>(dois por cento) e </w:t>
      </w:r>
      <w:r>
        <w:rPr>
          <w:b/>
          <w:sz w:val="24"/>
        </w:rPr>
        <w:t>máximo de 4% </w:t>
      </w:r>
      <w:r>
        <w:rPr>
          <w:sz w:val="24"/>
        </w:rPr>
        <w:t>(quatro por cento) do valor total das respectivas folhas de pagamento (com os valores dos salários, encargos, benefícios e rescisões), do CAU/UF e do CAU/BR, deve ser </w:t>
      </w:r>
      <w:r>
        <w:rPr>
          <w:b/>
          <w:sz w:val="24"/>
        </w:rPr>
        <w:t>alocado em ações de capacitação dos seus conselheiros e colaboradores</w:t>
      </w:r>
      <w:r>
        <w:rPr>
          <w:sz w:val="24"/>
        </w:rPr>
        <w:t>, para atender ao </w:t>
      </w:r>
      <w:r>
        <w:rPr>
          <w:b/>
          <w:sz w:val="24"/>
        </w:rPr>
        <w:t>objetivo estratégico "Desenvolver competências de dirigentes e</w:t>
      </w:r>
      <w:r>
        <w:rPr>
          <w:b/>
          <w:spacing w:val="-6"/>
          <w:sz w:val="24"/>
        </w:rPr>
        <w:t> </w:t>
      </w:r>
      <w:r>
        <w:rPr>
          <w:b/>
          <w:sz w:val="24"/>
        </w:rPr>
        <w:t>colaboradores"</w:t>
      </w:r>
      <w:r>
        <w:rPr>
          <w:sz w:val="24"/>
        </w:rPr>
        <w:t>;</w:t>
      </w:r>
    </w:p>
    <w:p>
      <w:pPr>
        <w:pStyle w:val="BodyText"/>
      </w:pPr>
    </w:p>
    <w:p>
      <w:pPr>
        <w:pStyle w:val="BodyText"/>
      </w:pPr>
    </w:p>
    <w:p>
      <w:pPr>
        <w:pStyle w:val="BodyText"/>
        <w:spacing w:before="7"/>
        <w:rPr>
          <w:sz w:val="18"/>
        </w:rPr>
      </w:pPr>
    </w:p>
    <w:p>
      <w:pPr>
        <w:pStyle w:val="BodyText"/>
        <w:spacing w:line="360" w:lineRule="auto"/>
        <w:ind w:left="1702" w:right="1131" w:firstLine="707"/>
      </w:pPr>
      <w:r>
        <w:rPr/>
        <w:t>Cabe ressalvar que, na composição das metas financeiras dos projetos e atividades, devem ser considerados todos os custos destinados a suportar as ações priorizadas pelo</w:t>
      </w:r>
    </w:p>
    <w:p>
      <w:pPr>
        <w:spacing w:after="0" w:line="360" w:lineRule="auto"/>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8"/>
        <w:jc w:val="both"/>
      </w:pPr>
      <w:r>
        <w:rPr/>
        <w:t>Conselho,</w:t>
      </w:r>
      <w:r>
        <w:rPr>
          <w:spacing w:val="-10"/>
        </w:rPr>
        <w:t> </w:t>
      </w:r>
      <w:r>
        <w:rPr/>
        <w:t>sejam</w:t>
      </w:r>
      <w:r>
        <w:rPr>
          <w:spacing w:val="-9"/>
        </w:rPr>
        <w:t> </w:t>
      </w:r>
      <w:r>
        <w:rPr/>
        <w:t>com</w:t>
      </w:r>
      <w:r>
        <w:rPr>
          <w:spacing w:val="-9"/>
        </w:rPr>
        <w:t> </w:t>
      </w:r>
      <w:r>
        <w:rPr/>
        <w:t>pessoal</w:t>
      </w:r>
      <w:r>
        <w:rPr>
          <w:spacing w:val="-5"/>
        </w:rPr>
        <w:t> </w:t>
      </w:r>
      <w:r>
        <w:rPr/>
        <w:t>envolvido</w:t>
      </w:r>
      <w:r>
        <w:rPr>
          <w:spacing w:val="-9"/>
        </w:rPr>
        <w:t> </w:t>
      </w:r>
      <w:r>
        <w:rPr/>
        <w:t>(salários,</w:t>
      </w:r>
      <w:r>
        <w:rPr>
          <w:spacing w:val="-9"/>
        </w:rPr>
        <w:t> </w:t>
      </w:r>
      <w:r>
        <w:rPr/>
        <w:t>encargos</w:t>
      </w:r>
      <w:r>
        <w:rPr>
          <w:spacing w:val="-8"/>
        </w:rPr>
        <w:t> </w:t>
      </w:r>
      <w:r>
        <w:rPr/>
        <w:t>e</w:t>
      </w:r>
      <w:r>
        <w:rPr>
          <w:spacing w:val="-9"/>
        </w:rPr>
        <w:t> </w:t>
      </w:r>
      <w:r>
        <w:rPr/>
        <w:t>benefícios),</w:t>
      </w:r>
      <w:r>
        <w:rPr>
          <w:spacing w:val="-7"/>
        </w:rPr>
        <w:t> </w:t>
      </w:r>
      <w:r>
        <w:rPr/>
        <w:t>serviços</w:t>
      </w:r>
      <w:r>
        <w:rPr>
          <w:spacing w:val="-7"/>
        </w:rPr>
        <w:t> </w:t>
      </w:r>
      <w:r>
        <w:rPr/>
        <w:t>de</w:t>
      </w:r>
      <w:r>
        <w:rPr>
          <w:spacing w:val="-10"/>
        </w:rPr>
        <w:t> </w:t>
      </w:r>
      <w:r>
        <w:rPr/>
        <w:t>terceiros e demais custos. Exemplo: em um projeto de Fiscalização, cujos fiscais são parte integrante do pessoal envolvido na realização das ações desse projeto, os custos decorrentes devem estar</w:t>
      </w:r>
      <w:r>
        <w:rPr>
          <w:spacing w:val="-3"/>
        </w:rPr>
        <w:t> </w:t>
      </w:r>
      <w:r>
        <w:rPr/>
        <w:t>nele</w:t>
      </w:r>
      <w:r>
        <w:rPr>
          <w:spacing w:val="-2"/>
        </w:rPr>
        <w:t> </w:t>
      </w:r>
      <w:r>
        <w:rPr/>
        <w:t>inseridos,</w:t>
      </w:r>
      <w:r>
        <w:rPr>
          <w:spacing w:val="-5"/>
        </w:rPr>
        <w:t> </w:t>
      </w:r>
      <w:r>
        <w:rPr/>
        <w:t>bem</w:t>
      </w:r>
      <w:r>
        <w:rPr>
          <w:spacing w:val="-6"/>
        </w:rPr>
        <w:t> </w:t>
      </w:r>
      <w:r>
        <w:rPr/>
        <w:t>como</w:t>
      </w:r>
      <w:r>
        <w:rPr>
          <w:spacing w:val="-2"/>
        </w:rPr>
        <w:t> </w:t>
      </w:r>
      <w:r>
        <w:rPr/>
        <w:t>os</w:t>
      </w:r>
      <w:r>
        <w:rPr>
          <w:spacing w:val="-3"/>
        </w:rPr>
        <w:t> </w:t>
      </w:r>
      <w:r>
        <w:rPr/>
        <w:t>demais</w:t>
      </w:r>
      <w:r>
        <w:rPr>
          <w:spacing w:val="-4"/>
        </w:rPr>
        <w:t> </w:t>
      </w:r>
      <w:r>
        <w:rPr/>
        <w:t>custos</w:t>
      </w:r>
      <w:r>
        <w:rPr>
          <w:spacing w:val="-5"/>
        </w:rPr>
        <w:t> </w:t>
      </w:r>
      <w:r>
        <w:rPr/>
        <w:t>necessários</w:t>
      </w:r>
      <w:r>
        <w:rPr>
          <w:spacing w:val="-3"/>
        </w:rPr>
        <w:t> </w:t>
      </w:r>
      <w:r>
        <w:rPr/>
        <w:t>à</w:t>
      </w:r>
      <w:r>
        <w:rPr>
          <w:spacing w:val="-4"/>
        </w:rPr>
        <w:t> </w:t>
      </w:r>
      <w:r>
        <w:rPr/>
        <w:t>plena</w:t>
      </w:r>
      <w:r>
        <w:rPr>
          <w:spacing w:val="-5"/>
        </w:rPr>
        <w:t> </w:t>
      </w:r>
      <w:r>
        <w:rPr/>
        <w:t>execução</w:t>
      </w:r>
      <w:r>
        <w:rPr>
          <w:spacing w:val="-2"/>
        </w:rPr>
        <w:t> </w:t>
      </w:r>
      <w:r>
        <w:rPr/>
        <w:t>e</w:t>
      </w:r>
      <w:r>
        <w:rPr>
          <w:spacing w:val="-3"/>
        </w:rPr>
        <w:t> </w:t>
      </w:r>
      <w:r>
        <w:rPr/>
        <w:t>atingimento dos resultados</w:t>
      </w:r>
      <w:r>
        <w:rPr>
          <w:spacing w:val="-2"/>
        </w:rPr>
        <w:t> </w:t>
      </w:r>
      <w:r>
        <w:rPr/>
        <w:t>estabelecidos.</w:t>
      </w:r>
    </w:p>
    <w:p>
      <w:pPr>
        <w:pStyle w:val="BodyText"/>
        <w:spacing w:line="360" w:lineRule="auto" w:before="160"/>
        <w:ind w:left="1702" w:right="1126" w:firstLine="707"/>
        <w:jc w:val="both"/>
      </w:pPr>
      <w:r>
        <w:rPr/>
        <w:t>As</w:t>
      </w:r>
      <w:r>
        <w:rPr>
          <w:spacing w:val="-11"/>
        </w:rPr>
        <w:t> </w:t>
      </w:r>
      <w:r>
        <w:rPr/>
        <w:t>despesas</w:t>
      </w:r>
      <w:r>
        <w:rPr>
          <w:spacing w:val="-9"/>
        </w:rPr>
        <w:t> </w:t>
      </w:r>
      <w:r>
        <w:rPr/>
        <w:t>com</w:t>
      </w:r>
      <w:r>
        <w:rPr>
          <w:spacing w:val="-12"/>
        </w:rPr>
        <w:t> </w:t>
      </w:r>
      <w:r>
        <w:rPr/>
        <w:t>fiscalização</w:t>
      </w:r>
      <w:r>
        <w:rPr>
          <w:spacing w:val="-9"/>
        </w:rPr>
        <w:t> </w:t>
      </w:r>
      <w:r>
        <w:rPr/>
        <w:t>devem</w:t>
      </w:r>
      <w:r>
        <w:rPr>
          <w:spacing w:val="-9"/>
        </w:rPr>
        <w:t> </w:t>
      </w:r>
      <w:r>
        <w:rPr/>
        <w:t>conter,</w:t>
      </w:r>
      <w:r>
        <w:rPr>
          <w:spacing w:val="-12"/>
        </w:rPr>
        <w:t> </w:t>
      </w:r>
      <w:r>
        <w:rPr/>
        <w:t>exclusivamente:</w:t>
      </w:r>
      <w:r>
        <w:rPr>
          <w:spacing w:val="-11"/>
        </w:rPr>
        <w:t> </w:t>
      </w:r>
      <w:r>
        <w:rPr/>
        <w:t>as</w:t>
      </w:r>
      <w:r>
        <w:rPr>
          <w:spacing w:val="-12"/>
        </w:rPr>
        <w:t> </w:t>
      </w:r>
      <w:r>
        <w:rPr/>
        <w:t>despesas</w:t>
      </w:r>
      <w:r>
        <w:rPr>
          <w:spacing w:val="-12"/>
        </w:rPr>
        <w:t> </w:t>
      </w:r>
      <w:r>
        <w:rPr/>
        <w:t>com</w:t>
      </w:r>
      <w:r>
        <w:rPr>
          <w:spacing w:val="-9"/>
        </w:rPr>
        <w:t> </w:t>
      </w:r>
      <w:r>
        <w:rPr/>
        <w:t>salários, encargos e benefícios dos fiscais no exercício da atividade; despesas com transporte e com veículos e equipamentos utilizados na fiscalização, incluindo custos de manutenção e combustíveis; diárias para cobrir estadia e alimentação dos fiscais, despesas com capacitação dos fiscais e custos com telefonia móvel institucional utilizada pelos fiscais. Nesse valor, </w:t>
      </w:r>
      <w:r>
        <w:rPr>
          <w:b/>
          <w:u w:val="single"/>
        </w:rPr>
        <w:t>não</w:t>
      </w:r>
      <w:r>
        <w:rPr>
          <w:b/>
        </w:rPr>
        <w:t> </w:t>
      </w:r>
      <w:r>
        <w:rPr>
          <w:b/>
          <w:u w:val="single"/>
        </w:rPr>
        <w:t>devem</w:t>
      </w:r>
      <w:r>
        <w:rPr>
          <w:b/>
        </w:rPr>
        <w:t> </w:t>
      </w:r>
      <w:r>
        <w:rPr/>
        <w:t>ser incluídos o valor de aquisição e aluguel de imóveis e o valor de aquisição de automóveis (disponível em:</w:t>
      </w:r>
      <w:r>
        <w:rPr>
          <w:spacing w:val="-12"/>
        </w:rPr>
        <w:t> </w:t>
      </w:r>
      <w:r>
        <w:rPr/>
        <w:t>https://portal.tcu.gov.br/lumis/portal/file/fileDownload.jsp).</w:t>
      </w:r>
    </w:p>
    <w:p>
      <w:pPr>
        <w:spacing w:line="360" w:lineRule="auto" w:before="159"/>
        <w:ind w:left="1702" w:right="1128" w:firstLine="0"/>
        <w:jc w:val="both"/>
        <w:rPr>
          <w:i/>
          <w:sz w:val="24"/>
        </w:rPr>
      </w:pPr>
      <w:r>
        <w:rPr/>
        <w:pict>
          <v:group style="position:absolute;margin-left:85.75pt;margin-top:77.815788pt;width:457.25pt;height:184.7pt;mso-position-horizontal-relative:page;mso-position-vertical-relative:paragraph;z-index:-15727104;mso-wrap-distance-left:0;mso-wrap-distance-right:0" coordorigin="1715,1556" coordsize="9145,3694">
            <v:rect style="position:absolute;left:1720;top:1561;width:9135;height:3684" filled="true" fillcolor="#d9d9d9" stroked="false">
              <v:fill type="solid"/>
            </v:rect>
            <v:rect style="position:absolute;left:1720;top:1561;width:9135;height:3684" filled="false" stroked="true" strokeweight=".5pt" strokecolor="#000000">
              <v:stroke dashstyle="solid"/>
            </v:rect>
            <v:shape style="position:absolute;left:1841;top:1638;width:8897;height:3531" type="#_x0000_t202" filled="true" fillcolor="#f7c9ac" stroked="false">
              <v:textbox inset="0,0,0,0">
                <w:txbxContent>
                  <w:p>
                    <w:pPr>
                      <w:spacing w:line="360" w:lineRule="auto" w:before="0"/>
                      <w:ind w:left="28" w:right="22" w:firstLine="0"/>
                      <w:jc w:val="both"/>
                      <w:rPr>
                        <w:b/>
                        <w:i/>
                        <w:sz w:val="22"/>
                      </w:rPr>
                    </w:pPr>
                    <w:r>
                      <w:rPr>
                        <w:b/>
                        <w:i/>
                        <w:sz w:val="22"/>
                      </w:rPr>
                      <w:t>NOTA 1: </w:t>
                    </w:r>
                    <w:r>
                      <w:rPr>
                        <w:i/>
                        <w:sz w:val="22"/>
                      </w:rPr>
                      <w:t>Na proposta de programação do Plano de Ação 2021</w:t>
                    </w:r>
                    <w:r>
                      <w:rPr>
                        <w:b/>
                        <w:i/>
                        <w:sz w:val="22"/>
                      </w:rPr>
                      <w:t>, fica </w:t>
                    </w:r>
                    <w:r>
                      <w:rPr>
                        <w:b/>
                        <w:i/>
                        <w:sz w:val="22"/>
                        <w:u w:val="single"/>
                      </w:rPr>
                      <w:t>VEDADA</w:t>
                    </w:r>
                    <w:r>
                      <w:rPr>
                        <w:b/>
                        <w:i/>
                        <w:sz w:val="22"/>
                      </w:rPr>
                      <w:t>, </w:t>
                    </w:r>
                    <w:r>
                      <w:rPr>
                        <w:i/>
                        <w:sz w:val="22"/>
                      </w:rPr>
                      <w:t>a inobservância de </w:t>
                    </w:r>
                    <w:r>
                      <w:rPr>
                        <w:i/>
                        <w:sz w:val="22"/>
                      </w:rPr>
                      <w:t>aplicação do percentual mínimo, referenciado na Receita de Arrecadação Líquida (RAL), </w:t>
                    </w:r>
                    <w:r>
                      <w:rPr>
                        <w:b/>
                        <w:i/>
                        <w:sz w:val="22"/>
                      </w:rPr>
                      <w:t>de 15% </w:t>
                    </w:r>
                    <w:r>
                      <w:rPr>
                        <w:b/>
                        <w:i/>
                        <w:sz w:val="22"/>
                      </w:rPr>
                      <w:t>(quinze por cento) nas atividades de Fiscalização, </w:t>
                    </w:r>
                    <w:r>
                      <w:rPr>
                        <w:i/>
                        <w:sz w:val="22"/>
                      </w:rPr>
                      <w:t>e </w:t>
                    </w:r>
                    <w:r>
                      <w:rPr>
                        <w:sz w:val="22"/>
                      </w:rPr>
                      <w:t>do percentual máximo </w:t>
                    </w:r>
                    <w:r>
                      <w:rPr>
                        <w:b/>
                        <w:i/>
                        <w:sz w:val="22"/>
                      </w:rPr>
                      <w:t>de 55% (cinquenta e </w:t>
                    </w:r>
                    <w:r>
                      <w:rPr>
                        <w:b/>
                        <w:i/>
                        <w:sz w:val="22"/>
                      </w:rPr>
                      <w:t>cinco por cento) da Receita Corrente para despesas com pessoal.</w:t>
                    </w:r>
                  </w:p>
                  <w:p>
                    <w:pPr>
                      <w:spacing w:line="360" w:lineRule="auto" w:before="1"/>
                      <w:ind w:left="28" w:right="106" w:firstLine="707"/>
                      <w:jc w:val="left"/>
                      <w:rPr>
                        <w:b/>
                        <w:i/>
                        <w:sz w:val="22"/>
                      </w:rPr>
                    </w:pPr>
                    <w:r>
                      <w:rPr>
                        <w:i/>
                        <w:sz w:val="22"/>
                      </w:rPr>
                      <w:t>Os órgãos deliberativos dos CAU/UF e CAU/BR poderão, </w:t>
                    </w:r>
                    <w:r>
                      <w:rPr>
                        <w:b/>
                        <w:i/>
                        <w:sz w:val="22"/>
                      </w:rPr>
                      <w:t>mediante justificativas próprias, </w:t>
                    </w:r>
                    <w:r>
                      <w:rPr>
                        <w:b/>
                        <w:i/>
                        <w:sz w:val="22"/>
                      </w:rPr>
                      <w:t>flexibilizar a aplicação de recursos mínimos e máximos descritos no item 3.1.</w:t>
                    </w:r>
                  </w:p>
                  <w:p>
                    <w:pPr>
                      <w:spacing w:line="360" w:lineRule="auto" w:before="0"/>
                      <w:ind w:left="28" w:right="106" w:firstLine="707"/>
                      <w:jc w:val="left"/>
                      <w:rPr>
                        <w:i/>
                        <w:sz w:val="22"/>
                      </w:rPr>
                    </w:pPr>
                    <w:r>
                      <w:rPr>
                        <w:i/>
                        <w:sz w:val="22"/>
                      </w:rPr>
                      <w:t>O  CAU/UF  e  CAU/BR  deverão  justificar,  no  relatório  de  gestão,  o  não  atingimento  </w:t>
                    </w:r>
                    <w:r>
                      <w:rPr>
                        <w:i/>
                        <w:sz w:val="22"/>
                      </w:rPr>
                      <w:t>do índice de Fiscalização, considerando as ações desenvolvidas para o alcance das metas</w:t>
                    </w:r>
                    <w:r>
                      <w:rPr>
                        <w:i/>
                        <w:spacing w:val="-7"/>
                        <w:sz w:val="22"/>
                      </w:rPr>
                      <w:t> </w:t>
                    </w:r>
                    <w:r>
                      <w:rPr>
                        <w:i/>
                        <w:sz w:val="22"/>
                      </w:rPr>
                      <w:t>e dos</w:t>
                    </w:r>
                  </w:p>
                  <w:p>
                    <w:pPr>
                      <w:spacing w:before="0"/>
                      <w:ind w:left="28" w:right="0" w:firstLine="0"/>
                      <w:jc w:val="left"/>
                      <w:rPr>
                        <w:i/>
                        <w:sz w:val="22"/>
                      </w:rPr>
                    </w:pPr>
                    <w:r>
                      <w:rPr>
                        <w:i/>
                        <w:sz w:val="22"/>
                      </w:rPr>
                      <w:t>resultados previstos.</w:t>
                    </w:r>
                  </w:p>
                </w:txbxContent>
              </v:textbox>
              <v:fill type="solid"/>
              <w10:wrap type="none"/>
            </v:shape>
            <w10:wrap type="topAndBottom"/>
          </v:group>
        </w:pict>
      </w:r>
      <w:r>
        <w:rPr>
          <w:b/>
          <w:i/>
          <w:sz w:val="24"/>
        </w:rPr>
        <w:t>Obs.: </w:t>
      </w:r>
      <w:r>
        <w:rPr>
          <w:i/>
          <w:sz w:val="24"/>
        </w:rPr>
        <w:t>No caso dos CAU/Básico, o valor a ser destinado aos objetivos estratégicos, na forma </w:t>
      </w:r>
      <w:r>
        <w:rPr>
          <w:i/>
          <w:sz w:val="24"/>
        </w:rPr>
        <w:t>elencada anteriormente, além das receitas de arrecadação total também inclui os valores a serem recebidos do Fundo de Apoio, nos montantes constantes na presente Diretrizes.</w:t>
      </w:r>
    </w:p>
    <w:p>
      <w:pPr>
        <w:pStyle w:val="Heading3"/>
        <w:numPr>
          <w:ilvl w:val="1"/>
          <w:numId w:val="2"/>
        </w:numPr>
        <w:tabs>
          <w:tab w:pos="3042" w:val="left" w:leader="none"/>
        </w:tabs>
        <w:spacing w:line="240" w:lineRule="auto" w:before="180" w:after="0"/>
        <w:ind w:left="3041" w:right="0" w:hanging="488"/>
        <w:jc w:val="left"/>
      </w:pPr>
      <w:bookmarkStart w:name="_bookmark11" w:id="20"/>
      <w:bookmarkEnd w:id="20"/>
      <w:r>
        <w:rPr>
          <w:color w:val="006666"/>
        </w:rPr>
        <w:t>Ações</w:t>
      </w:r>
      <w:r>
        <w:rPr>
          <w:color w:val="006666"/>
        </w:rPr>
        <w:t> Estratégicas Prioritárias</w:t>
      </w:r>
      <w:r>
        <w:rPr>
          <w:color w:val="006666"/>
          <w:spacing w:val="-1"/>
        </w:rPr>
        <w:t> </w:t>
      </w:r>
      <w:r>
        <w:rPr>
          <w:color w:val="006666"/>
        </w:rPr>
        <w:t>2021</w:t>
      </w:r>
    </w:p>
    <w:p>
      <w:pPr>
        <w:pStyle w:val="BodyText"/>
        <w:spacing w:before="4"/>
        <w:rPr>
          <w:b/>
          <w:sz w:val="30"/>
        </w:rPr>
      </w:pPr>
    </w:p>
    <w:p>
      <w:pPr>
        <w:pStyle w:val="BodyText"/>
        <w:spacing w:line="360" w:lineRule="auto"/>
        <w:ind w:left="1702" w:right="1128" w:firstLine="851"/>
        <w:jc w:val="both"/>
      </w:pPr>
      <w:r>
        <w:rPr/>
        <w:t>Com intuito de padronizar e unificar as análises das ações de abrangência nacional, foram propostas e validadas pelos representantes dos CAU/UF no Seminário Nacional de Planejamento, realizado no dia 25 de junho de 2019, as ações estratégicas prioritárias para 2021, e estão dispostas no quadro 1:</w:t>
      </w:r>
    </w:p>
    <w:p>
      <w:pPr>
        <w:spacing w:after="0" w:line="360" w:lineRule="auto"/>
        <w:jc w:val="both"/>
        <w:sectPr>
          <w:pgSz w:w="11910" w:h="16840"/>
          <w:pgMar w:header="590" w:footer="612" w:top="1460" w:bottom="800" w:left="0" w:right="0"/>
        </w:sectPr>
      </w:pPr>
    </w:p>
    <w:p>
      <w:pPr>
        <w:pStyle w:val="BodyText"/>
        <w:rPr>
          <w:sz w:val="14"/>
        </w:rPr>
      </w:pPr>
    </w:p>
    <w:p>
      <w:pPr>
        <w:spacing w:before="56"/>
        <w:ind w:left="7081" w:right="0" w:firstLine="0"/>
        <w:jc w:val="left"/>
        <w:rPr>
          <w:rFonts w:ascii="Calibri Light" w:hAnsi="Calibri Light"/>
          <w:b w:val="0"/>
          <w:sz w:val="22"/>
        </w:rPr>
      </w:pPr>
      <w:r>
        <w:rPr/>
        <w:drawing>
          <wp:anchor distT="0" distB="0" distL="0" distR="0" allowOverlap="1" layoutInCell="1" locked="0" behindDoc="0" simplePos="0" relativeHeight="4">
            <wp:simplePos x="0" y="0"/>
            <wp:positionH relativeFrom="page">
              <wp:posOffset>1094924</wp:posOffset>
            </wp:positionH>
            <wp:positionV relativeFrom="paragraph">
              <wp:posOffset>233656</wp:posOffset>
            </wp:positionV>
            <wp:extent cx="5681407" cy="781640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5681407" cy="7816405"/>
                    </a:xfrm>
                    <a:prstGeom prst="rect">
                      <a:avLst/>
                    </a:prstGeom>
                  </pic:spPr>
                </pic:pic>
              </a:graphicData>
            </a:graphic>
          </wp:anchor>
        </w:drawing>
      </w:r>
      <w:bookmarkStart w:name="_bookmark12" w:id="21"/>
      <w:bookmarkEnd w:id="21"/>
      <w:r>
        <w:rPr/>
      </w:r>
      <w:r>
        <w:rPr>
          <w:rFonts w:ascii="Calibri Light" w:hAnsi="Calibri Light"/>
          <w:b w:val="0"/>
          <w:color w:val="1F3863"/>
          <w:sz w:val="22"/>
        </w:rPr>
        <w:t>Quadro 1 – Ações Estratégicas Prioritárias</w:t>
      </w:r>
    </w:p>
    <w:p>
      <w:pPr>
        <w:spacing w:after="0"/>
        <w:jc w:val="left"/>
        <w:rPr>
          <w:rFonts w:ascii="Calibri Light" w:hAnsi="Calibri Light"/>
          <w:sz w:val="22"/>
        </w:rPr>
        <w:sectPr>
          <w:pgSz w:w="11910" w:h="16840"/>
          <w:pgMar w:header="590" w:footer="612" w:top="1460" w:bottom="800" w:left="0" w:right="0"/>
        </w:sectPr>
      </w:pPr>
    </w:p>
    <w:p>
      <w:pPr>
        <w:pStyle w:val="BodyText"/>
        <w:rPr>
          <w:rFonts w:ascii="Calibri Light"/>
          <w:b w:val="0"/>
          <w:sz w:val="14"/>
        </w:rPr>
      </w:pPr>
    </w:p>
    <w:p>
      <w:pPr>
        <w:spacing w:before="56" w:after="22"/>
        <w:ind w:left="6805" w:right="0" w:firstLine="0"/>
        <w:jc w:val="left"/>
        <w:rPr>
          <w:b/>
          <w:sz w:val="22"/>
        </w:rPr>
      </w:pPr>
      <w:r>
        <w:rPr>
          <w:b/>
          <w:color w:val="1F3863"/>
          <w:sz w:val="22"/>
        </w:rPr>
        <w:t>Quadro 1</w:t>
      </w:r>
      <w:r>
        <w:rPr>
          <w:color w:val="1F3863"/>
          <w:sz w:val="22"/>
        </w:rPr>
        <w:t>.a </w:t>
      </w:r>
      <w:r>
        <w:rPr>
          <w:b/>
          <w:color w:val="1F3863"/>
          <w:sz w:val="22"/>
        </w:rPr>
        <w:t>– Ações Estratégicas Prioritárias</w:t>
      </w:r>
    </w:p>
    <w:p>
      <w:pPr>
        <w:pStyle w:val="BodyText"/>
        <w:ind w:left="1701"/>
        <w:rPr>
          <w:sz w:val="20"/>
        </w:rPr>
      </w:pPr>
      <w:r>
        <w:rPr>
          <w:sz w:val="20"/>
        </w:rPr>
        <w:drawing>
          <wp:inline distT="0" distB="0" distL="0" distR="0">
            <wp:extent cx="5693561" cy="8301323"/>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5693561" cy="8301323"/>
                    </a:xfrm>
                    <a:prstGeom prst="rect">
                      <a:avLst/>
                    </a:prstGeom>
                  </pic:spPr>
                </pic:pic>
              </a:graphicData>
            </a:graphic>
          </wp:inline>
        </w:drawing>
      </w:r>
      <w:r>
        <w:rPr>
          <w:sz w:val="20"/>
        </w:rPr>
      </w:r>
    </w:p>
    <w:p>
      <w:pPr>
        <w:spacing w:after="0"/>
        <w:rPr>
          <w:sz w:val="20"/>
        </w:rPr>
        <w:sectPr>
          <w:pgSz w:w="11910" w:h="16840"/>
          <w:pgMar w:header="590" w:footer="612" w:top="1460" w:bottom="800" w:left="0" w:right="0"/>
        </w:sectPr>
      </w:pPr>
    </w:p>
    <w:p>
      <w:pPr>
        <w:pStyle w:val="BodyText"/>
        <w:rPr>
          <w:b/>
          <w:sz w:val="14"/>
        </w:rPr>
      </w:pPr>
    </w:p>
    <w:p>
      <w:pPr>
        <w:spacing w:before="56"/>
        <w:ind w:left="6795" w:right="0" w:firstLine="0"/>
        <w:jc w:val="left"/>
        <w:rPr>
          <w:b/>
          <w:sz w:val="22"/>
        </w:rPr>
      </w:pPr>
      <w:r>
        <w:rPr/>
        <w:drawing>
          <wp:anchor distT="0" distB="0" distL="0" distR="0" allowOverlap="1" layoutInCell="1" locked="0" behindDoc="0" simplePos="0" relativeHeight="5">
            <wp:simplePos x="0" y="0"/>
            <wp:positionH relativeFrom="page">
              <wp:posOffset>1093467</wp:posOffset>
            </wp:positionH>
            <wp:positionV relativeFrom="paragraph">
              <wp:posOffset>233467</wp:posOffset>
            </wp:positionV>
            <wp:extent cx="5721340" cy="6507480"/>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5721340" cy="6507480"/>
                    </a:xfrm>
                    <a:prstGeom prst="rect">
                      <a:avLst/>
                    </a:prstGeom>
                  </pic:spPr>
                </pic:pic>
              </a:graphicData>
            </a:graphic>
          </wp:anchor>
        </w:drawing>
      </w:r>
      <w:r>
        <w:rPr>
          <w:b/>
          <w:color w:val="1F3863"/>
          <w:sz w:val="22"/>
        </w:rPr>
        <w:t>Quadro 1</w:t>
      </w:r>
      <w:r>
        <w:rPr>
          <w:color w:val="1F3863"/>
          <w:sz w:val="22"/>
        </w:rPr>
        <w:t>.b </w:t>
      </w:r>
      <w:r>
        <w:rPr>
          <w:b/>
          <w:color w:val="1F3863"/>
          <w:sz w:val="22"/>
        </w:rPr>
        <w:t>– Ações Estratégicas Prioritárias</w:t>
      </w:r>
    </w:p>
    <w:p>
      <w:pPr>
        <w:pStyle w:val="BodyText"/>
        <w:rPr>
          <w:b/>
          <w:sz w:val="22"/>
        </w:rPr>
      </w:pPr>
    </w:p>
    <w:p>
      <w:pPr>
        <w:pStyle w:val="BodyText"/>
        <w:rPr>
          <w:b/>
          <w:sz w:val="22"/>
        </w:rPr>
      </w:pPr>
    </w:p>
    <w:p>
      <w:pPr>
        <w:pStyle w:val="BodyText"/>
        <w:spacing w:before="10"/>
        <w:rPr>
          <w:b/>
          <w:sz w:val="18"/>
        </w:rPr>
      </w:pPr>
    </w:p>
    <w:p>
      <w:pPr>
        <w:pStyle w:val="Heading3"/>
        <w:numPr>
          <w:ilvl w:val="1"/>
          <w:numId w:val="2"/>
        </w:numPr>
        <w:tabs>
          <w:tab w:pos="2268" w:val="left" w:leader="none"/>
          <w:tab w:pos="2269" w:val="left" w:leader="none"/>
        </w:tabs>
        <w:spacing w:line="240" w:lineRule="auto" w:before="1" w:after="0"/>
        <w:ind w:left="2268" w:right="0" w:hanging="567"/>
        <w:jc w:val="left"/>
      </w:pPr>
      <w:bookmarkStart w:name="_bookmark13" w:id="22"/>
      <w:bookmarkEnd w:id="22"/>
      <w:r>
        <w:rPr>
          <w:b w:val="0"/>
        </w:rPr>
      </w:r>
      <w:bookmarkStart w:name="_bookmark13" w:id="23"/>
      <w:bookmarkEnd w:id="23"/>
      <w:r>
        <w:rPr>
          <w:color w:val="006666"/>
        </w:rPr>
        <w:t>D</w:t>
      </w:r>
      <w:r>
        <w:rPr>
          <w:color w:val="006666"/>
        </w:rPr>
        <w:t>estinação de Recursos para o Fundo de Apoio Financeiro aos</w:t>
      </w:r>
      <w:r>
        <w:rPr>
          <w:color w:val="006666"/>
          <w:spacing w:val="-16"/>
        </w:rPr>
        <w:t> </w:t>
      </w:r>
      <w:r>
        <w:rPr>
          <w:color w:val="006666"/>
        </w:rPr>
        <w:t>CAU/UF</w:t>
      </w:r>
    </w:p>
    <w:p>
      <w:pPr>
        <w:pStyle w:val="BodyText"/>
        <w:spacing w:before="4"/>
        <w:rPr>
          <w:b/>
          <w:sz w:val="30"/>
        </w:rPr>
      </w:pPr>
    </w:p>
    <w:p>
      <w:pPr>
        <w:pStyle w:val="BodyText"/>
        <w:spacing w:line="360" w:lineRule="auto" w:before="1"/>
        <w:ind w:left="1702" w:right="1125" w:firstLine="851"/>
        <w:jc w:val="both"/>
      </w:pPr>
      <w:r>
        <w:rPr/>
        <w:t>O CAU/BR e os CAU/UF deverão, em </w:t>
      </w:r>
      <w:r>
        <w:rPr>
          <w:b/>
        </w:rPr>
        <w:t>atividade específica </w:t>
      </w:r>
      <w:r>
        <w:rPr/>
        <w:t>no seu Plano de Ação, aportar recursos destinados a suportar o Fundo de Apoio Financeiro aos CAU/UF, na forma aprovada para o exercício. Esses recursos destinam-se a viabilizar a operação dos CAU/UF, enquadrados como CAU Básico, em prol do desenvolvimento e fortalecimento da profissão e</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930"/>
      </w:pPr>
      <w:r>
        <w:rPr/>
        <w:t>da</w:t>
      </w:r>
      <w:r>
        <w:rPr>
          <w:spacing w:val="-12"/>
        </w:rPr>
        <w:t> </w:t>
      </w:r>
      <w:r>
        <w:rPr/>
        <w:t>arquitetura</w:t>
      </w:r>
      <w:r>
        <w:rPr>
          <w:spacing w:val="-11"/>
        </w:rPr>
        <w:t> </w:t>
      </w:r>
      <w:r>
        <w:rPr/>
        <w:t>e</w:t>
      </w:r>
      <w:r>
        <w:rPr>
          <w:spacing w:val="-13"/>
        </w:rPr>
        <w:t> </w:t>
      </w:r>
      <w:r>
        <w:rPr/>
        <w:t>urbanismo.</w:t>
      </w:r>
      <w:r>
        <w:rPr>
          <w:spacing w:val="-12"/>
        </w:rPr>
        <w:t> </w:t>
      </w:r>
      <w:r>
        <w:rPr/>
        <w:t>Os</w:t>
      </w:r>
      <w:r>
        <w:rPr>
          <w:spacing w:val="-12"/>
        </w:rPr>
        <w:t> </w:t>
      </w:r>
      <w:r>
        <w:rPr/>
        <w:t>valores</w:t>
      </w:r>
      <w:r>
        <w:rPr>
          <w:spacing w:val="-11"/>
        </w:rPr>
        <w:t> </w:t>
      </w:r>
      <w:r>
        <w:rPr/>
        <w:t>a</w:t>
      </w:r>
      <w:r>
        <w:rPr>
          <w:spacing w:val="-11"/>
        </w:rPr>
        <w:t> </w:t>
      </w:r>
      <w:r>
        <w:rPr/>
        <w:t>serem</w:t>
      </w:r>
      <w:r>
        <w:rPr>
          <w:spacing w:val="-10"/>
        </w:rPr>
        <w:t> </w:t>
      </w:r>
      <w:r>
        <w:rPr/>
        <w:t>considerados,</w:t>
      </w:r>
      <w:r>
        <w:rPr>
          <w:spacing w:val="-13"/>
        </w:rPr>
        <w:t> </w:t>
      </w:r>
      <w:r>
        <w:rPr/>
        <w:t>por</w:t>
      </w:r>
      <w:r>
        <w:rPr>
          <w:spacing w:val="-11"/>
        </w:rPr>
        <w:t> </w:t>
      </w:r>
      <w:r>
        <w:rPr/>
        <w:t>CAU/UF,</w:t>
      </w:r>
      <w:r>
        <w:rPr>
          <w:spacing w:val="-7"/>
        </w:rPr>
        <w:t> </w:t>
      </w:r>
      <w:r>
        <w:rPr/>
        <w:t>constam</w:t>
      </w:r>
      <w:r>
        <w:rPr>
          <w:spacing w:val="-13"/>
        </w:rPr>
        <w:t> </w:t>
      </w:r>
      <w:r>
        <w:rPr/>
        <w:t>do</w:t>
      </w:r>
      <w:r>
        <w:rPr>
          <w:spacing w:val="-13"/>
        </w:rPr>
        <w:t> </w:t>
      </w:r>
      <w:r>
        <w:rPr/>
        <w:t>Anexo VI.</w:t>
      </w:r>
    </w:p>
    <w:p>
      <w:pPr>
        <w:pStyle w:val="BodyText"/>
        <w:spacing w:line="360" w:lineRule="auto" w:before="161"/>
        <w:ind w:left="1702" w:right="1130" w:firstLine="851"/>
        <w:jc w:val="both"/>
      </w:pPr>
      <w:r>
        <w:rPr/>
        <w:t>Com base na proposta nº 07/2019 aprovada pelo o Colegiado de Governança do Fundo</w:t>
      </w:r>
      <w:r>
        <w:rPr>
          <w:spacing w:val="-12"/>
        </w:rPr>
        <w:t> </w:t>
      </w:r>
      <w:r>
        <w:rPr/>
        <w:t>de</w:t>
      </w:r>
      <w:r>
        <w:rPr>
          <w:spacing w:val="-10"/>
        </w:rPr>
        <w:t> </w:t>
      </w:r>
      <w:r>
        <w:rPr/>
        <w:t>Apoio</w:t>
      </w:r>
      <w:r>
        <w:rPr>
          <w:spacing w:val="-11"/>
        </w:rPr>
        <w:t> </w:t>
      </w:r>
      <w:r>
        <w:rPr/>
        <w:t>(CGFA).</w:t>
      </w:r>
      <w:r>
        <w:rPr>
          <w:spacing w:val="-12"/>
        </w:rPr>
        <w:t> </w:t>
      </w:r>
      <w:r>
        <w:rPr/>
        <w:t>em</w:t>
      </w:r>
      <w:r>
        <w:rPr>
          <w:spacing w:val="-10"/>
        </w:rPr>
        <w:t> </w:t>
      </w:r>
      <w:r>
        <w:rPr/>
        <w:t>08</w:t>
      </w:r>
      <w:r>
        <w:rPr>
          <w:spacing w:val="-13"/>
        </w:rPr>
        <w:t> </w:t>
      </w:r>
      <w:r>
        <w:rPr/>
        <w:t>de</w:t>
      </w:r>
      <w:r>
        <w:rPr>
          <w:spacing w:val="-13"/>
        </w:rPr>
        <w:t> </w:t>
      </w:r>
      <w:r>
        <w:rPr/>
        <w:t>julho</w:t>
      </w:r>
      <w:r>
        <w:rPr>
          <w:spacing w:val="-12"/>
        </w:rPr>
        <w:t> </w:t>
      </w:r>
      <w:r>
        <w:rPr/>
        <w:t>de</w:t>
      </w:r>
      <w:r>
        <w:rPr>
          <w:spacing w:val="-13"/>
        </w:rPr>
        <w:t> </w:t>
      </w:r>
      <w:r>
        <w:rPr/>
        <w:t>2019,</w:t>
      </w:r>
      <w:r>
        <w:rPr>
          <w:spacing w:val="-11"/>
        </w:rPr>
        <w:t> </w:t>
      </w:r>
      <w:r>
        <w:rPr/>
        <w:t>a</w:t>
      </w:r>
      <w:r>
        <w:rPr>
          <w:spacing w:val="-11"/>
        </w:rPr>
        <w:t> </w:t>
      </w:r>
      <w:r>
        <w:rPr/>
        <w:t>metodologia</w:t>
      </w:r>
      <w:r>
        <w:rPr>
          <w:spacing w:val="-11"/>
        </w:rPr>
        <w:t> </w:t>
      </w:r>
      <w:r>
        <w:rPr/>
        <w:t>para</w:t>
      </w:r>
      <w:r>
        <w:rPr>
          <w:spacing w:val="-11"/>
        </w:rPr>
        <w:t> </w:t>
      </w:r>
      <w:r>
        <w:rPr/>
        <w:t>o</w:t>
      </w:r>
      <w:r>
        <w:rPr>
          <w:spacing w:val="-12"/>
        </w:rPr>
        <w:t> </w:t>
      </w:r>
      <w:r>
        <w:rPr/>
        <w:t>cálculo</w:t>
      </w:r>
      <w:r>
        <w:rPr>
          <w:spacing w:val="-11"/>
        </w:rPr>
        <w:t> </w:t>
      </w:r>
      <w:r>
        <w:rPr/>
        <w:t>do</w:t>
      </w:r>
      <w:r>
        <w:rPr>
          <w:spacing w:val="-11"/>
        </w:rPr>
        <w:t> </w:t>
      </w:r>
      <w:r>
        <w:rPr/>
        <w:t>CAU</w:t>
      </w:r>
      <w:r>
        <w:rPr>
          <w:spacing w:val="-11"/>
        </w:rPr>
        <w:t> </w:t>
      </w:r>
      <w:r>
        <w:rPr/>
        <w:t>BÁSICO, que considera o potencial de gastos e demandas, de acordo com os valores orçamentários e quantidades de profissionais e empresas dos Estados, informações extraídas do portal da transparência no dia 31/08/2020, será mantida para</w:t>
      </w:r>
      <w:r>
        <w:rPr>
          <w:spacing w:val="-8"/>
        </w:rPr>
        <w:t> </w:t>
      </w:r>
      <w:r>
        <w:rPr/>
        <w:t>2021.</w:t>
      </w:r>
    </w:p>
    <w:p>
      <w:pPr>
        <w:spacing w:line="360" w:lineRule="auto" w:before="160"/>
        <w:ind w:left="1702" w:right="1127" w:firstLine="851"/>
        <w:jc w:val="both"/>
        <w:rPr>
          <w:sz w:val="24"/>
        </w:rPr>
      </w:pPr>
      <w:r>
        <w:rPr>
          <w:sz w:val="24"/>
        </w:rPr>
        <w:t>Nesse contexto, frente às arrecadações projetadas para o CAU e o valor do CAU Básico,</w:t>
      </w:r>
      <w:r>
        <w:rPr>
          <w:spacing w:val="-7"/>
          <w:sz w:val="24"/>
        </w:rPr>
        <w:t> </w:t>
      </w:r>
      <w:r>
        <w:rPr>
          <w:sz w:val="24"/>
        </w:rPr>
        <w:t>os</w:t>
      </w:r>
      <w:r>
        <w:rPr>
          <w:spacing w:val="-6"/>
          <w:sz w:val="24"/>
        </w:rPr>
        <w:t> </w:t>
      </w:r>
      <w:r>
        <w:rPr>
          <w:sz w:val="24"/>
        </w:rPr>
        <w:t>CAU/UF</w:t>
      </w:r>
      <w:r>
        <w:rPr>
          <w:spacing w:val="-6"/>
          <w:sz w:val="24"/>
        </w:rPr>
        <w:t> </w:t>
      </w:r>
      <w:r>
        <w:rPr>
          <w:sz w:val="24"/>
        </w:rPr>
        <w:t>enquadrados</w:t>
      </w:r>
      <w:r>
        <w:rPr>
          <w:spacing w:val="-8"/>
          <w:sz w:val="24"/>
        </w:rPr>
        <w:t> </w:t>
      </w:r>
      <w:r>
        <w:rPr>
          <w:sz w:val="24"/>
        </w:rPr>
        <w:t>como</w:t>
      </w:r>
      <w:r>
        <w:rPr>
          <w:spacing w:val="-6"/>
          <w:sz w:val="24"/>
        </w:rPr>
        <w:t> </w:t>
      </w:r>
      <w:r>
        <w:rPr>
          <w:sz w:val="24"/>
        </w:rPr>
        <w:t>CAU</w:t>
      </w:r>
      <w:r>
        <w:rPr>
          <w:spacing w:val="-6"/>
          <w:sz w:val="24"/>
        </w:rPr>
        <w:t> </w:t>
      </w:r>
      <w:r>
        <w:rPr>
          <w:sz w:val="24"/>
        </w:rPr>
        <w:t>Básico,</w:t>
      </w:r>
      <w:r>
        <w:rPr>
          <w:spacing w:val="-6"/>
          <w:sz w:val="24"/>
        </w:rPr>
        <w:t> </w:t>
      </w:r>
      <w:r>
        <w:rPr>
          <w:sz w:val="24"/>
        </w:rPr>
        <w:t>em</w:t>
      </w:r>
      <w:r>
        <w:rPr>
          <w:spacing w:val="-5"/>
          <w:sz w:val="24"/>
        </w:rPr>
        <w:t> </w:t>
      </w:r>
      <w:r>
        <w:rPr>
          <w:sz w:val="24"/>
        </w:rPr>
        <w:t>2021,</w:t>
      </w:r>
      <w:r>
        <w:rPr>
          <w:spacing w:val="-9"/>
          <w:sz w:val="24"/>
        </w:rPr>
        <w:t> </w:t>
      </w:r>
      <w:r>
        <w:rPr>
          <w:sz w:val="24"/>
        </w:rPr>
        <w:t>são:</w:t>
      </w:r>
      <w:r>
        <w:rPr>
          <w:spacing w:val="-6"/>
          <w:sz w:val="24"/>
        </w:rPr>
        <w:t> </w:t>
      </w:r>
      <w:r>
        <w:rPr>
          <w:b/>
          <w:sz w:val="24"/>
        </w:rPr>
        <w:t>CAU</w:t>
      </w:r>
      <w:r>
        <w:rPr>
          <w:b/>
          <w:spacing w:val="-7"/>
          <w:sz w:val="24"/>
        </w:rPr>
        <w:t> </w:t>
      </w:r>
      <w:r>
        <w:rPr>
          <w:b/>
          <w:sz w:val="24"/>
        </w:rPr>
        <w:t>Acre,</w:t>
      </w:r>
      <w:r>
        <w:rPr>
          <w:b/>
          <w:spacing w:val="-5"/>
          <w:sz w:val="24"/>
        </w:rPr>
        <w:t> </w:t>
      </w:r>
      <w:r>
        <w:rPr>
          <w:b/>
          <w:sz w:val="24"/>
        </w:rPr>
        <w:t>Alagoas,</w:t>
      </w:r>
      <w:r>
        <w:rPr>
          <w:b/>
          <w:spacing w:val="-6"/>
          <w:sz w:val="24"/>
        </w:rPr>
        <w:t> </w:t>
      </w:r>
      <w:r>
        <w:rPr>
          <w:b/>
          <w:sz w:val="24"/>
        </w:rPr>
        <w:t>Amapá, Amazonas, Maranhão, Sergipe, Tocantins, Piauí e Roraima. </w:t>
      </w:r>
      <w:r>
        <w:rPr>
          <w:sz w:val="24"/>
        </w:rPr>
        <w:t>O </w:t>
      </w:r>
      <w:r>
        <w:rPr>
          <w:b/>
          <w:sz w:val="24"/>
        </w:rPr>
        <w:t>CAU Rondônia </w:t>
      </w:r>
      <w:r>
        <w:rPr>
          <w:sz w:val="24"/>
        </w:rPr>
        <w:t>está enquadrado como CAU Básico, face aos aportes ao Centro de Serviços</w:t>
      </w:r>
      <w:r>
        <w:rPr>
          <w:spacing w:val="-16"/>
          <w:sz w:val="24"/>
        </w:rPr>
        <w:t> </w:t>
      </w:r>
      <w:r>
        <w:rPr>
          <w:sz w:val="24"/>
        </w:rPr>
        <w:t>Compartilhados.</w:t>
      </w:r>
    </w:p>
    <w:p>
      <w:pPr>
        <w:pStyle w:val="BodyText"/>
        <w:spacing w:before="160"/>
        <w:ind w:left="2554"/>
        <w:jc w:val="both"/>
      </w:pPr>
      <w:r>
        <w:rPr/>
        <w:t>As novas premissas aplicadas, de acordo com a proposta nº 03/2019 do CGFA, são:</w:t>
      </w:r>
    </w:p>
    <w:p>
      <w:pPr>
        <w:pStyle w:val="BodyText"/>
        <w:spacing w:before="1"/>
        <w:rPr>
          <w:sz w:val="25"/>
        </w:rPr>
      </w:pPr>
    </w:p>
    <w:p>
      <w:pPr>
        <w:spacing w:line="360" w:lineRule="auto" w:before="1"/>
        <w:ind w:left="3970" w:right="1131" w:firstLine="0"/>
        <w:jc w:val="left"/>
        <w:rPr>
          <w:b/>
          <w:i/>
          <w:sz w:val="22"/>
        </w:rPr>
      </w:pPr>
      <w:r>
        <w:rPr>
          <w:i/>
          <w:sz w:val="22"/>
        </w:rPr>
        <w:t>“1. Manter o valor do CAU Básico em 2021: de </w:t>
      </w:r>
      <w:r>
        <w:rPr>
          <w:b/>
          <w:i/>
          <w:sz w:val="22"/>
        </w:rPr>
        <w:t>R$ 1.079.376 </w:t>
      </w:r>
      <w:r>
        <w:rPr>
          <w:i/>
          <w:sz w:val="22"/>
        </w:rPr>
        <w:t>(um milhão, </w:t>
      </w:r>
      <w:r>
        <w:rPr>
          <w:i/>
          <w:sz w:val="22"/>
        </w:rPr>
        <w:t>setenta e nove mil, trezentos e setenta e seis reais) para o </w:t>
      </w:r>
      <w:r>
        <w:rPr>
          <w:b/>
          <w:sz w:val="22"/>
        </w:rPr>
        <w:t>Grupo 1</w:t>
      </w:r>
      <w:r>
        <w:rPr>
          <w:i/>
          <w:sz w:val="22"/>
        </w:rPr>
        <w:t>, e </w:t>
      </w:r>
      <w:r>
        <w:rPr>
          <w:b/>
          <w:i/>
          <w:sz w:val="22"/>
        </w:rPr>
        <w:t>R$</w:t>
      </w:r>
    </w:p>
    <w:p>
      <w:pPr>
        <w:spacing w:line="360" w:lineRule="auto" w:before="0"/>
        <w:ind w:left="3970" w:right="930" w:firstLine="0"/>
        <w:jc w:val="left"/>
        <w:rPr>
          <w:b/>
          <w:sz w:val="22"/>
        </w:rPr>
      </w:pPr>
      <w:r>
        <w:rPr>
          <w:b/>
          <w:i/>
          <w:sz w:val="22"/>
        </w:rPr>
        <w:t>1.124.350</w:t>
      </w:r>
      <w:r>
        <w:rPr>
          <w:b/>
          <w:i/>
          <w:spacing w:val="-10"/>
          <w:sz w:val="22"/>
        </w:rPr>
        <w:t> </w:t>
      </w:r>
      <w:r>
        <w:rPr>
          <w:i/>
          <w:sz w:val="22"/>
        </w:rPr>
        <w:t>(um</w:t>
      </w:r>
      <w:r>
        <w:rPr>
          <w:i/>
          <w:spacing w:val="-10"/>
          <w:sz w:val="22"/>
        </w:rPr>
        <w:t> </w:t>
      </w:r>
      <w:r>
        <w:rPr>
          <w:i/>
          <w:sz w:val="22"/>
        </w:rPr>
        <w:t>milhão,</w:t>
      </w:r>
      <w:r>
        <w:rPr>
          <w:i/>
          <w:spacing w:val="-12"/>
          <w:sz w:val="22"/>
        </w:rPr>
        <w:t> </w:t>
      </w:r>
      <w:r>
        <w:rPr>
          <w:i/>
          <w:sz w:val="22"/>
        </w:rPr>
        <w:t>cento</w:t>
      </w:r>
      <w:r>
        <w:rPr>
          <w:i/>
          <w:spacing w:val="-11"/>
          <w:sz w:val="22"/>
        </w:rPr>
        <w:t> </w:t>
      </w:r>
      <w:r>
        <w:rPr>
          <w:i/>
          <w:sz w:val="22"/>
        </w:rPr>
        <w:t>e</w:t>
      </w:r>
      <w:r>
        <w:rPr>
          <w:i/>
          <w:spacing w:val="-10"/>
          <w:sz w:val="22"/>
        </w:rPr>
        <w:t> </w:t>
      </w:r>
      <w:r>
        <w:rPr>
          <w:i/>
          <w:sz w:val="22"/>
        </w:rPr>
        <w:t>vinte</w:t>
      </w:r>
      <w:r>
        <w:rPr>
          <w:i/>
          <w:spacing w:val="-11"/>
          <w:sz w:val="22"/>
        </w:rPr>
        <w:t> </w:t>
      </w:r>
      <w:r>
        <w:rPr>
          <w:i/>
          <w:sz w:val="22"/>
        </w:rPr>
        <w:t>e</w:t>
      </w:r>
      <w:r>
        <w:rPr>
          <w:i/>
          <w:spacing w:val="-13"/>
          <w:sz w:val="22"/>
        </w:rPr>
        <w:t> </w:t>
      </w:r>
      <w:r>
        <w:rPr>
          <w:i/>
          <w:sz w:val="22"/>
        </w:rPr>
        <w:t>quatro</w:t>
      </w:r>
      <w:r>
        <w:rPr>
          <w:i/>
          <w:spacing w:val="-13"/>
          <w:sz w:val="22"/>
        </w:rPr>
        <w:t> </w:t>
      </w:r>
      <w:r>
        <w:rPr>
          <w:i/>
          <w:sz w:val="22"/>
        </w:rPr>
        <w:t>mil,</w:t>
      </w:r>
      <w:r>
        <w:rPr>
          <w:i/>
          <w:spacing w:val="-11"/>
          <w:sz w:val="22"/>
        </w:rPr>
        <w:t> </w:t>
      </w:r>
      <w:r>
        <w:rPr>
          <w:i/>
          <w:sz w:val="22"/>
        </w:rPr>
        <w:t>trezentos</w:t>
      </w:r>
      <w:r>
        <w:rPr>
          <w:i/>
          <w:spacing w:val="-11"/>
          <w:sz w:val="22"/>
        </w:rPr>
        <w:t> </w:t>
      </w:r>
      <w:r>
        <w:rPr>
          <w:i/>
          <w:sz w:val="22"/>
        </w:rPr>
        <w:t>e</w:t>
      </w:r>
      <w:r>
        <w:rPr>
          <w:i/>
          <w:spacing w:val="-10"/>
          <w:sz w:val="22"/>
        </w:rPr>
        <w:t> </w:t>
      </w:r>
      <w:r>
        <w:rPr>
          <w:i/>
          <w:sz w:val="22"/>
        </w:rPr>
        <w:t>cinquenta</w:t>
      </w:r>
      <w:r>
        <w:rPr>
          <w:i/>
          <w:spacing w:val="-11"/>
          <w:sz w:val="22"/>
        </w:rPr>
        <w:t> </w:t>
      </w:r>
      <w:r>
        <w:rPr>
          <w:i/>
          <w:sz w:val="22"/>
        </w:rPr>
        <w:t>reais) </w:t>
      </w:r>
      <w:r>
        <w:rPr>
          <w:i/>
          <w:sz w:val="22"/>
        </w:rPr>
        <w:t>para o </w:t>
      </w:r>
      <w:r>
        <w:rPr>
          <w:b/>
          <w:sz w:val="22"/>
        </w:rPr>
        <w:t>Grupo</w:t>
      </w:r>
      <w:r>
        <w:rPr>
          <w:b/>
          <w:spacing w:val="-2"/>
          <w:sz w:val="22"/>
        </w:rPr>
        <w:t> </w:t>
      </w:r>
      <w:r>
        <w:rPr>
          <w:b/>
          <w:sz w:val="22"/>
        </w:rPr>
        <w:t>2.</w:t>
      </w:r>
    </w:p>
    <w:p>
      <w:pPr>
        <w:spacing w:line="360" w:lineRule="auto" w:before="159"/>
        <w:ind w:left="3970" w:right="1131" w:firstLine="0"/>
        <w:jc w:val="left"/>
        <w:rPr>
          <w:i/>
          <w:sz w:val="22"/>
        </w:rPr>
      </w:pPr>
      <w:r>
        <w:rPr>
          <w:i/>
          <w:sz w:val="22"/>
        </w:rPr>
        <w:t>2. Os CAU Básicos estão divididos em dois grupos para fins de equilíbrio </w:t>
      </w:r>
      <w:r>
        <w:rPr>
          <w:i/>
          <w:sz w:val="22"/>
        </w:rPr>
        <w:t>orçamentário conforme as necessidades analisadas:</w:t>
      </w:r>
    </w:p>
    <w:p>
      <w:pPr>
        <w:spacing w:line="360" w:lineRule="auto" w:before="160"/>
        <w:ind w:left="3970" w:right="1129" w:firstLine="0"/>
        <w:jc w:val="left"/>
        <w:rPr>
          <w:i/>
          <w:sz w:val="22"/>
        </w:rPr>
      </w:pPr>
      <w:r>
        <w:rPr>
          <w:b/>
          <w:i/>
          <w:sz w:val="22"/>
        </w:rPr>
        <w:t>Grupo 1</w:t>
      </w:r>
      <w:r>
        <w:rPr>
          <w:i/>
          <w:sz w:val="22"/>
        </w:rPr>
        <w:t>: CAU Básico com até 1.200 (um mil e duzentos) registros ativos (AC, </w:t>
      </w:r>
      <w:r>
        <w:rPr>
          <w:i/>
          <w:sz w:val="22"/>
        </w:rPr>
        <w:t>AP, RR e TO); e</w:t>
      </w:r>
    </w:p>
    <w:p>
      <w:pPr>
        <w:spacing w:line="360" w:lineRule="auto" w:before="159"/>
        <w:ind w:left="3970" w:right="1131" w:firstLine="0"/>
        <w:jc w:val="left"/>
        <w:rPr>
          <w:i/>
          <w:sz w:val="22"/>
        </w:rPr>
      </w:pPr>
      <w:r>
        <w:rPr>
          <w:b/>
          <w:i/>
          <w:sz w:val="22"/>
        </w:rPr>
        <w:t>Grupo 2: </w:t>
      </w:r>
      <w:r>
        <w:rPr>
          <w:i/>
          <w:sz w:val="22"/>
        </w:rPr>
        <w:t>CAU Básico com 1.201 (um mil, duzentos e um) ou mais registros </w:t>
      </w:r>
      <w:r>
        <w:rPr>
          <w:i/>
          <w:sz w:val="22"/>
        </w:rPr>
        <w:t>ativos (AL, AM, MA, PI, RO e SE).</w:t>
      </w:r>
    </w:p>
    <w:p>
      <w:pPr>
        <w:spacing w:line="360" w:lineRule="auto" w:before="162"/>
        <w:ind w:left="1702" w:right="1124" w:firstLine="851"/>
        <w:jc w:val="both"/>
        <w:rPr>
          <w:b/>
          <w:i/>
          <w:sz w:val="24"/>
        </w:rPr>
      </w:pPr>
      <w:r>
        <w:rPr>
          <w:sz w:val="24"/>
        </w:rPr>
        <w:t>Considerando o valor proposto para o CAU Básico, em 2021, o valor destinado a suportar a gestão do Fundo de Apoio, na forma aprovada nas Resoluções nº 27, 68, 72, 97 e 119, os recursos que serão aportados no CSC na forma definida na Resolução nº 126, 157 e 183, e os recursos para custear a participação dos Presidentes nas reuniões Plenárias Ampliadas, o total de recursos necessários a suportar a operação dos CAU Básicos é de </w:t>
      </w:r>
      <w:r>
        <w:rPr>
          <w:b/>
          <w:sz w:val="24"/>
        </w:rPr>
        <w:t>R$ 4,722 milhões, os quais serão </w:t>
      </w:r>
      <w:r>
        <w:rPr>
          <w:b/>
          <w:i/>
          <w:sz w:val="24"/>
        </w:rPr>
        <w:t>custeados pelos aportes dos CAU/UF e do CAU/BR ao Fundo </w:t>
      </w:r>
      <w:r>
        <w:rPr>
          <w:b/>
          <w:i/>
          <w:sz w:val="24"/>
        </w:rPr>
        <w:t>de Apoio, no montante de R$ 4,486 milhões, o que representa, 2,7% da arrecadação</w:t>
      </w:r>
    </w:p>
    <w:p>
      <w:pPr>
        <w:spacing w:after="0" w:line="360" w:lineRule="auto"/>
        <w:jc w:val="both"/>
        <w:rPr>
          <w:sz w:val="24"/>
        </w:rPr>
        <w:sectPr>
          <w:pgSz w:w="11910" w:h="16840"/>
          <w:pgMar w:header="590" w:footer="612" w:top="1460" w:bottom="800" w:left="0" w:right="0"/>
        </w:sectPr>
      </w:pPr>
    </w:p>
    <w:p>
      <w:pPr>
        <w:pStyle w:val="BodyText"/>
        <w:spacing w:before="5"/>
        <w:rPr>
          <w:b/>
          <w:i/>
          <w:sz w:val="14"/>
        </w:rPr>
      </w:pPr>
    </w:p>
    <w:p>
      <w:pPr>
        <w:spacing w:line="360" w:lineRule="auto" w:before="51"/>
        <w:ind w:left="1702" w:right="1134" w:firstLine="0"/>
        <w:jc w:val="both"/>
        <w:rPr>
          <w:b/>
          <w:i/>
          <w:sz w:val="24"/>
        </w:rPr>
      </w:pPr>
      <w:r>
        <w:rPr>
          <w:b/>
          <w:i/>
          <w:sz w:val="24"/>
        </w:rPr>
        <w:t>projetada do CAU para 2020, e pela utilização de saldo de recursos existentes no Fundo de </w:t>
      </w:r>
      <w:r>
        <w:rPr>
          <w:b/>
          <w:i/>
          <w:sz w:val="24"/>
        </w:rPr>
        <w:t>Apoio, no valor de R$ 235,85 mil.</w:t>
      </w:r>
    </w:p>
    <w:p>
      <w:pPr>
        <w:pStyle w:val="BodyText"/>
        <w:spacing w:line="360" w:lineRule="auto" w:before="161"/>
        <w:ind w:left="1702" w:right="1126" w:firstLine="851"/>
        <w:jc w:val="both"/>
        <w:rPr>
          <w:i/>
        </w:rPr>
      </w:pPr>
      <w:r>
        <w:rPr/>
        <w:t>Comparativamente a 2020 (R$ 3,411 milhões), verifica-se que a programação a ser suportada nos CAU Básicos, em 2021, apresenta um incremento de R$ 1,311 milhão. No tocante aos aportes a serem efetuados pelos CAU/UF e pelo CAU/BR ao Fundo de Apoio, em 2021 no valor de R$ 4,486 milhões, verifica-se um aumento de R$ 1,465 milhões ou 48,5% frente aos aportes em 2020 (R$ 3,021 milhões). </w:t>
      </w:r>
      <w:r>
        <w:rPr>
          <w:i/>
        </w:rPr>
        <w:t>O detalhamento e o aporte de recursos pelos </w:t>
      </w:r>
      <w:r>
        <w:rPr>
          <w:i/>
        </w:rPr>
        <w:t>CAU/UF e CAU/BR constam dos Anexos VI e VI.I.</w:t>
      </w:r>
    </w:p>
    <w:p>
      <w:pPr>
        <w:pStyle w:val="BodyText"/>
        <w:spacing w:line="360" w:lineRule="auto" w:before="159"/>
        <w:ind w:left="1702" w:right="1126" w:firstLine="851"/>
        <w:jc w:val="both"/>
      </w:pPr>
      <w:r>
        <w:rPr/>
        <w:t>Cabe salientar que os CAU Básico, na elaboração de sua programação para 2021, deverão observar com maior rigor todos os procedimentos e estratégias estabelecidas nas presentes Diretrizes e na Resolução nº 119, valendo ressaltar “Art. 6° Os recursos provenientes</w:t>
      </w:r>
      <w:r>
        <w:rPr>
          <w:spacing w:val="-6"/>
        </w:rPr>
        <w:t> </w:t>
      </w:r>
      <w:r>
        <w:rPr/>
        <w:t>do</w:t>
      </w:r>
      <w:r>
        <w:rPr>
          <w:spacing w:val="-4"/>
        </w:rPr>
        <w:t> </w:t>
      </w:r>
      <w:r>
        <w:rPr/>
        <w:t>Fundo</w:t>
      </w:r>
      <w:r>
        <w:rPr>
          <w:spacing w:val="-6"/>
        </w:rPr>
        <w:t> </w:t>
      </w:r>
      <w:r>
        <w:rPr/>
        <w:t>de</w:t>
      </w:r>
      <w:r>
        <w:rPr>
          <w:spacing w:val="-3"/>
        </w:rPr>
        <w:t> </w:t>
      </w:r>
      <w:r>
        <w:rPr/>
        <w:t>Apoio</w:t>
      </w:r>
      <w:r>
        <w:rPr>
          <w:spacing w:val="-5"/>
        </w:rPr>
        <w:t> </w:t>
      </w:r>
      <w:r>
        <w:rPr/>
        <w:t>deverão</w:t>
      </w:r>
      <w:r>
        <w:rPr>
          <w:spacing w:val="-4"/>
        </w:rPr>
        <w:t> </w:t>
      </w:r>
      <w:r>
        <w:rPr/>
        <w:t>ser</w:t>
      </w:r>
      <w:r>
        <w:rPr>
          <w:spacing w:val="-6"/>
        </w:rPr>
        <w:t> </w:t>
      </w:r>
      <w:r>
        <w:rPr/>
        <w:t>utilizados</w:t>
      </w:r>
      <w:r>
        <w:rPr>
          <w:spacing w:val="-6"/>
        </w:rPr>
        <w:t> </w:t>
      </w:r>
      <w:r>
        <w:rPr/>
        <w:t>em</w:t>
      </w:r>
      <w:r>
        <w:rPr>
          <w:spacing w:val="-5"/>
        </w:rPr>
        <w:t> </w:t>
      </w:r>
      <w:r>
        <w:rPr/>
        <w:t>estrita</w:t>
      </w:r>
      <w:r>
        <w:rPr>
          <w:spacing w:val="-2"/>
        </w:rPr>
        <w:t> </w:t>
      </w:r>
      <w:r>
        <w:rPr/>
        <w:t>conformidade</w:t>
      </w:r>
      <w:r>
        <w:rPr>
          <w:spacing w:val="-6"/>
        </w:rPr>
        <w:t> </w:t>
      </w:r>
      <w:r>
        <w:rPr/>
        <w:t>com</w:t>
      </w:r>
      <w:r>
        <w:rPr>
          <w:spacing w:val="-6"/>
        </w:rPr>
        <w:t> </w:t>
      </w:r>
      <w:r>
        <w:rPr/>
        <w:t>o</w:t>
      </w:r>
      <w:r>
        <w:rPr>
          <w:spacing w:val="-3"/>
        </w:rPr>
        <w:t> </w:t>
      </w:r>
      <w:r>
        <w:rPr/>
        <w:t>Plano de Ação aprovado, sendo vedada a sua utilização para despesas de capital”. E ainda, a participação nas reuniões plenárias ampliadas e o CSC devem ser custeados pelo Fundo de Apoio.</w:t>
      </w:r>
    </w:p>
    <w:p>
      <w:pPr>
        <w:spacing w:line="360" w:lineRule="auto" w:before="160"/>
        <w:ind w:left="1702" w:right="1127" w:firstLine="851"/>
        <w:jc w:val="both"/>
        <w:rPr>
          <w:b/>
          <w:i/>
          <w:sz w:val="24"/>
        </w:rPr>
      </w:pPr>
      <w:r>
        <w:rPr>
          <w:b/>
          <w:i/>
          <w:sz w:val="24"/>
        </w:rPr>
        <w:t>No</w:t>
      </w:r>
      <w:r>
        <w:rPr>
          <w:b/>
          <w:i/>
          <w:spacing w:val="-14"/>
          <w:sz w:val="24"/>
        </w:rPr>
        <w:t> </w:t>
      </w:r>
      <w:r>
        <w:rPr>
          <w:b/>
          <w:i/>
          <w:sz w:val="24"/>
        </w:rPr>
        <w:t>período</w:t>
      </w:r>
      <w:r>
        <w:rPr>
          <w:b/>
          <w:i/>
          <w:spacing w:val="-15"/>
          <w:sz w:val="24"/>
        </w:rPr>
        <w:t> </w:t>
      </w:r>
      <w:r>
        <w:rPr>
          <w:b/>
          <w:i/>
          <w:sz w:val="24"/>
        </w:rPr>
        <w:t>de</w:t>
      </w:r>
      <w:r>
        <w:rPr>
          <w:b/>
          <w:i/>
          <w:spacing w:val="-13"/>
          <w:sz w:val="24"/>
        </w:rPr>
        <w:t> </w:t>
      </w:r>
      <w:r>
        <w:rPr>
          <w:b/>
          <w:i/>
          <w:sz w:val="24"/>
        </w:rPr>
        <w:t>execução</w:t>
      </w:r>
      <w:r>
        <w:rPr>
          <w:b/>
          <w:i/>
          <w:spacing w:val="-13"/>
          <w:sz w:val="24"/>
        </w:rPr>
        <w:t> </w:t>
      </w:r>
      <w:r>
        <w:rPr>
          <w:b/>
          <w:i/>
          <w:sz w:val="24"/>
        </w:rPr>
        <w:t>do</w:t>
      </w:r>
      <w:r>
        <w:rPr>
          <w:b/>
          <w:i/>
          <w:spacing w:val="-14"/>
          <w:sz w:val="24"/>
        </w:rPr>
        <w:t> </w:t>
      </w:r>
      <w:r>
        <w:rPr>
          <w:b/>
          <w:i/>
          <w:sz w:val="24"/>
        </w:rPr>
        <w:t>Plano</w:t>
      </w:r>
      <w:r>
        <w:rPr>
          <w:b/>
          <w:i/>
          <w:spacing w:val="-13"/>
          <w:sz w:val="24"/>
        </w:rPr>
        <w:t> </w:t>
      </w:r>
      <w:r>
        <w:rPr>
          <w:b/>
          <w:i/>
          <w:sz w:val="24"/>
        </w:rPr>
        <w:t>de</w:t>
      </w:r>
      <w:r>
        <w:rPr>
          <w:b/>
          <w:i/>
          <w:spacing w:val="-16"/>
          <w:sz w:val="24"/>
        </w:rPr>
        <w:t> </w:t>
      </w:r>
      <w:r>
        <w:rPr>
          <w:b/>
          <w:i/>
          <w:sz w:val="24"/>
        </w:rPr>
        <w:t>Ação</w:t>
      </w:r>
      <w:r>
        <w:rPr>
          <w:b/>
          <w:i/>
          <w:spacing w:val="-15"/>
          <w:sz w:val="24"/>
        </w:rPr>
        <w:t> </w:t>
      </w:r>
      <w:r>
        <w:rPr>
          <w:b/>
          <w:i/>
          <w:sz w:val="24"/>
        </w:rPr>
        <w:t>a</w:t>
      </w:r>
      <w:r>
        <w:rPr>
          <w:b/>
          <w:i/>
          <w:spacing w:val="-13"/>
          <w:sz w:val="24"/>
        </w:rPr>
        <w:t> </w:t>
      </w:r>
      <w:r>
        <w:rPr>
          <w:b/>
          <w:i/>
          <w:sz w:val="24"/>
        </w:rPr>
        <w:t>ser</w:t>
      </w:r>
      <w:r>
        <w:rPr>
          <w:b/>
          <w:i/>
          <w:spacing w:val="-14"/>
          <w:sz w:val="24"/>
        </w:rPr>
        <w:t> </w:t>
      </w:r>
      <w:r>
        <w:rPr>
          <w:b/>
          <w:i/>
          <w:sz w:val="24"/>
        </w:rPr>
        <w:t>aprovado</w:t>
      </w:r>
      <w:r>
        <w:rPr>
          <w:b/>
          <w:i/>
          <w:spacing w:val="-16"/>
          <w:sz w:val="24"/>
        </w:rPr>
        <w:t> </w:t>
      </w:r>
      <w:r>
        <w:rPr>
          <w:b/>
          <w:i/>
          <w:sz w:val="24"/>
        </w:rPr>
        <w:t>para</w:t>
      </w:r>
      <w:r>
        <w:rPr>
          <w:b/>
          <w:i/>
          <w:spacing w:val="-14"/>
          <w:sz w:val="24"/>
        </w:rPr>
        <w:t> </w:t>
      </w:r>
      <w:r>
        <w:rPr>
          <w:b/>
          <w:i/>
          <w:sz w:val="24"/>
        </w:rPr>
        <w:t>2021,</w:t>
      </w:r>
      <w:r>
        <w:rPr>
          <w:b/>
          <w:i/>
          <w:spacing w:val="-13"/>
          <w:sz w:val="24"/>
        </w:rPr>
        <w:t> </w:t>
      </w:r>
      <w:r>
        <w:rPr>
          <w:b/>
          <w:i/>
          <w:sz w:val="24"/>
        </w:rPr>
        <w:t>havendo</w:t>
      </w:r>
      <w:r>
        <w:rPr>
          <w:b/>
          <w:i/>
          <w:spacing w:val="-13"/>
          <w:sz w:val="24"/>
        </w:rPr>
        <w:t> </w:t>
      </w:r>
      <w:r>
        <w:rPr>
          <w:b/>
          <w:i/>
          <w:sz w:val="24"/>
        </w:rPr>
        <w:t>novos </w:t>
      </w:r>
      <w:r>
        <w:rPr>
          <w:b/>
          <w:i/>
          <w:sz w:val="24"/>
        </w:rPr>
        <w:t>critérios, procedimentos e/ou valores que venham a serem aprovados, e que impactem os atuais procedimentos, os ajustes necessários à programação serão objeto de proposta de Reprogramação do Plano de Ação em</w:t>
      </w:r>
      <w:r>
        <w:rPr>
          <w:b/>
          <w:i/>
          <w:spacing w:val="2"/>
          <w:sz w:val="24"/>
        </w:rPr>
        <w:t> </w:t>
      </w:r>
      <w:r>
        <w:rPr>
          <w:b/>
          <w:i/>
          <w:sz w:val="24"/>
        </w:rPr>
        <w:t>2021.</w:t>
      </w:r>
    </w:p>
    <w:p>
      <w:pPr>
        <w:pStyle w:val="BodyText"/>
        <w:rPr>
          <w:b/>
          <w:i/>
        </w:rPr>
      </w:pPr>
    </w:p>
    <w:p>
      <w:pPr>
        <w:pStyle w:val="BodyText"/>
        <w:spacing w:before="6"/>
        <w:rPr>
          <w:b/>
          <w:i/>
          <w:sz w:val="25"/>
        </w:rPr>
      </w:pPr>
    </w:p>
    <w:p>
      <w:pPr>
        <w:pStyle w:val="Heading3"/>
        <w:numPr>
          <w:ilvl w:val="1"/>
          <w:numId w:val="2"/>
        </w:numPr>
        <w:tabs>
          <w:tab w:pos="2979" w:val="left" w:leader="none"/>
        </w:tabs>
        <w:spacing w:line="357" w:lineRule="auto" w:before="0" w:after="0"/>
        <w:ind w:left="1702" w:right="1132" w:firstLine="851"/>
        <w:jc w:val="both"/>
      </w:pPr>
      <w:bookmarkStart w:name="_bookmark14" w:id="24"/>
      <w:bookmarkEnd w:id="24"/>
      <w:r>
        <w:rPr>
          <w:b w:val="0"/>
        </w:rPr>
      </w:r>
      <w:bookmarkStart w:name="_bookmark14" w:id="25"/>
      <w:bookmarkEnd w:id="25"/>
      <w:r>
        <w:rPr>
          <w:color w:val="006666"/>
        </w:rPr>
        <w:t>D</w:t>
      </w:r>
      <w:r>
        <w:rPr>
          <w:color w:val="006666"/>
        </w:rPr>
        <w:t>estinação de Recursos para o Centro de Serviços Compartilhados dos Conselhos de Arquitetura e</w:t>
      </w:r>
      <w:r>
        <w:rPr>
          <w:color w:val="006666"/>
          <w:spacing w:val="-4"/>
        </w:rPr>
        <w:t> </w:t>
      </w:r>
      <w:r>
        <w:rPr>
          <w:color w:val="006666"/>
        </w:rPr>
        <w:t>Urbanismo</w:t>
      </w:r>
    </w:p>
    <w:p>
      <w:pPr>
        <w:pStyle w:val="BodyText"/>
        <w:spacing w:line="360" w:lineRule="auto" w:before="203"/>
        <w:ind w:left="1702" w:right="1126" w:firstLine="851"/>
        <w:jc w:val="both"/>
      </w:pPr>
      <w:r>
        <w:rPr/>
        <w:t>Frente às estratégias que vem sendo adotadas, focando a incorporação dos recursos a serem aportados pelos CAU/UF, para o Centro de Serviços Compartilhados, ou seja, compondo as metas para o alcance da destinação estratégica de recursos às iniciativas estratégicas de “Atendimento” e “Fiscalização”, principais ações envolvidas nos produtos e serviços</w:t>
      </w:r>
      <w:r>
        <w:rPr>
          <w:spacing w:val="-14"/>
        </w:rPr>
        <w:t> </w:t>
      </w:r>
      <w:r>
        <w:rPr/>
        <w:t>executados</w:t>
      </w:r>
      <w:r>
        <w:rPr>
          <w:spacing w:val="-13"/>
        </w:rPr>
        <w:t> </w:t>
      </w:r>
      <w:r>
        <w:rPr/>
        <w:t>pelo</w:t>
      </w:r>
      <w:r>
        <w:rPr>
          <w:spacing w:val="-14"/>
        </w:rPr>
        <w:t> </w:t>
      </w:r>
      <w:r>
        <w:rPr/>
        <w:t>CSC,</w:t>
      </w:r>
      <w:r>
        <w:rPr>
          <w:spacing w:val="-14"/>
        </w:rPr>
        <w:t> </w:t>
      </w:r>
      <w:r>
        <w:rPr/>
        <w:t>o</w:t>
      </w:r>
      <w:r>
        <w:rPr>
          <w:spacing w:val="-11"/>
        </w:rPr>
        <w:t> </w:t>
      </w:r>
      <w:r>
        <w:rPr/>
        <w:t>CAU/BR</w:t>
      </w:r>
      <w:r>
        <w:rPr>
          <w:spacing w:val="-14"/>
        </w:rPr>
        <w:t> </w:t>
      </w:r>
      <w:r>
        <w:rPr/>
        <w:t>e</w:t>
      </w:r>
      <w:r>
        <w:rPr>
          <w:spacing w:val="-13"/>
        </w:rPr>
        <w:t> </w:t>
      </w:r>
      <w:r>
        <w:rPr/>
        <w:t>os</w:t>
      </w:r>
      <w:r>
        <w:rPr>
          <w:spacing w:val="-13"/>
        </w:rPr>
        <w:t> </w:t>
      </w:r>
      <w:r>
        <w:rPr/>
        <w:t>CAU/UF</w:t>
      </w:r>
      <w:r>
        <w:rPr>
          <w:spacing w:val="-14"/>
        </w:rPr>
        <w:t> </w:t>
      </w:r>
      <w:r>
        <w:rPr/>
        <w:t>deverão,</w:t>
      </w:r>
      <w:r>
        <w:rPr>
          <w:spacing w:val="-13"/>
        </w:rPr>
        <w:t> </w:t>
      </w:r>
      <w:r>
        <w:rPr/>
        <w:t>em</w:t>
      </w:r>
      <w:r>
        <w:rPr>
          <w:spacing w:val="-14"/>
        </w:rPr>
        <w:t> </w:t>
      </w:r>
      <w:r>
        <w:rPr>
          <w:b/>
        </w:rPr>
        <w:t>duas</w:t>
      </w:r>
      <w:r>
        <w:rPr>
          <w:b/>
          <w:spacing w:val="-13"/>
        </w:rPr>
        <w:t> </w:t>
      </w:r>
      <w:r>
        <w:rPr>
          <w:b/>
        </w:rPr>
        <w:t>atividades</w:t>
      </w:r>
      <w:r>
        <w:rPr>
          <w:b/>
          <w:spacing w:val="-13"/>
        </w:rPr>
        <w:t> </w:t>
      </w:r>
      <w:r>
        <w:rPr>
          <w:b/>
        </w:rPr>
        <w:t>específicas </w:t>
      </w:r>
      <w:r>
        <w:rPr/>
        <w:t>no seu Plano de Ação</w:t>
      </w:r>
      <w:r>
        <w:rPr>
          <w:b/>
        </w:rPr>
        <w:t>, sendo uma vinculada ao objetivo estratégico de Fiscalização e outra ao de Atendimento</w:t>
      </w:r>
      <w:r>
        <w:rPr/>
        <w:t>, aportar recursos destinados a suportar os serviços e sistemas compartilhados</w:t>
      </w:r>
      <w:r>
        <w:rPr>
          <w:spacing w:val="22"/>
        </w:rPr>
        <w:t> </w:t>
      </w:r>
      <w:r>
        <w:rPr/>
        <w:t>pelo</w:t>
      </w:r>
      <w:r>
        <w:rPr>
          <w:spacing w:val="24"/>
        </w:rPr>
        <w:t> </w:t>
      </w:r>
      <w:r>
        <w:rPr/>
        <w:t>Conselho</w:t>
      </w:r>
      <w:r>
        <w:rPr>
          <w:spacing w:val="23"/>
        </w:rPr>
        <w:t> </w:t>
      </w:r>
      <w:r>
        <w:rPr/>
        <w:t>e</w:t>
      </w:r>
      <w:r>
        <w:rPr>
          <w:spacing w:val="23"/>
        </w:rPr>
        <w:t> </w:t>
      </w:r>
      <w:r>
        <w:rPr/>
        <w:t>gerenciados,</w:t>
      </w:r>
      <w:r>
        <w:rPr>
          <w:spacing w:val="26"/>
        </w:rPr>
        <w:t> </w:t>
      </w:r>
      <w:r>
        <w:rPr/>
        <w:t>em</w:t>
      </w:r>
      <w:r>
        <w:rPr>
          <w:spacing w:val="25"/>
        </w:rPr>
        <w:t> </w:t>
      </w:r>
      <w:r>
        <w:rPr/>
        <w:t>âmbito</w:t>
      </w:r>
      <w:r>
        <w:rPr>
          <w:spacing w:val="23"/>
        </w:rPr>
        <w:t> </w:t>
      </w:r>
      <w:r>
        <w:rPr/>
        <w:t>nacional,</w:t>
      </w:r>
      <w:r>
        <w:rPr>
          <w:spacing w:val="22"/>
        </w:rPr>
        <w:t> </w:t>
      </w:r>
      <w:r>
        <w:rPr/>
        <w:t>pelo</w:t>
      </w:r>
      <w:r>
        <w:rPr>
          <w:spacing w:val="23"/>
        </w:rPr>
        <w:t> </w:t>
      </w:r>
      <w:r>
        <w:rPr/>
        <w:t>CAU/BR,</w:t>
      </w:r>
      <w:r>
        <w:rPr>
          <w:spacing w:val="23"/>
        </w:rPr>
        <w:t> </w:t>
      </w:r>
      <w:r>
        <w:rPr/>
        <w:t>na</w:t>
      </w:r>
      <w:r>
        <w:rPr>
          <w:spacing w:val="22"/>
        </w:rPr>
        <w:t> </w:t>
      </w:r>
      <w:r>
        <w:rPr/>
        <w:t>forma</w:t>
      </w:r>
    </w:p>
    <w:p>
      <w:pPr>
        <w:spacing w:after="0" w:line="360" w:lineRule="auto"/>
        <w:jc w:val="both"/>
        <w:sectPr>
          <w:pgSz w:w="11910" w:h="16840"/>
          <w:pgMar w:header="590" w:footer="612" w:top="1460" w:bottom="800" w:left="0" w:right="0"/>
        </w:sectPr>
      </w:pPr>
    </w:p>
    <w:p>
      <w:pPr>
        <w:pStyle w:val="BodyText"/>
        <w:spacing w:before="5"/>
        <w:rPr>
          <w:sz w:val="14"/>
        </w:rPr>
      </w:pPr>
    </w:p>
    <w:p>
      <w:pPr>
        <w:spacing w:line="360" w:lineRule="auto" w:before="51"/>
        <w:ind w:left="1702" w:right="1125" w:firstLine="0"/>
        <w:jc w:val="both"/>
        <w:rPr>
          <w:b/>
          <w:sz w:val="24"/>
        </w:rPr>
      </w:pPr>
      <w:r>
        <w:rPr>
          <w:sz w:val="24"/>
        </w:rPr>
        <w:t>aprovada para o exercício. Nesse contexto, do total de recursos destinados ao </w:t>
      </w:r>
      <w:r>
        <w:rPr>
          <w:b/>
          <w:sz w:val="24"/>
        </w:rPr>
        <w:t>CSC – serviços essenciais</w:t>
      </w:r>
      <w:r>
        <w:rPr>
          <w:sz w:val="24"/>
        </w:rPr>
        <w:t>, para a atividade vinculada ao objetivo estratégico de </w:t>
      </w:r>
      <w:r>
        <w:rPr>
          <w:b/>
          <w:sz w:val="24"/>
        </w:rPr>
        <w:t>"Tornar a fiscalização um vetor de melhoria do exercício da Arquitetura e Urbanismo” </w:t>
      </w:r>
      <w:r>
        <w:rPr>
          <w:sz w:val="24"/>
        </w:rPr>
        <w:t>deverão ser destinados </w:t>
      </w:r>
      <w:r>
        <w:rPr>
          <w:b/>
          <w:sz w:val="24"/>
        </w:rPr>
        <w:t>89,2% </w:t>
      </w:r>
      <w:r>
        <w:rPr>
          <w:sz w:val="24"/>
        </w:rPr>
        <w:t>desse total, enquanto que a atividade vinculada ao objetivo estratégico </w:t>
      </w:r>
      <w:r>
        <w:rPr>
          <w:b/>
          <w:sz w:val="24"/>
        </w:rPr>
        <w:t>"Assegurar a eficácia no atendimento e no relacionamento com os arquitetos e urbanistas e a sociedade" </w:t>
      </w:r>
      <w:r>
        <w:rPr>
          <w:sz w:val="24"/>
        </w:rPr>
        <w:t>responderá por </w:t>
      </w:r>
      <w:r>
        <w:rPr>
          <w:b/>
          <w:sz w:val="24"/>
        </w:rPr>
        <w:t>10,8%. </w:t>
      </w:r>
      <w:r>
        <w:rPr>
          <w:sz w:val="24"/>
        </w:rPr>
        <w:t>Neste, estão compreendidos todos os custos inerentes à plena realização dos serviços abrangidos pela Rede Integrada de Atendimento – RIA, incluindo uma </w:t>
      </w:r>
      <w:r>
        <w:rPr>
          <w:b/>
          <w:sz w:val="24"/>
        </w:rPr>
        <w:t>ação específica </w:t>
      </w:r>
      <w:r>
        <w:rPr>
          <w:sz w:val="24"/>
        </w:rPr>
        <w:t>com o valor dos Serviços Telefônicos do Teleatendimento 0800 e 4007 que consta no </w:t>
      </w:r>
      <w:r>
        <w:rPr>
          <w:b/>
          <w:sz w:val="24"/>
        </w:rPr>
        <w:t>Anexo VII.I.</w:t>
      </w:r>
    </w:p>
    <w:p>
      <w:pPr>
        <w:spacing w:line="360" w:lineRule="auto" w:before="159"/>
        <w:ind w:left="1702" w:right="1126" w:firstLine="851"/>
        <w:jc w:val="both"/>
        <w:rPr>
          <w:sz w:val="24"/>
        </w:rPr>
      </w:pPr>
      <w:r>
        <w:rPr>
          <w:sz w:val="24"/>
        </w:rPr>
        <w:t>Para 2021, os de recursos destinados à operacionalização, à gestão dos sistemas e serviços abrangidos pelo </w:t>
      </w:r>
      <w:r>
        <w:rPr>
          <w:b/>
          <w:sz w:val="24"/>
        </w:rPr>
        <w:t>Centro de Serviços Compartilhados</w:t>
      </w:r>
      <w:r>
        <w:rPr>
          <w:sz w:val="24"/>
        </w:rPr>
        <w:t>, totalizam </w:t>
      </w:r>
      <w:r>
        <w:rPr>
          <w:b/>
          <w:sz w:val="24"/>
        </w:rPr>
        <w:t>R$ 16,239 milhões</w:t>
      </w:r>
      <w:r>
        <w:rPr>
          <w:sz w:val="24"/>
        </w:rPr>
        <w:t>, sendo parte em </w:t>
      </w:r>
      <w:r>
        <w:rPr>
          <w:b/>
          <w:sz w:val="24"/>
        </w:rPr>
        <w:t>Serviços Essenciais, Serviço Telefônico de Teleatendimento (0800 e 4007) e Serviços por adesão (Anexo VII). </w:t>
      </w:r>
      <w:r>
        <w:rPr>
          <w:sz w:val="24"/>
        </w:rPr>
        <w:t>Não há </w:t>
      </w:r>
      <w:r>
        <w:rPr>
          <w:b/>
          <w:sz w:val="24"/>
        </w:rPr>
        <w:t>saldo de recursos existentes no CSC</w:t>
      </w:r>
      <w:r>
        <w:rPr>
          <w:sz w:val="24"/>
        </w:rPr>
        <w:t>.</w:t>
      </w:r>
    </w:p>
    <w:p>
      <w:pPr>
        <w:pStyle w:val="BodyText"/>
        <w:spacing w:line="360" w:lineRule="auto" w:before="161"/>
        <w:ind w:left="1702" w:right="1127" w:firstLine="851"/>
        <w:jc w:val="both"/>
      </w:pPr>
      <w:r>
        <w:rPr/>
        <w:t>No</w:t>
      </w:r>
      <w:r>
        <w:rPr>
          <w:spacing w:val="-3"/>
        </w:rPr>
        <w:t> </w:t>
      </w:r>
      <w:r>
        <w:rPr/>
        <w:t>período</w:t>
      </w:r>
      <w:r>
        <w:rPr>
          <w:spacing w:val="-2"/>
        </w:rPr>
        <w:t> </w:t>
      </w:r>
      <w:r>
        <w:rPr/>
        <w:t>de</w:t>
      </w:r>
      <w:r>
        <w:rPr>
          <w:spacing w:val="-2"/>
        </w:rPr>
        <w:t> </w:t>
      </w:r>
      <w:r>
        <w:rPr/>
        <w:t>execução</w:t>
      </w:r>
      <w:r>
        <w:rPr>
          <w:spacing w:val="-5"/>
        </w:rPr>
        <w:t> </w:t>
      </w:r>
      <w:r>
        <w:rPr/>
        <w:t>do</w:t>
      </w:r>
      <w:r>
        <w:rPr>
          <w:spacing w:val="-3"/>
        </w:rPr>
        <w:t> </w:t>
      </w:r>
      <w:r>
        <w:rPr/>
        <w:t>Plano</w:t>
      </w:r>
      <w:r>
        <w:rPr>
          <w:spacing w:val="-5"/>
        </w:rPr>
        <w:t> </w:t>
      </w:r>
      <w:r>
        <w:rPr/>
        <w:t>de</w:t>
      </w:r>
      <w:r>
        <w:rPr>
          <w:spacing w:val="-2"/>
        </w:rPr>
        <w:t> </w:t>
      </w:r>
      <w:r>
        <w:rPr/>
        <w:t>Ação</w:t>
      </w:r>
      <w:r>
        <w:rPr>
          <w:spacing w:val="-2"/>
        </w:rPr>
        <w:t> </w:t>
      </w:r>
      <w:r>
        <w:rPr/>
        <w:t>a</w:t>
      </w:r>
      <w:r>
        <w:rPr>
          <w:spacing w:val="-6"/>
        </w:rPr>
        <w:t> </w:t>
      </w:r>
      <w:r>
        <w:rPr/>
        <w:t>ser</w:t>
      </w:r>
      <w:r>
        <w:rPr>
          <w:spacing w:val="-3"/>
        </w:rPr>
        <w:t> </w:t>
      </w:r>
      <w:r>
        <w:rPr/>
        <w:t>aprovado</w:t>
      </w:r>
      <w:r>
        <w:rPr>
          <w:spacing w:val="-5"/>
        </w:rPr>
        <w:t> </w:t>
      </w:r>
      <w:r>
        <w:rPr/>
        <w:t>para</w:t>
      </w:r>
      <w:r>
        <w:rPr>
          <w:spacing w:val="-5"/>
        </w:rPr>
        <w:t> </w:t>
      </w:r>
      <w:r>
        <w:rPr/>
        <w:t>2021,</w:t>
      </w:r>
      <w:r>
        <w:rPr>
          <w:spacing w:val="-3"/>
        </w:rPr>
        <w:t> </w:t>
      </w:r>
      <w:r>
        <w:rPr/>
        <w:t>havendo</w:t>
      </w:r>
      <w:r>
        <w:rPr>
          <w:spacing w:val="-6"/>
        </w:rPr>
        <w:t> </w:t>
      </w:r>
      <w:r>
        <w:rPr/>
        <w:t>novos critérios, procedimentos e/ou valores que venham a serem aprovados, e que impactem os atuais procedimentos, os ajustes necessários à programação serão objeto de proposta de Reprogramação do Plano de</w:t>
      </w:r>
      <w:r>
        <w:rPr>
          <w:spacing w:val="-7"/>
        </w:rPr>
        <w:t> </w:t>
      </w:r>
      <w:r>
        <w:rPr/>
        <w:t>Ação.</w:t>
      </w:r>
    </w:p>
    <w:p>
      <w:pPr>
        <w:spacing w:line="360" w:lineRule="auto" w:before="162"/>
        <w:ind w:left="1702" w:right="1125" w:firstLine="851"/>
        <w:jc w:val="both"/>
        <w:rPr>
          <w:sz w:val="24"/>
        </w:rPr>
      </w:pPr>
      <w:r>
        <w:rPr>
          <w:sz w:val="24"/>
        </w:rPr>
        <w:t>No tocante ao </w:t>
      </w:r>
      <w:r>
        <w:rPr>
          <w:b/>
          <w:sz w:val="24"/>
        </w:rPr>
        <w:t>CSC - serviços por adesão, </w:t>
      </w:r>
      <w:r>
        <w:rPr>
          <w:sz w:val="24"/>
        </w:rPr>
        <w:t>modalidade instituída na forma da Resolução nº126, de 15/12/2016</w:t>
      </w:r>
      <w:r>
        <w:rPr>
          <w:b/>
          <w:sz w:val="24"/>
        </w:rPr>
        <w:t>, o montante previsto é de R$ 245,1 mil correspondente ao SISCAF.</w:t>
      </w:r>
      <w:r>
        <w:rPr>
          <w:b/>
          <w:spacing w:val="-7"/>
          <w:sz w:val="24"/>
        </w:rPr>
        <w:t> </w:t>
      </w:r>
      <w:r>
        <w:rPr>
          <w:sz w:val="24"/>
        </w:rPr>
        <w:t>Cabe</w:t>
      </w:r>
      <w:r>
        <w:rPr>
          <w:spacing w:val="-8"/>
          <w:sz w:val="24"/>
        </w:rPr>
        <w:t> </w:t>
      </w:r>
      <w:r>
        <w:rPr>
          <w:sz w:val="24"/>
        </w:rPr>
        <w:t>ressaltar</w:t>
      </w:r>
      <w:r>
        <w:rPr>
          <w:spacing w:val="-5"/>
          <w:sz w:val="24"/>
        </w:rPr>
        <w:t> </w:t>
      </w:r>
      <w:r>
        <w:rPr>
          <w:sz w:val="24"/>
        </w:rPr>
        <w:t>que</w:t>
      </w:r>
      <w:r>
        <w:rPr>
          <w:spacing w:val="-6"/>
          <w:sz w:val="24"/>
        </w:rPr>
        <w:t> </w:t>
      </w:r>
      <w:r>
        <w:rPr>
          <w:sz w:val="24"/>
        </w:rPr>
        <w:t>o</w:t>
      </w:r>
      <w:r>
        <w:rPr>
          <w:spacing w:val="-6"/>
          <w:sz w:val="24"/>
        </w:rPr>
        <w:t> </w:t>
      </w:r>
      <w:r>
        <w:rPr>
          <w:sz w:val="24"/>
        </w:rPr>
        <w:t>valor</w:t>
      </w:r>
      <w:r>
        <w:rPr>
          <w:spacing w:val="-6"/>
          <w:sz w:val="24"/>
        </w:rPr>
        <w:t> </w:t>
      </w:r>
      <w:r>
        <w:rPr>
          <w:sz w:val="24"/>
        </w:rPr>
        <w:t>destinado</w:t>
      </w:r>
      <w:r>
        <w:rPr>
          <w:spacing w:val="-8"/>
          <w:sz w:val="24"/>
        </w:rPr>
        <w:t> </w:t>
      </w:r>
      <w:r>
        <w:rPr>
          <w:sz w:val="24"/>
        </w:rPr>
        <w:t>ao</w:t>
      </w:r>
      <w:r>
        <w:rPr>
          <w:spacing w:val="-6"/>
          <w:sz w:val="24"/>
        </w:rPr>
        <w:t> </w:t>
      </w:r>
      <w:r>
        <w:rPr>
          <w:sz w:val="24"/>
        </w:rPr>
        <w:t>SISCAF</w:t>
      </w:r>
      <w:r>
        <w:rPr>
          <w:spacing w:val="-5"/>
          <w:sz w:val="24"/>
        </w:rPr>
        <w:t> </w:t>
      </w:r>
      <w:r>
        <w:rPr>
          <w:sz w:val="24"/>
        </w:rPr>
        <w:t>se</w:t>
      </w:r>
      <w:r>
        <w:rPr>
          <w:spacing w:val="-6"/>
          <w:sz w:val="24"/>
        </w:rPr>
        <w:t> </w:t>
      </w:r>
      <w:r>
        <w:rPr>
          <w:sz w:val="24"/>
        </w:rPr>
        <w:t>refere</w:t>
      </w:r>
      <w:r>
        <w:rPr>
          <w:spacing w:val="-4"/>
          <w:sz w:val="24"/>
        </w:rPr>
        <w:t> </w:t>
      </w:r>
      <w:r>
        <w:rPr>
          <w:sz w:val="24"/>
        </w:rPr>
        <w:t>à</w:t>
      </w:r>
      <w:r>
        <w:rPr>
          <w:spacing w:val="-7"/>
          <w:sz w:val="24"/>
        </w:rPr>
        <w:t> </w:t>
      </w:r>
      <w:r>
        <w:rPr>
          <w:sz w:val="24"/>
        </w:rPr>
        <w:t>manutenção</w:t>
      </w:r>
      <w:r>
        <w:rPr>
          <w:spacing w:val="-6"/>
          <w:sz w:val="24"/>
        </w:rPr>
        <w:t> </w:t>
      </w:r>
      <w:r>
        <w:rPr>
          <w:sz w:val="24"/>
        </w:rPr>
        <w:t>dos</w:t>
      </w:r>
      <w:r>
        <w:rPr>
          <w:spacing w:val="-7"/>
          <w:sz w:val="24"/>
        </w:rPr>
        <w:t> </w:t>
      </w:r>
      <w:r>
        <w:rPr>
          <w:sz w:val="24"/>
        </w:rPr>
        <w:t>5</w:t>
      </w:r>
      <w:r>
        <w:rPr>
          <w:spacing w:val="-6"/>
          <w:sz w:val="24"/>
        </w:rPr>
        <w:t> </w:t>
      </w:r>
      <w:r>
        <w:rPr>
          <w:sz w:val="24"/>
        </w:rPr>
        <w:t>CAU/UF (CE, PB, RJ, SE e TO) que já solicitaram adesão ao referido sistema. O detalhamento dos serviços envolvidos e os valores constam do Anexo VII.III. Cabe ressaltar que os CAU/UF que aderirem ao SISCAF do CSC deverão incluir uma </w:t>
      </w:r>
      <w:r>
        <w:rPr>
          <w:b/>
          <w:i/>
          <w:sz w:val="24"/>
        </w:rPr>
        <w:t>atividade específica </w:t>
      </w:r>
      <w:r>
        <w:rPr>
          <w:sz w:val="24"/>
        </w:rPr>
        <w:t>em seu Plano de</w:t>
      </w:r>
      <w:r>
        <w:rPr>
          <w:spacing w:val="-24"/>
          <w:sz w:val="24"/>
        </w:rPr>
        <w:t> </w:t>
      </w:r>
      <w:r>
        <w:rPr>
          <w:sz w:val="24"/>
        </w:rPr>
        <w:t>Ação.</w:t>
      </w:r>
    </w:p>
    <w:p>
      <w:pPr>
        <w:spacing w:line="360" w:lineRule="auto" w:before="160"/>
        <w:ind w:left="1702" w:right="1129" w:firstLine="851"/>
        <w:jc w:val="both"/>
        <w:rPr>
          <w:i/>
          <w:sz w:val="24"/>
        </w:rPr>
      </w:pPr>
      <w:r>
        <w:rPr>
          <w:sz w:val="24"/>
        </w:rPr>
        <w:t>Para a SGI, Sistema de gestão Integrada, de acordo com a Proposta nº 004/2019 do Colegiado de Governança do Centro de Serviços Compartilhados assinado no dia 14 de Junho de 2019, foi solicitado que em 2020, todos os Estados utilizem os módulos disponíveis sem custos adicionais, conforme consta no item 4: “</w:t>
      </w:r>
      <w:r>
        <w:rPr>
          <w:i/>
          <w:sz w:val="24"/>
        </w:rPr>
        <w:t>A execução do Plano de Ação do SGI de 2020 </w:t>
      </w:r>
      <w:r>
        <w:rPr>
          <w:i/>
          <w:sz w:val="24"/>
        </w:rPr>
        <w:t>com a incorporação de recursos disponíveis no CSC, para disponibilizar os demais módulos previstos no Sistema de Gestão Integrada, possibilitando não haver acréscimo de aporte no ano de 2020, em atenção a solicitação do Fórum de Presidentes”.</w:t>
      </w:r>
    </w:p>
    <w:p>
      <w:pPr>
        <w:spacing w:after="0" w:line="360" w:lineRule="auto"/>
        <w:jc w:val="both"/>
        <w:rPr>
          <w:sz w:val="24"/>
        </w:rPr>
        <w:sectPr>
          <w:pgSz w:w="11910" w:h="16840"/>
          <w:pgMar w:header="590" w:footer="612" w:top="1460" w:bottom="800" w:left="0" w:right="0"/>
        </w:sectPr>
      </w:pPr>
    </w:p>
    <w:p>
      <w:pPr>
        <w:pStyle w:val="BodyText"/>
        <w:spacing w:before="5"/>
        <w:rPr>
          <w:i/>
          <w:sz w:val="14"/>
        </w:rPr>
      </w:pPr>
    </w:p>
    <w:p>
      <w:pPr>
        <w:pStyle w:val="BodyText"/>
        <w:spacing w:line="360" w:lineRule="auto" w:before="51"/>
        <w:ind w:left="1702" w:right="1128" w:firstLine="851"/>
        <w:jc w:val="both"/>
      </w:pPr>
      <w:r>
        <w:rPr/>
        <w:t>O </w:t>
      </w:r>
      <w:r>
        <w:rPr>
          <w:b/>
        </w:rPr>
        <w:t>Centro de Serviços Compartilhados </w:t>
      </w:r>
      <w:r>
        <w:rPr/>
        <w:t>dos Conselhos de Arquitetura e Urbanismo (CSC-CAU) tem com o objetivo aglutinar e gerenciar serviços, de acordo com a Resolução nº 126, com as alterações da Resolução nº 183, tais como:</w:t>
      </w:r>
    </w:p>
    <w:p>
      <w:pPr>
        <w:pStyle w:val="Heading5"/>
        <w:numPr>
          <w:ilvl w:val="0"/>
          <w:numId w:val="6"/>
        </w:numPr>
        <w:tabs>
          <w:tab w:pos="2914" w:val="left" w:leader="none"/>
        </w:tabs>
        <w:spacing w:line="292" w:lineRule="exact" w:before="0" w:after="0"/>
        <w:ind w:left="2914" w:right="0" w:hanging="360"/>
        <w:jc w:val="both"/>
      </w:pPr>
      <w:r>
        <w:rPr/>
        <w:t>Os Serviços Compartilhados Essenciais,</w:t>
      </w:r>
      <w:r>
        <w:rPr>
          <w:spacing w:val="-3"/>
        </w:rPr>
        <w:t> </w:t>
      </w:r>
      <w:r>
        <w:rPr/>
        <w:t>compreendem:</w:t>
      </w:r>
    </w:p>
    <w:p>
      <w:pPr>
        <w:pStyle w:val="ListParagraph"/>
        <w:numPr>
          <w:ilvl w:val="1"/>
          <w:numId w:val="6"/>
        </w:numPr>
        <w:tabs>
          <w:tab w:pos="3275" w:val="left" w:leader="none"/>
        </w:tabs>
        <w:spacing w:line="360" w:lineRule="auto" w:before="147" w:after="0"/>
        <w:ind w:left="3274" w:right="1135" w:hanging="491"/>
        <w:jc w:val="both"/>
        <w:rPr>
          <w:b/>
          <w:sz w:val="24"/>
        </w:rPr>
      </w:pPr>
      <w:r>
        <w:rPr>
          <w:b/>
          <w:sz w:val="24"/>
        </w:rPr>
        <w:t>Sistema de Informação e Comunicação dos Conselhos de Arquitetura e Urbanismo (SICCAU) nos</w:t>
      </w:r>
      <w:r>
        <w:rPr>
          <w:b/>
          <w:spacing w:val="-2"/>
          <w:sz w:val="24"/>
        </w:rPr>
        <w:t> </w:t>
      </w:r>
      <w:r>
        <w:rPr>
          <w:b/>
          <w:sz w:val="24"/>
        </w:rPr>
        <w:t>módulos:</w:t>
      </w:r>
    </w:p>
    <w:p>
      <w:pPr>
        <w:pStyle w:val="ListParagraph"/>
        <w:numPr>
          <w:ilvl w:val="2"/>
          <w:numId w:val="6"/>
        </w:numPr>
        <w:tabs>
          <w:tab w:pos="3688" w:val="left" w:leader="none"/>
        </w:tabs>
        <w:spacing w:line="240" w:lineRule="auto" w:before="0" w:after="0"/>
        <w:ind w:left="3687" w:right="0" w:hanging="284"/>
        <w:jc w:val="both"/>
        <w:rPr>
          <w:sz w:val="24"/>
        </w:rPr>
      </w:pPr>
      <w:r>
        <w:rPr>
          <w:sz w:val="24"/>
        </w:rPr>
        <w:t>Corporativo e Ambiente</w:t>
      </w:r>
      <w:r>
        <w:rPr>
          <w:spacing w:val="-3"/>
          <w:sz w:val="24"/>
        </w:rPr>
        <w:t> </w:t>
      </w:r>
      <w:r>
        <w:rPr>
          <w:sz w:val="24"/>
        </w:rPr>
        <w:t>Profissional;</w:t>
      </w:r>
    </w:p>
    <w:p>
      <w:pPr>
        <w:pStyle w:val="ListParagraph"/>
        <w:numPr>
          <w:ilvl w:val="2"/>
          <w:numId w:val="6"/>
        </w:numPr>
        <w:tabs>
          <w:tab w:pos="3688" w:val="left" w:leader="none"/>
        </w:tabs>
        <w:spacing w:line="240" w:lineRule="auto" w:before="146" w:after="0"/>
        <w:ind w:left="3687" w:right="0" w:hanging="284"/>
        <w:jc w:val="both"/>
        <w:rPr>
          <w:sz w:val="24"/>
        </w:rPr>
      </w:pPr>
      <w:r>
        <w:rPr>
          <w:sz w:val="24"/>
        </w:rPr>
        <w:t>Sistema de Informação Geográfica;</w:t>
      </w:r>
    </w:p>
    <w:p>
      <w:pPr>
        <w:pStyle w:val="ListParagraph"/>
        <w:numPr>
          <w:ilvl w:val="2"/>
          <w:numId w:val="6"/>
        </w:numPr>
        <w:tabs>
          <w:tab w:pos="3688" w:val="left" w:leader="none"/>
        </w:tabs>
        <w:spacing w:line="360" w:lineRule="auto" w:before="148" w:after="0"/>
        <w:ind w:left="3687" w:right="1128" w:hanging="284"/>
        <w:jc w:val="both"/>
        <w:rPr>
          <w:sz w:val="24"/>
        </w:rPr>
      </w:pPr>
      <w:r>
        <w:rPr>
          <w:sz w:val="24"/>
        </w:rPr>
        <w:t>Gerencial: SISCONT (Orçamentário, Despesas e Contábil), Centro de Custos, SISPAT (Patrimônio), SISPAD (Viagens, Passagens e Diárias), SIALM (Almoxarifado), SICCL (Compras, Contratos e Licitações), Gestão TCU (Geração de Relatório de Gestão ao TCU), Portal da Transparência (Gestão do Portal da Transparência) e Prestação de Contas (Gestão de Prestações de Contas do CAU/BR e dos</w:t>
      </w:r>
      <w:r>
        <w:rPr>
          <w:spacing w:val="-3"/>
          <w:sz w:val="24"/>
        </w:rPr>
        <w:t> </w:t>
      </w:r>
      <w:r>
        <w:rPr>
          <w:sz w:val="24"/>
        </w:rPr>
        <w:t>CAU/UF);</w:t>
      </w:r>
    </w:p>
    <w:p>
      <w:pPr>
        <w:pStyle w:val="Heading5"/>
        <w:numPr>
          <w:ilvl w:val="1"/>
          <w:numId w:val="6"/>
        </w:numPr>
        <w:tabs>
          <w:tab w:pos="3275" w:val="left" w:leader="none"/>
        </w:tabs>
        <w:spacing w:line="360" w:lineRule="auto" w:before="0" w:after="0"/>
        <w:ind w:left="3274" w:right="1132" w:hanging="543"/>
        <w:jc w:val="both"/>
        <w:rPr>
          <w:b w:val="0"/>
        </w:rPr>
      </w:pPr>
      <w:r>
        <w:rPr/>
        <w:t>Sistema de Gestão Integrada, que compreende a previsão ou possibilidade de implantação dos</w:t>
      </w:r>
      <w:r>
        <w:rPr>
          <w:spacing w:val="-3"/>
        </w:rPr>
        <w:t> </w:t>
      </w:r>
      <w:r>
        <w:rPr/>
        <w:t>módulos</w:t>
      </w:r>
      <w:r>
        <w:rPr>
          <w:b w:val="0"/>
        </w:rPr>
        <w:t>:</w:t>
      </w:r>
    </w:p>
    <w:p>
      <w:pPr>
        <w:pStyle w:val="ListParagraph"/>
        <w:numPr>
          <w:ilvl w:val="2"/>
          <w:numId w:val="6"/>
        </w:numPr>
        <w:tabs>
          <w:tab w:pos="3517" w:val="left" w:leader="none"/>
        </w:tabs>
        <w:spacing w:line="292" w:lineRule="exact" w:before="0" w:after="0"/>
        <w:ind w:left="3516" w:right="0" w:hanging="243"/>
        <w:jc w:val="left"/>
        <w:rPr>
          <w:sz w:val="24"/>
        </w:rPr>
      </w:pPr>
      <w:r>
        <w:rPr>
          <w:sz w:val="24"/>
        </w:rPr>
        <w:t>BPM – Business Process Management (Gestão de Processos de</w:t>
      </w:r>
      <w:r>
        <w:rPr>
          <w:spacing w:val="-25"/>
          <w:sz w:val="24"/>
        </w:rPr>
        <w:t> </w:t>
      </w:r>
      <w:r>
        <w:rPr>
          <w:sz w:val="24"/>
        </w:rPr>
        <w:t>Negócio);</w:t>
      </w:r>
    </w:p>
    <w:p>
      <w:pPr>
        <w:pStyle w:val="ListParagraph"/>
        <w:numPr>
          <w:ilvl w:val="2"/>
          <w:numId w:val="6"/>
        </w:numPr>
        <w:tabs>
          <w:tab w:pos="3515" w:val="left" w:leader="none"/>
        </w:tabs>
        <w:spacing w:line="240" w:lineRule="auto" w:before="148" w:after="0"/>
        <w:ind w:left="3514" w:right="0" w:hanging="241"/>
        <w:jc w:val="left"/>
        <w:rPr>
          <w:sz w:val="24"/>
        </w:rPr>
      </w:pPr>
      <w:r>
        <w:rPr>
          <w:sz w:val="24"/>
        </w:rPr>
        <w:t>ECM</w:t>
      </w:r>
      <w:r>
        <w:rPr>
          <w:spacing w:val="-18"/>
          <w:sz w:val="24"/>
        </w:rPr>
        <w:t> </w:t>
      </w:r>
      <w:r>
        <w:rPr>
          <w:sz w:val="24"/>
        </w:rPr>
        <w:t>–</w:t>
      </w:r>
      <w:r>
        <w:rPr>
          <w:spacing w:val="-17"/>
          <w:sz w:val="24"/>
        </w:rPr>
        <w:t> </w:t>
      </w:r>
      <w:r>
        <w:rPr>
          <w:sz w:val="24"/>
        </w:rPr>
        <w:t>Enterprise</w:t>
      </w:r>
      <w:r>
        <w:rPr>
          <w:spacing w:val="-17"/>
          <w:sz w:val="24"/>
        </w:rPr>
        <w:t> </w:t>
      </w:r>
      <w:r>
        <w:rPr>
          <w:sz w:val="24"/>
        </w:rPr>
        <w:t>Content</w:t>
      </w:r>
      <w:r>
        <w:rPr>
          <w:spacing w:val="-18"/>
          <w:sz w:val="24"/>
        </w:rPr>
        <w:t> </w:t>
      </w:r>
      <w:r>
        <w:rPr>
          <w:sz w:val="24"/>
        </w:rPr>
        <w:t>Management</w:t>
      </w:r>
      <w:r>
        <w:rPr>
          <w:spacing w:val="-17"/>
          <w:sz w:val="24"/>
        </w:rPr>
        <w:t> </w:t>
      </w:r>
      <w:r>
        <w:rPr>
          <w:sz w:val="24"/>
        </w:rPr>
        <w:t>(Gestão</w:t>
      </w:r>
      <w:r>
        <w:rPr>
          <w:spacing w:val="-17"/>
          <w:sz w:val="24"/>
        </w:rPr>
        <w:t> </w:t>
      </w:r>
      <w:r>
        <w:rPr>
          <w:sz w:val="24"/>
        </w:rPr>
        <w:t>de</w:t>
      </w:r>
      <w:r>
        <w:rPr>
          <w:spacing w:val="-17"/>
          <w:sz w:val="24"/>
        </w:rPr>
        <w:t> </w:t>
      </w:r>
      <w:r>
        <w:rPr>
          <w:sz w:val="24"/>
        </w:rPr>
        <w:t>Conteúdo</w:t>
      </w:r>
      <w:r>
        <w:rPr>
          <w:spacing w:val="-17"/>
          <w:sz w:val="24"/>
        </w:rPr>
        <w:t> </w:t>
      </w:r>
      <w:r>
        <w:rPr>
          <w:sz w:val="24"/>
        </w:rPr>
        <w:t>Corporativo);</w:t>
      </w:r>
    </w:p>
    <w:p>
      <w:pPr>
        <w:pStyle w:val="ListParagraph"/>
        <w:numPr>
          <w:ilvl w:val="2"/>
          <w:numId w:val="6"/>
        </w:numPr>
        <w:tabs>
          <w:tab w:pos="3503" w:val="left" w:leader="none"/>
        </w:tabs>
        <w:spacing w:line="240" w:lineRule="auto" w:before="146" w:after="0"/>
        <w:ind w:left="3502" w:right="0" w:hanging="229"/>
        <w:jc w:val="left"/>
        <w:rPr>
          <w:sz w:val="24"/>
        </w:rPr>
      </w:pPr>
      <w:r>
        <w:rPr>
          <w:sz w:val="24"/>
        </w:rPr>
        <w:t>Social Network (Ambiente de Comunicação/Colaboração</w:t>
      </w:r>
      <w:r>
        <w:rPr>
          <w:spacing w:val="-10"/>
          <w:sz w:val="24"/>
        </w:rPr>
        <w:t> </w:t>
      </w:r>
      <w:r>
        <w:rPr>
          <w:sz w:val="24"/>
        </w:rPr>
        <w:t>Corporativa);</w:t>
      </w:r>
    </w:p>
    <w:p>
      <w:pPr>
        <w:pStyle w:val="ListParagraph"/>
        <w:numPr>
          <w:ilvl w:val="2"/>
          <w:numId w:val="6"/>
        </w:numPr>
        <w:tabs>
          <w:tab w:pos="3517" w:val="left" w:leader="none"/>
        </w:tabs>
        <w:spacing w:line="240" w:lineRule="auto" w:before="146" w:after="0"/>
        <w:ind w:left="3516" w:right="0" w:hanging="243"/>
        <w:jc w:val="left"/>
        <w:rPr>
          <w:sz w:val="24"/>
        </w:rPr>
      </w:pPr>
      <w:r>
        <w:rPr>
          <w:sz w:val="24"/>
        </w:rPr>
        <w:t>Business</w:t>
      </w:r>
      <w:r>
        <w:rPr>
          <w:spacing w:val="-13"/>
          <w:sz w:val="24"/>
        </w:rPr>
        <w:t> </w:t>
      </w:r>
      <w:r>
        <w:rPr>
          <w:sz w:val="24"/>
        </w:rPr>
        <w:t>Inteligence</w:t>
      </w:r>
      <w:r>
        <w:rPr>
          <w:spacing w:val="-12"/>
          <w:sz w:val="24"/>
        </w:rPr>
        <w:t> </w:t>
      </w:r>
      <w:r>
        <w:rPr>
          <w:sz w:val="24"/>
        </w:rPr>
        <w:t>(Análise</w:t>
      </w:r>
      <w:r>
        <w:rPr>
          <w:spacing w:val="-12"/>
          <w:sz w:val="24"/>
        </w:rPr>
        <w:t> </w:t>
      </w:r>
      <w:r>
        <w:rPr>
          <w:sz w:val="24"/>
        </w:rPr>
        <w:t>de</w:t>
      </w:r>
      <w:r>
        <w:rPr>
          <w:spacing w:val="-12"/>
          <w:sz w:val="24"/>
        </w:rPr>
        <w:t> </w:t>
      </w:r>
      <w:r>
        <w:rPr>
          <w:sz w:val="24"/>
        </w:rPr>
        <w:t>dados</w:t>
      </w:r>
      <w:r>
        <w:rPr>
          <w:spacing w:val="-15"/>
          <w:sz w:val="24"/>
        </w:rPr>
        <w:t> </w:t>
      </w:r>
      <w:r>
        <w:rPr>
          <w:sz w:val="24"/>
        </w:rPr>
        <w:t>estruturados</w:t>
      </w:r>
      <w:r>
        <w:rPr>
          <w:spacing w:val="-12"/>
          <w:sz w:val="24"/>
        </w:rPr>
        <w:t> </w:t>
      </w:r>
      <w:r>
        <w:rPr>
          <w:sz w:val="24"/>
        </w:rPr>
        <w:t>para</w:t>
      </w:r>
      <w:r>
        <w:rPr>
          <w:spacing w:val="-12"/>
          <w:sz w:val="24"/>
        </w:rPr>
        <w:t> </w:t>
      </w:r>
      <w:r>
        <w:rPr>
          <w:sz w:val="24"/>
        </w:rPr>
        <w:t>suporte</w:t>
      </w:r>
      <w:r>
        <w:rPr>
          <w:spacing w:val="-12"/>
          <w:sz w:val="24"/>
        </w:rPr>
        <w:t> </w:t>
      </w:r>
      <w:r>
        <w:rPr>
          <w:sz w:val="24"/>
        </w:rPr>
        <w:t>à</w:t>
      </w:r>
      <w:r>
        <w:rPr>
          <w:spacing w:val="-12"/>
          <w:sz w:val="24"/>
        </w:rPr>
        <w:t> </w:t>
      </w:r>
      <w:r>
        <w:rPr>
          <w:sz w:val="24"/>
        </w:rPr>
        <w:t>gestão);</w:t>
      </w:r>
    </w:p>
    <w:p>
      <w:pPr>
        <w:pStyle w:val="ListParagraph"/>
        <w:numPr>
          <w:ilvl w:val="2"/>
          <w:numId w:val="6"/>
        </w:numPr>
        <w:tabs>
          <w:tab w:pos="3522" w:val="left" w:leader="none"/>
        </w:tabs>
        <w:spacing w:line="240" w:lineRule="auto" w:before="147" w:after="0"/>
        <w:ind w:left="3521" w:right="0" w:hanging="248"/>
        <w:jc w:val="left"/>
        <w:rPr>
          <w:sz w:val="24"/>
        </w:rPr>
      </w:pPr>
      <w:r>
        <w:rPr>
          <w:sz w:val="24"/>
        </w:rPr>
        <w:t>HCM (Gestão de Pessoas e Competências);</w:t>
      </w:r>
    </w:p>
    <w:p>
      <w:pPr>
        <w:pStyle w:val="ListParagraph"/>
        <w:numPr>
          <w:ilvl w:val="2"/>
          <w:numId w:val="6"/>
        </w:numPr>
        <w:tabs>
          <w:tab w:pos="3476" w:val="left" w:leader="none"/>
        </w:tabs>
        <w:spacing w:line="240" w:lineRule="auto" w:before="147" w:after="0"/>
        <w:ind w:left="3475" w:right="0" w:hanging="202"/>
        <w:jc w:val="left"/>
        <w:rPr>
          <w:sz w:val="24"/>
        </w:rPr>
      </w:pPr>
      <w:r>
        <w:rPr>
          <w:sz w:val="24"/>
        </w:rPr>
        <w:t>CRM (Gestão de Relacionamento com Clientes e</w:t>
      </w:r>
      <w:r>
        <w:rPr>
          <w:spacing w:val="-9"/>
          <w:sz w:val="24"/>
        </w:rPr>
        <w:t> </w:t>
      </w:r>
      <w:r>
        <w:rPr>
          <w:sz w:val="24"/>
        </w:rPr>
        <w:t>Parceiros);</w:t>
      </w:r>
    </w:p>
    <w:p>
      <w:pPr>
        <w:pStyle w:val="ListParagraph"/>
        <w:numPr>
          <w:ilvl w:val="2"/>
          <w:numId w:val="6"/>
        </w:numPr>
        <w:tabs>
          <w:tab w:pos="3515" w:val="left" w:leader="none"/>
        </w:tabs>
        <w:spacing w:line="240" w:lineRule="auto" w:before="146" w:after="0"/>
        <w:ind w:left="3514" w:right="0" w:hanging="241"/>
        <w:jc w:val="left"/>
        <w:rPr>
          <w:sz w:val="24"/>
        </w:rPr>
      </w:pPr>
      <w:r>
        <w:rPr>
          <w:sz w:val="24"/>
        </w:rPr>
        <w:t>ERM (Gestão de Riscos</w:t>
      </w:r>
      <w:r>
        <w:rPr>
          <w:spacing w:val="-2"/>
          <w:sz w:val="24"/>
        </w:rPr>
        <w:t> </w:t>
      </w:r>
      <w:r>
        <w:rPr>
          <w:sz w:val="24"/>
        </w:rPr>
        <w:t>Corporativos);</w:t>
      </w:r>
    </w:p>
    <w:p>
      <w:pPr>
        <w:pStyle w:val="ListParagraph"/>
        <w:numPr>
          <w:ilvl w:val="2"/>
          <w:numId w:val="6"/>
        </w:numPr>
        <w:tabs>
          <w:tab w:pos="3529" w:val="left" w:leader="none"/>
        </w:tabs>
        <w:spacing w:line="240" w:lineRule="auto" w:before="146" w:after="0"/>
        <w:ind w:left="3528" w:right="0" w:hanging="255"/>
        <w:jc w:val="left"/>
        <w:rPr>
          <w:sz w:val="24"/>
        </w:rPr>
      </w:pPr>
      <w:r>
        <w:rPr>
          <w:sz w:val="24"/>
        </w:rPr>
        <w:t>Gestão Estratégica e de Indicadores;</w:t>
      </w:r>
      <w:r>
        <w:rPr>
          <w:spacing w:val="-5"/>
          <w:sz w:val="24"/>
        </w:rPr>
        <w:t> </w:t>
      </w:r>
      <w:r>
        <w:rPr>
          <w:sz w:val="24"/>
        </w:rPr>
        <w:t>e</w:t>
      </w:r>
    </w:p>
    <w:p>
      <w:pPr>
        <w:pStyle w:val="ListParagraph"/>
        <w:numPr>
          <w:ilvl w:val="2"/>
          <w:numId w:val="6"/>
        </w:numPr>
        <w:tabs>
          <w:tab w:pos="3458" w:val="left" w:leader="none"/>
        </w:tabs>
        <w:spacing w:line="240" w:lineRule="auto" w:before="146" w:after="0"/>
        <w:ind w:left="3457" w:right="0" w:hanging="184"/>
        <w:jc w:val="left"/>
        <w:rPr>
          <w:sz w:val="24"/>
        </w:rPr>
      </w:pPr>
      <w:r>
        <w:rPr>
          <w:sz w:val="24"/>
        </w:rPr>
        <w:t>Gestão do</w:t>
      </w:r>
      <w:r>
        <w:rPr>
          <w:spacing w:val="-4"/>
          <w:sz w:val="24"/>
        </w:rPr>
        <w:t> </w:t>
      </w:r>
      <w:r>
        <w:rPr>
          <w:sz w:val="24"/>
        </w:rPr>
        <w:t>Conhecimento;</w:t>
      </w:r>
    </w:p>
    <w:p>
      <w:pPr>
        <w:pStyle w:val="ListParagraph"/>
        <w:numPr>
          <w:ilvl w:val="1"/>
          <w:numId w:val="6"/>
        </w:numPr>
        <w:tabs>
          <w:tab w:pos="3275" w:val="left" w:leader="none"/>
        </w:tabs>
        <w:spacing w:line="360" w:lineRule="auto" w:before="146" w:after="0"/>
        <w:ind w:left="3274" w:right="1127" w:hanging="603"/>
        <w:jc w:val="both"/>
        <w:rPr>
          <w:sz w:val="24"/>
        </w:rPr>
      </w:pPr>
      <w:r>
        <w:rPr>
          <w:b/>
          <w:sz w:val="24"/>
        </w:rPr>
        <w:t>Serviços de treinamento e capacitação </w:t>
      </w:r>
      <w:r>
        <w:rPr>
          <w:sz w:val="24"/>
        </w:rPr>
        <w:t>nas competências incorporadas no escopo do Modelo de Referência em Gestão do CAU (MRG-CAU) e apoio institucional ao CAU/BR e aos CAU/UF para assessoria técnica nas metodologias de gestão concebidas e utilizadas no âmbito do</w:t>
      </w:r>
      <w:r>
        <w:rPr>
          <w:spacing w:val="-18"/>
          <w:sz w:val="24"/>
        </w:rPr>
        <w:t> </w:t>
      </w:r>
      <w:r>
        <w:rPr>
          <w:sz w:val="24"/>
        </w:rPr>
        <w:t>MRG-CAU;</w:t>
      </w:r>
    </w:p>
    <w:p>
      <w:pPr>
        <w:pStyle w:val="Heading5"/>
        <w:numPr>
          <w:ilvl w:val="1"/>
          <w:numId w:val="6"/>
        </w:numPr>
        <w:tabs>
          <w:tab w:pos="3275" w:val="left" w:leader="none"/>
        </w:tabs>
        <w:spacing w:line="240" w:lineRule="auto" w:before="2" w:after="0"/>
        <w:ind w:left="3274" w:right="0" w:hanging="633"/>
        <w:jc w:val="both"/>
      </w:pPr>
      <w:r>
        <w:rPr/>
        <w:t>Serviço de Data</w:t>
      </w:r>
      <w:r>
        <w:rPr>
          <w:spacing w:val="-1"/>
        </w:rPr>
        <w:t> </w:t>
      </w:r>
      <w:r>
        <w:rPr/>
        <w:t>Center;</w:t>
      </w:r>
    </w:p>
    <w:p>
      <w:pPr>
        <w:pStyle w:val="ListParagraph"/>
        <w:numPr>
          <w:ilvl w:val="1"/>
          <w:numId w:val="6"/>
        </w:numPr>
        <w:tabs>
          <w:tab w:pos="3275" w:val="left" w:leader="none"/>
        </w:tabs>
        <w:spacing w:line="240" w:lineRule="auto" w:before="146" w:after="0"/>
        <w:ind w:left="3274" w:right="0" w:hanging="558"/>
        <w:jc w:val="both"/>
        <w:rPr>
          <w:sz w:val="24"/>
        </w:rPr>
      </w:pPr>
      <w:r>
        <w:rPr>
          <w:b/>
          <w:sz w:val="24"/>
        </w:rPr>
        <w:t>Rede Integrada de Atendimento (RIA)</w:t>
      </w:r>
      <w:r>
        <w:rPr>
          <w:sz w:val="24"/>
        </w:rPr>
        <w:t>,</w:t>
      </w:r>
      <w:r>
        <w:rPr>
          <w:spacing w:val="-4"/>
          <w:sz w:val="24"/>
        </w:rPr>
        <w:t> </w:t>
      </w:r>
      <w:r>
        <w:rPr>
          <w:sz w:val="24"/>
        </w:rPr>
        <w:t>compreendendo:</w:t>
      </w:r>
    </w:p>
    <w:p>
      <w:pPr>
        <w:pStyle w:val="ListParagraph"/>
        <w:numPr>
          <w:ilvl w:val="0"/>
          <w:numId w:val="7"/>
        </w:numPr>
        <w:tabs>
          <w:tab w:pos="3995" w:val="left" w:leader="none"/>
        </w:tabs>
        <w:spacing w:line="240" w:lineRule="auto" w:before="147" w:after="0"/>
        <w:ind w:left="3994" w:right="0" w:hanging="361"/>
        <w:jc w:val="both"/>
        <w:rPr>
          <w:sz w:val="24"/>
        </w:rPr>
      </w:pPr>
      <w:r>
        <w:rPr>
          <w:sz w:val="24"/>
        </w:rPr>
        <w:t>Serviço de Tele Atendimento Qualificado</w:t>
      </w:r>
      <w:r>
        <w:rPr>
          <w:spacing w:val="-6"/>
          <w:sz w:val="24"/>
        </w:rPr>
        <w:t> </w:t>
      </w:r>
      <w:r>
        <w:rPr>
          <w:sz w:val="24"/>
        </w:rPr>
        <w:t>(TAQ);</w:t>
      </w:r>
    </w:p>
    <w:p>
      <w:pPr>
        <w:spacing w:after="0" w:line="240" w:lineRule="auto"/>
        <w:jc w:val="both"/>
        <w:rPr>
          <w:sz w:val="24"/>
        </w:rPr>
        <w:sectPr>
          <w:pgSz w:w="11910" w:h="16840"/>
          <w:pgMar w:header="590" w:footer="612" w:top="1460" w:bottom="800" w:left="0" w:right="0"/>
        </w:sectPr>
      </w:pPr>
    </w:p>
    <w:p>
      <w:pPr>
        <w:pStyle w:val="BodyText"/>
        <w:spacing w:before="5"/>
        <w:rPr>
          <w:sz w:val="14"/>
        </w:rPr>
      </w:pPr>
    </w:p>
    <w:p>
      <w:pPr>
        <w:pStyle w:val="ListParagraph"/>
        <w:numPr>
          <w:ilvl w:val="0"/>
          <w:numId w:val="7"/>
        </w:numPr>
        <w:tabs>
          <w:tab w:pos="3995" w:val="left" w:leader="none"/>
        </w:tabs>
        <w:spacing w:line="240" w:lineRule="auto" w:before="51" w:after="0"/>
        <w:ind w:left="3994" w:right="0" w:hanging="361"/>
        <w:jc w:val="left"/>
        <w:rPr>
          <w:sz w:val="24"/>
        </w:rPr>
      </w:pPr>
      <w:r>
        <w:rPr>
          <w:sz w:val="24"/>
        </w:rPr>
        <w:t>Serviço Telefônico de Tele Atendimento 0800 e</w:t>
      </w:r>
      <w:r>
        <w:rPr>
          <w:spacing w:val="-3"/>
          <w:sz w:val="24"/>
        </w:rPr>
        <w:t> </w:t>
      </w:r>
      <w:r>
        <w:rPr>
          <w:sz w:val="24"/>
        </w:rPr>
        <w:t>4007;</w:t>
      </w:r>
    </w:p>
    <w:p>
      <w:pPr>
        <w:pStyle w:val="ListParagraph"/>
        <w:numPr>
          <w:ilvl w:val="0"/>
          <w:numId w:val="7"/>
        </w:numPr>
        <w:tabs>
          <w:tab w:pos="3995" w:val="left" w:leader="none"/>
        </w:tabs>
        <w:spacing w:line="240" w:lineRule="auto" w:before="147" w:after="0"/>
        <w:ind w:left="3994" w:right="0" w:hanging="361"/>
        <w:jc w:val="left"/>
        <w:rPr>
          <w:sz w:val="24"/>
        </w:rPr>
      </w:pPr>
      <w:r>
        <w:rPr>
          <w:sz w:val="24"/>
        </w:rPr>
        <w:t>Rede Social Corporativa dos Arquitetos e Urbanistas;</w:t>
      </w:r>
      <w:r>
        <w:rPr>
          <w:spacing w:val="-8"/>
          <w:sz w:val="24"/>
        </w:rPr>
        <w:t> </w:t>
      </w:r>
      <w:r>
        <w:rPr>
          <w:sz w:val="24"/>
        </w:rPr>
        <w:t>e</w:t>
      </w:r>
    </w:p>
    <w:p>
      <w:pPr>
        <w:pStyle w:val="ListParagraph"/>
        <w:numPr>
          <w:ilvl w:val="0"/>
          <w:numId w:val="7"/>
        </w:numPr>
        <w:tabs>
          <w:tab w:pos="3995" w:val="left" w:leader="none"/>
        </w:tabs>
        <w:spacing w:line="240" w:lineRule="auto" w:before="146" w:after="0"/>
        <w:ind w:left="3994" w:right="0" w:hanging="361"/>
        <w:jc w:val="left"/>
        <w:rPr>
          <w:sz w:val="24"/>
        </w:rPr>
      </w:pPr>
      <w:r>
        <w:rPr>
          <w:sz w:val="24"/>
        </w:rPr>
        <w:t>Atendente</w:t>
      </w:r>
      <w:r>
        <w:rPr>
          <w:spacing w:val="-6"/>
          <w:sz w:val="24"/>
        </w:rPr>
        <w:t> </w:t>
      </w:r>
      <w:r>
        <w:rPr>
          <w:sz w:val="24"/>
        </w:rPr>
        <w:t>Virtual;</w:t>
      </w:r>
    </w:p>
    <w:p>
      <w:pPr>
        <w:pStyle w:val="ListParagraph"/>
        <w:numPr>
          <w:ilvl w:val="1"/>
          <w:numId w:val="6"/>
        </w:numPr>
        <w:tabs>
          <w:tab w:pos="3275" w:val="left" w:leader="none"/>
        </w:tabs>
        <w:spacing w:line="240" w:lineRule="auto" w:before="146" w:after="0"/>
        <w:ind w:left="3274" w:right="0" w:hanging="621"/>
        <w:jc w:val="both"/>
        <w:rPr>
          <w:sz w:val="24"/>
        </w:rPr>
      </w:pPr>
      <w:r>
        <w:rPr>
          <w:b/>
          <w:sz w:val="24"/>
        </w:rPr>
        <w:t>Serviço de conferência </w:t>
      </w:r>
      <w:r>
        <w:rPr>
          <w:sz w:val="24"/>
        </w:rPr>
        <w:t>via</w:t>
      </w:r>
      <w:r>
        <w:rPr>
          <w:spacing w:val="-13"/>
          <w:sz w:val="24"/>
        </w:rPr>
        <w:t> </w:t>
      </w:r>
      <w:r>
        <w:rPr>
          <w:sz w:val="24"/>
        </w:rPr>
        <w:t>WEB;</w:t>
      </w:r>
    </w:p>
    <w:p>
      <w:pPr>
        <w:pStyle w:val="ListParagraph"/>
        <w:numPr>
          <w:ilvl w:val="1"/>
          <w:numId w:val="6"/>
        </w:numPr>
        <w:tabs>
          <w:tab w:pos="3275" w:val="left" w:leader="none"/>
        </w:tabs>
        <w:spacing w:line="360" w:lineRule="auto" w:before="146" w:after="0"/>
        <w:ind w:left="3274" w:right="1127" w:hanging="680"/>
        <w:jc w:val="both"/>
        <w:rPr>
          <w:sz w:val="24"/>
        </w:rPr>
      </w:pPr>
      <w:r>
        <w:rPr>
          <w:b/>
          <w:sz w:val="24"/>
        </w:rPr>
        <w:t>Serviços a serem prestados pelo pessoal alocado pelo CAU/BR </w:t>
      </w:r>
      <w:r>
        <w:rPr>
          <w:sz w:val="24"/>
        </w:rPr>
        <w:t>na gestão e execução dos serviços relacionados nos incisos I, I-A, II e III deste parágrafo, compreendendo salários e respectivos encargos trabalhistas e previdenciários;</w:t>
      </w:r>
    </w:p>
    <w:p>
      <w:pPr>
        <w:pStyle w:val="ListParagraph"/>
        <w:numPr>
          <w:ilvl w:val="1"/>
          <w:numId w:val="6"/>
        </w:numPr>
        <w:tabs>
          <w:tab w:pos="3275" w:val="left" w:leader="none"/>
        </w:tabs>
        <w:spacing w:line="360" w:lineRule="auto" w:before="2" w:after="0"/>
        <w:ind w:left="3274" w:right="1131" w:hanging="740"/>
        <w:jc w:val="both"/>
        <w:rPr>
          <w:sz w:val="24"/>
        </w:rPr>
      </w:pPr>
      <w:r>
        <w:rPr>
          <w:b/>
          <w:sz w:val="24"/>
        </w:rPr>
        <w:t>Funcionamento do Colegiado de Governança </w:t>
      </w:r>
      <w:r>
        <w:rPr>
          <w:sz w:val="24"/>
        </w:rPr>
        <w:t>do Centro de Serviços Compartilhados (CG-CSC), compreendendo as despesas para tal</w:t>
      </w:r>
      <w:r>
        <w:rPr>
          <w:spacing w:val="-9"/>
          <w:sz w:val="24"/>
        </w:rPr>
        <w:t> </w:t>
      </w:r>
      <w:r>
        <w:rPr>
          <w:sz w:val="24"/>
        </w:rPr>
        <w:t>fim.</w:t>
      </w:r>
    </w:p>
    <w:p>
      <w:pPr>
        <w:pStyle w:val="BodyText"/>
        <w:spacing w:before="11"/>
        <w:rPr>
          <w:sz w:val="35"/>
        </w:rPr>
      </w:pPr>
    </w:p>
    <w:p>
      <w:pPr>
        <w:pStyle w:val="ListParagraph"/>
        <w:numPr>
          <w:ilvl w:val="0"/>
          <w:numId w:val="6"/>
        </w:numPr>
        <w:tabs>
          <w:tab w:pos="2914" w:val="left" w:leader="none"/>
        </w:tabs>
        <w:spacing w:line="360" w:lineRule="auto" w:before="1" w:after="0"/>
        <w:ind w:left="2914" w:right="1127" w:hanging="360"/>
        <w:jc w:val="both"/>
        <w:rPr>
          <w:sz w:val="24"/>
        </w:rPr>
      </w:pPr>
      <w:r>
        <w:rPr>
          <w:b/>
          <w:sz w:val="24"/>
        </w:rPr>
        <w:t>Os Serviços Compartilhados por Adesão</w:t>
      </w:r>
      <w:r>
        <w:rPr>
          <w:sz w:val="24"/>
        </w:rPr>
        <w:t>, serão objeto de compartilhamento</w:t>
      </w:r>
      <w:r>
        <w:rPr>
          <w:spacing w:val="-40"/>
          <w:sz w:val="24"/>
        </w:rPr>
        <w:t> </w:t>
      </w:r>
      <w:r>
        <w:rPr>
          <w:sz w:val="24"/>
        </w:rPr>
        <w:t>por adesão</w:t>
      </w:r>
      <w:r>
        <w:rPr>
          <w:spacing w:val="-14"/>
          <w:sz w:val="24"/>
        </w:rPr>
        <w:t> </w:t>
      </w:r>
      <w:r>
        <w:rPr>
          <w:sz w:val="24"/>
        </w:rPr>
        <w:t>os</w:t>
      </w:r>
      <w:r>
        <w:rPr>
          <w:spacing w:val="-12"/>
          <w:sz w:val="24"/>
        </w:rPr>
        <w:t> </w:t>
      </w:r>
      <w:r>
        <w:rPr>
          <w:sz w:val="24"/>
        </w:rPr>
        <w:t>serviços</w:t>
      </w:r>
      <w:r>
        <w:rPr>
          <w:spacing w:val="-12"/>
          <w:sz w:val="24"/>
        </w:rPr>
        <w:t> </w:t>
      </w:r>
      <w:r>
        <w:rPr>
          <w:sz w:val="24"/>
        </w:rPr>
        <w:t>relacionados</w:t>
      </w:r>
      <w:r>
        <w:rPr>
          <w:spacing w:val="-12"/>
          <w:sz w:val="24"/>
        </w:rPr>
        <w:t> </w:t>
      </w:r>
      <w:r>
        <w:rPr>
          <w:sz w:val="24"/>
        </w:rPr>
        <w:t>ao</w:t>
      </w:r>
      <w:r>
        <w:rPr>
          <w:spacing w:val="-11"/>
          <w:sz w:val="24"/>
        </w:rPr>
        <w:t> </w:t>
      </w:r>
      <w:r>
        <w:rPr>
          <w:sz w:val="24"/>
        </w:rPr>
        <w:t>Sistema</w:t>
      </w:r>
      <w:r>
        <w:rPr>
          <w:spacing w:val="-13"/>
          <w:sz w:val="24"/>
        </w:rPr>
        <w:t> </w:t>
      </w:r>
      <w:r>
        <w:rPr>
          <w:sz w:val="24"/>
        </w:rPr>
        <w:t>de</w:t>
      </w:r>
      <w:r>
        <w:rPr>
          <w:spacing w:val="-12"/>
          <w:sz w:val="24"/>
        </w:rPr>
        <w:t> </w:t>
      </w:r>
      <w:r>
        <w:rPr>
          <w:sz w:val="24"/>
        </w:rPr>
        <w:t>Controle</w:t>
      </w:r>
      <w:r>
        <w:rPr>
          <w:spacing w:val="-11"/>
          <w:sz w:val="24"/>
        </w:rPr>
        <w:t> </w:t>
      </w:r>
      <w:r>
        <w:rPr>
          <w:sz w:val="24"/>
        </w:rPr>
        <w:t>e</w:t>
      </w:r>
      <w:r>
        <w:rPr>
          <w:spacing w:val="-11"/>
          <w:sz w:val="24"/>
        </w:rPr>
        <w:t> </w:t>
      </w:r>
      <w:r>
        <w:rPr>
          <w:sz w:val="24"/>
        </w:rPr>
        <w:t>Cobrança</w:t>
      </w:r>
      <w:r>
        <w:rPr>
          <w:spacing w:val="-11"/>
          <w:sz w:val="24"/>
        </w:rPr>
        <w:t> </w:t>
      </w:r>
      <w:r>
        <w:rPr>
          <w:sz w:val="24"/>
        </w:rPr>
        <w:t>(SISCAF),</w:t>
      </w:r>
      <w:r>
        <w:rPr>
          <w:spacing w:val="-12"/>
          <w:sz w:val="24"/>
        </w:rPr>
        <w:t> </w:t>
      </w:r>
      <w:r>
        <w:rPr>
          <w:sz w:val="24"/>
        </w:rPr>
        <w:t>com a previsão ou possibilidade de implantação dos módulos Processo, Protocolo e Dívida Ativa, compreendendo:</w:t>
      </w:r>
    </w:p>
    <w:p>
      <w:pPr>
        <w:pStyle w:val="ListParagraph"/>
        <w:numPr>
          <w:ilvl w:val="0"/>
          <w:numId w:val="8"/>
        </w:numPr>
        <w:tabs>
          <w:tab w:pos="2796" w:val="left" w:leader="none"/>
        </w:tabs>
        <w:spacing w:line="240" w:lineRule="auto" w:before="201" w:after="0"/>
        <w:ind w:left="2795" w:right="0" w:hanging="242"/>
        <w:jc w:val="both"/>
        <w:rPr>
          <w:sz w:val="24"/>
        </w:rPr>
      </w:pPr>
      <w:r>
        <w:rPr>
          <w:sz w:val="24"/>
        </w:rPr>
        <w:t>Aquisição de licença de</w:t>
      </w:r>
      <w:r>
        <w:rPr>
          <w:spacing w:val="-5"/>
          <w:sz w:val="24"/>
        </w:rPr>
        <w:t> </w:t>
      </w:r>
      <w:r>
        <w:rPr>
          <w:sz w:val="24"/>
        </w:rPr>
        <w:t>uso;</w:t>
      </w:r>
    </w:p>
    <w:p>
      <w:pPr>
        <w:pStyle w:val="BodyText"/>
        <w:spacing w:before="11"/>
      </w:pPr>
    </w:p>
    <w:p>
      <w:pPr>
        <w:pStyle w:val="ListParagraph"/>
        <w:numPr>
          <w:ilvl w:val="0"/>
          <w:numId w:val="8"/>
        </w:numPr>
        <w:tabs>
          <w:tab w:pos="2808" w:val="left" w:leader="none"/>
        </w:tabs>
        <w:spacing w:line="240" w:lineRule="auto" w:before="0" w:after="0"/>
        <w:ind w:left="2807" w:right="0" w:hanging="254"/>
        <w:jc w:val="both"/>
        <w:rPr>
          <w:sz w:val="24"/>
        </w:rPr>
      </w:pPr>
      <w:r>
        <w:rPr>
          <w:sz w:val="24"/>
        </w:rPr>
        <w:t>Manutenção de licença de</w:t>
      </w:r>
      <w:r>
        <w:rPr>
          <w:spacing w:val="-6"/>
          <w:sz w:val="24"/>
        </w:rPr>
        <w:t> </w:t>
      </w:r>
      <w:r>
        <w:rPr>
          <w:sz w:val="24"/>
        </w:rPr>
        <w:t>uso;</w:t>
      </w:r>
    </w:p>
    <w:p>
      <w:pPr>
        <w:pStyle w:val="BodyText"/>
        <w:spacing w:before="2"/>
        <w:rPr>
          <w:sz w:val="25"/>
        </w:rPr>
      </w:pPr>
    </w:p>
    <w:p>
      <w:pPr>
        <w:pStyle w:val="ListParagraph"/>
        <w:numPr>
          <w:ilvl w:val="0"/>
          <w:numId w:val="8"/>
        </w:numPr>
        <w:tabs>
          <w:tab w:pos="2782" w:val="left" w:leader="none"/>
        </w:tabs>
        <w:spacing w:line="240" w:lineRule="auto" w:before="0" w:after="0"/>
        <w:ind w:left="2781" w:right="0" w:hanging="228"/>
        <w:jc w:val="left"/>
        <w:rPr>
          <w:sz w:val="24"/>
        </w:rPr>
      </w:pPr>
      <w:r>
        <w:rPr>
          <w:sz w:val="24"/>
        </w:rPr>
        <w:t>Serviços de desenvolvimento e evolução;</w:t>
      </w:r>
      <w:r>
        <w:rPr>
          <w:spacing w:val="2"/>
          <w:sz w:val="24"/>
        </w:rPr>
        <w:t> </w:t>
      </w:r>
      <w:r>
        <w:rPr>
          <w:sz w:val="24"/>
        </w:rPr>
        <w:t>e</w:t>
      </w:r>
    </w:p>
    <w:p>
      <w:pPr>
        <w:pStyle w:val="BodyText"/>
        <w:spacing w:before="2"/>
        <w:rPr>
          <w:sz w:val="25"/>
        </w:rPr>
      </w:pPr>
    </w:p>
    <w:p>
      <w:pPr>
        <w:pStyle w:val="ListParagraph"/>
        <w:numPr>
          <w:ilvl w:val="0"/>
          <w:numId w:val="8"/>
        </w:numPr>
        <w:tabs>
          <w:tab w:pos="2808" w:val="left" w:leader="none"/>
        </w:tabs>
        <w:spacing w:line="240" w:lineRule="auto" w:before="0" w:after="0"/>
        <w:ind w:left="2807" w:right="0" w:hanging="254"/>
        <w:jc w:val="left"/>
        <w:rPr>
          <w:sz w:val="24"/>
        </w:rPr>
      </w:pPr>
      <w:r>
        <w:rPr>
          <w:sz w:val="24"/>
        </w:rPr>
        <w:t>Capacitação e apoio técnico para implantação e uso do SISCAF pelos</w:t>
      </w:r>
      <w:r>
        <w:rPr>
          <w:spacing w:val="-33"/>
          <w:sz w:val="24"/>
        </w:rPr>
        <w:t> </w:t>
      </w:r>
      <w:r>
        <w:rPr>
          <w:sz w:val="24"/>
        </w:rPr>
        <w:t>CAU/UF.</w:t>
      </w:r>
    </w:p>
    <w:p>
      <w:pPr>
        <w:pStyle w:val="BodyText"/>
        <w:spacing w:before="2"/>
        <w:rPr>
          <w:sz w:val="25"/>
        </w:rPr>
      </w:pPr>
    </w:p>
    <w:p>
      <w:pPr>
        <w:pStyle w:val="BodyText"/>
        <w:spacing w:line="360" w:lineRule="auto"/>
        <w:ind w:left="1702" w:right="1125" w:firstLine="851"/>
        <w:jc w:val="both"/>
      </w:pPr>
      <w:r>
        <w:rPr/>
        <w:t>Como estabelecido na Resolução nº 126, o custeio das despesas de que trata este artigo</w:t>
      </w:r>
      <w:r>
        <w:rPr>
          <w:spacing w:val="-9"/>
        </w:rPr>
        <w:t> </w:t>
      </w:r>
      <w:r>
        <w:rPr/>
        <w:t>será</w:t>
      </w:r>
      <w:r>
        <w:rPr>
          <w:spacing w:val="-12"/>
        </w:rPr>
        <w:t> </w:t>
      </w:r>
      <w:r>
        <w:rPr/>
        <w:t>efetivado</w:t>
      </w:r>
      <w:r>
        <w:rPr>
          <w:spacing w:val="-11"/>
        </w:rPr>
        <w:t> </w:t>
      </w:r>
      <w:r>
        <w:rPr/>
        <w:t>pelos</w:t>
      </w:r>
      <w:r>
        <w:rPr>
          <w:spacing w:val="-9"/>
        </w:rPr>
        <w:t> </w:t>
      </w:r>
      <w:r>
        <w:rPr/>
        <w:t>Entes</w:t>
      </w:r>
      <w:r>
        <w:rPr>
          <w:spacing w:val="-9"/>
        </w:rPr>
        <w:t> </w:t>
      </w:r>
      <w:r>
        <w:rPr/>
        <w:t>Institucionais</w:t>
      </w:r>
      <w:r>
        <w:rPr>
          <w:spacing w:val="-11"/>
        </w:rPr>
        <w:t> </w:t>
      </w:r>
      <w:r>
        <w:rPr/>
        <w:t>do</w:t>
      </w:r>
      <w:r>
        <w:rPr>
          <w:spacing w:val="-12"/>
        </w:rPr>
        <w:t> </w:t>
      </w:r>
      <w:r>
        <w:rPr/>
        <w:t>Compartilhamento</w:t>
      </w:r>
      <w:r>
        <w:rPr>
          <w:spacing w:val="-10"/>
        </w:rPr>
        <w:t> </w:t>
      </w:r>
      <w:r>
        <w:rPr/>
        <w:t>por</w:t>
      </w:r>
      <w:r>
        <w:rPr>
          <w:spacing w:val="-14"/>
        </w:rPr>
        <w:t> </w:t>
      </w:r>
      <w:r>
        <w:rPr/>
        <w:t>meio</w:t>
      </w:r>
      <w:r>
        <w:rPr>
          <w:spacing w:val="-10"/>
        </w:rPr>
        <w:t> </w:t>
      </w:r>
      <w:r>
        <w:rPr/>
        <w:t>do</w:t>
      </w:r>
      <w:r>
        <w:rPr>
          <w:spacing w:val="-12"/>
        </w:rPr>
        <w:t> </w:t>
      </w:r>
      <w:r>
        <w:rPr/>
        <w:t>pagamento mensal</w:t>
      </w:r>
      <w:r>
        <w:rPr>
          <w:spacing w:val="-5"/>
        </w:rPr>
        <w:t> </w:t>
      </w:r>
      <w:r>
        <w:rPr/>
        <w:t>de</w:t>
      </w:r>
      <w:r>
        <w:rPr>
          <w:spacing w:val="-3"/>
        </w:rPr>
        <w:t> </w:t>
      </w:r>
      <w:r>
        <w:rPr/>
        <w:t>boletos</w:t>
      </w:r>
      <w:r>
        <w:rPr>
          <w:spacing w:val="-6"/>
        </w:rPr>
        <w:t> </w:t>
      </w:r>
      <w:r>
        <w:rPr/>
        <w:t>bancários,</w:t>
      </w:r>
      <w:r>
        <w:rPr>
          <w:spacing w:val="-4"/>
        </w:rPr>
        <w:t> </w:t>
      </w:r>
      <w:r>
        <w:rPr/>
        <w:t>cada</w:t>
      </w:r>
      <w:r>
        <w:rPr>
          <w:spacing w:val="-4"/>
        </w:rPr>
        <w:t> </w:t>
      </w:r>
      <w:r>
        <w:rPr/>
        <w:t>um</w:t>
      </w:r>
      <w:r>
        <w:rPr>
          <w:spacing w:val="-6"/>
        </w:rPr>
        <w:t> </w:t>
      </w:r>
      <w:r>
        <w:rPr/>
        <w:t>destes</w:t>
      </w:r>
      <w:r>
        <w:rPr>
          <w:spacing w:val="-4"/>
        </w:rPr>
        <w:t> </w:t>
      </w:r>
      <w:r>
        <w:rPr/>
        <w:t>no</w:t>
      </w:r>
      <w:r>
        <w:rPr>
          <w:spacing w:val="-3"/>
        </w:rPr>
        <w:t> </w:t>
      </w:r>
      <w:r>
        <w:rPr/>
        <w:t>valor</w:t>
      </w:r>
      <w:r>
        <w:rPr>
          <w:spacing w:val="-4"/>
        </w:rPr>
        <w:t> </w:t>
      </w:r>
      <w:r>
        <w:rPr/>
        <w:t>correspondente</w:t>
      </w:r>
      <w:r>
        <w:rPr>
          <w:spacing w:val="-4"/>
        </w:rPr>
        <w:t> </w:t>
      </w:r>
      <w:r>
        <w:rPr/>
        <w:t>a</w:t>
      </w:r>
      <w:r>
        <w:rPr>
          <w:spacing w:val="-4"/>
        </w:rPr>
        <w:t> </w:t>
      </w:r>
      <w:r>
        <w:rPr/>
        <w:t>1/12</w:t>
      </w:r>
      <w:r>
        <w:rPr>
          <w:spacing w:val="-4"/>
        </w:rPr>
        <w:t> </w:t>
      </w:r>
      <w:r>
        <w:rPr/>
        <w:t>(um</w:t>
      </w:r>
      <w:r>
        <w:rPr>
          <w:spacing w:val="-4"/>
        </w:rPr>
        <w:t> </w:t>
      </w:r>
      <w:r>
        <w:rPr/>
        <w:t>doze</w:t>
      </w:r>
      <w:r>
        <w:rPr>
          <w:spacing w:val="-3"/>
        </w:rPr>
        <w:t> </w:t>
      </w:r>
      <w:r>
        <w:rPr/>
        <w:t>avos) do</w:t>
      </w:r>
      <w:r>
        <w:rPr>
          <w:spacing w:val="-13"/>
        </w:rPr>
        <w:t> </w:t>
      </w:r>
      <w:r>
        <w:rPr/>
        <w:t>total,</w:t>
      </w:r>
      <w:r>
        <w:rPr>
          <w:spacing w:val="-11"/>
        </w:rPr>
        <w:t> </w:t>
      </w:r>
      <w:r>
        <w:rPr/>
        <w:t>a</w:t>
      </w:r>
      <w:r>
        <w:rPr>
          <w:spacing w:val="-11"/>
        </w:rPr>
        <w:t> </w:t>
      </w:r>
      <w:r>
        <w:rPr/>
        <w:t>serem</w:t>
      </w:r>
      <w:r>
        <w:rPr>
          <w:spacing w:val="-13"/>
        </w:rPr>
        <w:t> </w:t>
      </w:r>
      <w:r>
        <w:rPr/>
        <w:t>emitidos</w:t>
      </w:r>
      <w:r>
        <w:rPr>
          <w:spacing w:val="-11"/>
        </w:rPr>
        <w:t> </w:t>
      </w:r>
      <w:r>
        <w:rPr/>
        <w:t>pelo</w:t>
      </w:r>
      <w:r>
        <w:rPr>
          <w:spacing w:val="-12"/>
        </w:rPr>
        <w:t> </w:t>
      </w:r>
      <w:r>
        <w:rPr/>
        <w:t>CAU/BR,</w:t>
      </w:r>
      <w:r>
        <w:rPr>
          <w:spacing w:val="-12"/>
        </w:rPr>
        <w:t> </w:t>
      </w:r>
      <w:r>
        <w:rPr/>
        <w:t>a</w:t>
      </w:r>
      <w:r>
        <w:rPr>
          <w:spacing w:val="-11"/>
        </w:rPr>
        <w:t> </w:t>
      </w:r>
      <w:r>
        <w:rPr/>
        <w:t>partir</w:t>
      </w:r>
      <w:r>
        <w:rPr>
          <w:spacing w:val="-13"/>
        </w:rPr>
        <w:t> </w:t>
      </w:r>
      <w:r>
        <w:rPr/>
        <w:t>da</w:t>
      </w:r>
      <w:r>
        <w:rPr>
          <w:spacing w:val="-11"/>
        </w:rPr>
        <w:t> </w:t>
      </w:r>
      <w:r>
        <w:rPr/>
        <w:t>apuração</w:t>
      </w:r>
      <w:r>
        <w:rPr>
          <w:spacing w:val="-13"/>
        </w:rPr>
        <w:t> </w:t>
      </w:r>
      <w:r>
        <w:rPr/>
        <w:t>do</w:t>
      </w:r>
      <w:r>
        <w:rPr>
          <w:spacing w:val="-13"/>
        </w:rPr>
        <w:t> </w:t>
      </w:r>
      <w:r>
        <w:rPr/>
        <w:t>orçamento</w:t>
      </w:r>
      <w:r>
        <w:rPr>
          <w:spacing w:val="-11"/>
        </w:rPr>
        <w:t> </w:t>
      </w:r>
      <w:r>
        <w:rPr/>
        <w:t>anual</w:t>
      </w:r>
      <w:r>
        <w:rPr>
          <w:spacing w:val="-12"/>
        </w:rPr>
        <w:t> </w:t>
      </w:r>
      <w:r>
        <w:rPr/>
        <w:t>dos</w:t>
      </w:r>
      <w:r>
        <w:rPr>
          <w:spacing w:val="-11"/>
        </w:rPr>
        <w:t> </w:t>
      </w:r>
      <w:r>
        <w:rPr/>
        <w:t>serviços compartilhados pelo</w:t>
      </w:r>
      <w:r>
        <w:rPr>
          <w:spacing w:val="1"/>
        </w:rPr>
        <w:t> </w:t>
      </w:r>
      <w:r>
        <w:rPr/>
        <w:t>CSC.</w:t>
      </w:r>
    </w:p>
    <w:p>
      <w:pPr>
        <w:pStyle w:val="BodyText"/>
        <w:spacing w:line="360" w:lineRule="auto" w:before="160"/>
        <w:ind w:left="1702" w:right="1130" w:firstLine="851"/>
        <w:jc w:val="both"/>
      </w:pPr>
      <w:r>
        <w:rPr/>
        <w:t>Para as despesas com os </w:t>
      </w:r>
      <w:r>
        <w:rPr>
          <w:b/>
        </w:rPr>
        <w:t>serviços por adesão </w:t>
      </w:r>
      <w:r>
        <w:rPr/>
        <w:t>serão emitidos boletos bancários próprios</w:t>
      </w:r>
      <w:r>
        <w:rPr>
          <w:spacing w:val="-11"/>
        </w:rPr>
        <w:t> </w:t>
      </w:r>
      <w:r>
        <w:rPr/>
        <w:t>com</w:t>
      </w:r>
      <w:r>
        <w:rPr>
          <w:spacing w:val="-12"/>
        </w:rPr>
        <w:t> </w:t>
      </w:r>
      <w:r>
        <w:rPr/>
        <w:t>parcelas</w:t>
      </w:r>
      <w:r>
        <w:rPr>
          <w:spacing w:val="-13"/>
        </w:rPr>
        <w:t> </w:t>
      </w:r>
      <w:r>
        <w:rPr/>
        <w:t>mensais,</w:t>
      </w:r>
      <w:r>
        <w:rPr>
          <w:spacing w:val="-13"/>
        </w:rPr>
        <w:t> </w:t>
      </w:r>
      <w:r>
        <w:rPr/>
        <w:t>específicos</w:t>
      </w:r>
      <w:r>
        <w:rPr>
          <w:spacing w:val="-10"/>
        </w:rPr>
        <w:t> </w:t>
      </w:r>
      <w:r>
        <w:rPr/>
        <w:t>aos</w:t>
      </w:r>
      <w:r>
        <w:rPr>
          <w:spacing w:val="-10"/>
        </w:rPr>
        <w:t> </w:t>
      </w:r>
      <w:r>
        <w:rPr/>
        <w:t>Entes</w:t>
      </w:r>
      <w:r>
        <w:rPr>
          <w:spacing w:val="-10"/>
        </w:rPr>
        <w:t> </w:t>
      </w:r>
      <w:r>
        <w:rPr/>
        <w:t>Institucionais</w:t>
      </w:r>
      <w:r>
        <w:rPr>
          <w:spacing w:val="-13"/>
        </w:rPr>
        <w:t> </w:t>
      </w:r>
      <w:r>
        <w:rPr/>
        <w:t>do</w:t>
      </w:r>
      <w:r>
        <w:rPr>
          <w:spacing w:val="-13"/>
        </w:rPr>
        <w:t> </w:t>
      </w:r>
      <w:r>
        <w:rPr/>
        <w:t>Compartilhamento</w:t>
      </w:r>
      <w:r>
        <w:rPr>
          <w:spacing w:val="-14"/>
        </w:rPr>
        <w:t> </w:t>
      </w:r>
      <w:r>
        <w:rPr/>
        <w:t>que aderirem aos serviços, em valores correspondentes a 1/12 (um doze avos) do total discriminado no orçamento anual dos serviços previstos aos serviços compartilhados por adesão, a serem compartilhados pelo</w:t>
      </w:r>
      <w:r>
        <w:rPr>
          <w:spacing w:val="-5"/>
        </w:rPr>
        <w:t> </w:t>
      </w:r>
      <w:r>
        <w:rPr/>
        <w:t>CSC.</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5" w:firstLine="851"/>
        <w:jc w:val="both"/>
      </w:pPr>
      <w:r>
        <w:rPr/>
        <w:t>A quitação dos boletos bancários deverá ser realizada pelos Entes Institucionais do CSC, por meio de agendamento eletrônico, com a instituição financeira. A não quitação de parcela duodecimal, na data prevista, determinará a atualização do débito pela Taxa Referencial do Sistema Especial de Liquidação e de Custódia (SELIC) correspondente ao período do atraso.</w:t>
      </w:r>
    </w:p>
    <w:p>
      <w:pPr>
        <w:pStyle w:val="BodyText"/>
      </w:pPr>
    </w:p>
    <w:p>
      <w:pPr>
        <w:pStyle w:val="BodyText"/>
        <w:spacing w:before="4"/>
        <w:rPr>
          <w:sz w:val="25"/>
        </w:rPr>
      </w:pPr>
    </w:p>
    <w:p>
      <w:pPr>
        <w:pStyle w:val="Heading4"/>
        <w:numPr>
          <w:ilvl w:val="2"/>
          <w:numId w:val="2"/>
        </w:numPr>
        <w:tabs>
          <w:tab w:pos="3121" w:val="left" w:leader="none"/>
        </w:tabs>
        <w:spacing w:line="240" w:lineRule="auto" w:before="0" w:after="0"/>
        <w:ind w:left="3120" w:right="0" w:hanging="567"/>
        <w:jc w:val="left"/>
      </w:pPr>
      <w:bookmarkStart w:name="_bookmark15" w:id="26"/>
      <w:bookmarkEnd w:id="26"/>
      <w:r>
        <w:rPr>
          <w:b w:val="0"/>
        </w:rPr>
      </w:r>
      <w:bookmarkStart w:name="_bookmark15" w:id="27"/>
      <w:bookmarkEnd w:id="27"/>
      <w:r>
        <w:rPr>
          <w:color w:val="006666"/>
        </w:rPr>
        <w:t>Rec</w:t>
      </w:r>
      <w:r>
        <w:rPr>
          <w:color w:val="006666"/>
        </w:rPr>
        <w:t>ursos referente à Rede de Atendimento Integrado -</w:t>
      </w:r>
      <w:r>
        <w:rPr>
          <w:color w:val="006666"/>
          <w:spacing w:val="1"/>
        </w:rPr>
        <w:t> </w:t>
      </w:r>
      <w:r>
        <w:rPr>
          <w:color w:val="006666"/>
        </w:rPr>
        <w:t>RIA</w:t>
      </w:r>
    </w:p>
    <w:p>
      <w:pPr>
        <w:pStyle w:val="BodyText"/>
        <w:spacing w:before="3"/>
        <w:rPr>
          <w:b/>
          <w:sz w:val="29"/>
        </w:rPr>
      </w:pPr>
    </w:p>
    <w:p>
      <w:pPr>
        <w:pStyle w:val="BodyText"/>
        <w:spacing w:line="360" w:lineRule="auto"/>
        <w:ind w:left="1702" w:right="1126" w:firstLine="851"/>
        <w:jc w:val="both"/>
      </w:pPr>
      <w:r>
        <w:rPr/>
        <w:t>No tocante aos serviços abrangidos pelo Centro de Serviços Compartilhados, os inerentes à Rede Integrada de Atendimento (RIA) – Serviço de Teleatendimento Qualificado (TAQ); Serviço Telefônico de Teleatendimento 0800 e 4007; Rede Social Corporativa dos Arquitetos</w:t>
      </w:r>
      <w:r>
        <w:rPr>
          <w:spacing w:val="-7"/>
        </w:rPr>
        <w:t> </w:t>
      </w:r>
      <w:r>
        <w:rPr/>
        <w:t>e</w:t>
      </w:r>
      <w:r>
        <w:rPr>
          <w:spacing w:val="-8"/>
        </w:rPr>
        <w:t> </w:t>
      </w:r>
      <w:r>
        <w:rPr/>
        <w:t>Urbanistas;</w:t>
      </w:r>
      <w:r>
        <w:rPr>
          <w:spacing w:val="-10"/>
        </w:rPr>
        <w:t> </w:t>
      </w:r>
      <w:r>
        <w:rPr/>
        <w:t>e</w:t>
      </w:r>
      <w:r>
        <w:rPr>
          <w:spacing w:val="-6"/>
        </w:rPr>
        <w:t> </w:t>
      </w:r>
      <w:r>
        <w:rPr/>
        <w:t>Atendente</w:t>
      </w:r>
      <w:r>
        <w:rPr>
          <w:spacing w:val="-6"/>
        </w:rPr>
        <w:t> </w:t>
      </w:r>
      <w:r>
        <w:rPr/>
        <w:t>Virtual,</w:t>
      </w:r>
      <w:r>
        <w:rPr>
          <w:spacing w:val="-6"/>
        </w:rPr>
        <w:t> </w:t>
      </w:r>
      <w:r>
        <w:rPr/>
        <w:t>apenas</w:t>
      </w:r>
      <w:r>
        <w:rPr>
          <w:spacing w:val="-6"/>
        </w:rPr>
        <w:t> </w:t>
      </w:r>
      <w:r>
        <w:rPr/>
        <w:t>o</w:t>
      </w:r>
      <w:r>
        <w:rPr>
          <w:spacing w:val="-5"/>
        </w:rPr>
        <w:t> </w:t>
      </w:r>
      <w:r>
        <w:rPr>
          <w:b/>
        </w:rPr>
        <w:t>Serviço</w:t>
      </w:r>
      <w:r>
        <w:rPr>
          <w:b/>
          <w:spacing w:val="-7"/>
        </w:rPr>
        <w:t> </w:t>
      </w:r>
      <w:r>
        <w:rPr>
          <w:b/>
        </w:rPr>
        <w:t>Telefônico</w:t>
      </w:r>
      <w:r>
        <w:rPr>
          <w:b/>
          <w:spacing w:val="-7"/>
        </w:rPr>
        <w:t> </w:t>
      </w:r>
      <w:r>
        <w:rPr>
          <w:b/>
        </w:rPr>
        <w:t>(0800</w:t>
      </w:r>
      <w:r>
        <w:rPr>
          <w:b/>
          <w:spacing w:val="-6"/>
        </w:rPr>
        <w:t> </w:t>
      </w:r>
      <w:r>
        <w:rPr>
          <w:b/>
        </w:rPr>
        <w:t>e</w:t>
      </w:r>
      <w:r>
        <w:rPr>
          <w:b/>
          <w:spacing w:val="-9"/>
        </w:rPr>
        <w:t> </w:t>
      </w:r>
      <w:r>
        <w:rPr>
          <w:b/>
        </w:rPr>
        <w:t>4007)</w:t>
      </w:r>
      <w:r>
        <w:rPr/>
        <w:t>,</w:t>
      </w:r>
      <w:r>
        <w:rPr>
          <w:spacing w:val="-7"/>
        </w:rPr>
        <w:t> </w:t>
      </w:r>
      <w:r>
        <w:rPr/>
        <w:t>é</w:t>
      </w:r>
      <w:r>
        <w:rPr>
          <w:spacing w:val="-8"/>
        </w:rPr>
        <w:t> </w:t>
      </w:r>
      <w:r>
        <w:rPr/>
        <w:t>de custeio</w:t>
      </w:r>
      <w:r>
        <w:rPr>
          <w:spacing w:val="-8"/>
        </w:rPr>
        <w:t> </w:t>
      </w:r>
      <w:r>
        <w:rPr/>
        <w:t>integral</w:t>
      </w:r>
      <w:r>
        <w:rPr>
          <w:spacing w:val="-9"/>
        </w:rPr>
        <w:t> </w:t>
      </w:r>
      <w:r>
        <w:rPr/>
        <w:t>pelos</w:t>
      </w:r>
      <w:r>
        <w:rPr>
          <w:spacing w:val="-7"/>
        </w:rPr>
        <w:t> </w:t>
      </w:r>
      <w:r>
        <w:rPr/>
        <w:t>CAU/UF,</w:t>
      </w:r>
      <w:r>
        <w:rPr>
          <w:spacing w:val="-9"/>
        </w:rPr>
        <w:t> </w:t>
      </w:r>
      <w:r>
        <w:rPr/>
        <w:t>na</w:t>
      </w:r>
      <w:r>
        <w:rPr>
          <w:spacing w:val="-9"/>
        </w:rPr>
        <w:t> </w:t>
      </w:r>
      <w:r>
        <w:rPr/>
        <w:t>forma</w:t>
      </w:r>
      <w:r>
        <w:rPr>
          <w:spacing w:val="-7"/>
        </w:rPr>
        <w:t> </w:t>
      </w:r>
      <w:r>
        <w:rPr/>
        <w:t>da</w:t>
      </w:r>
      <w:r>
        <w:rPr>
          <w:spacing w:val="-9"/>
        </w:rPr>
        <w:t> </w:t>
      </w:r>
      <w:r>
        <w:rPr/>
        <w:t>Resolução</w:t>
      </w:r>
      <w:r>
        <w:rPr>
          <w:spacing w:val="-7"/>
        </w:rPr>
        <w:t> </w:t>
      </w:r>
      <w:r>
        <w:rPr/>
        <w:t>nº</w:t>
      </w:r>
      <w:r>
        <w:rPr>
          <w:spacing w:val="-9"/>
        </w:rPr>
        <w:t> </w:t>
      </w:r>
      <w:r>
        <w:rPr/>
        <w:t>126,</w:t>
      </w:r>
      <w:r>
        <w:rPr>
          <w:spacing w:val="-4"/>
        </w:rPr>
        <w:t> </w:t>
      </w:r>
      <w:r>
        <w:rPr/>
        <w:t>alterada</w:t>
      </w:r>
      <w:r>
        <w:rPr>
          <w:spacing w:val="-10"/>
        </w:rPr>
        <w:t> </w:t>
      </w:r>
      <w:r>
        <w:rPr/>
        <w:t>pela</w:t>
      </w:r>
      <w:r>
        <w:rPr>
          <w:spacing w:val="-9"/>
        </w:rPr>
        <w:t> </w:t>
      </w:r>
      <w:r>
        <w:rPr/>
        <w:t>Resolução</w:t>
      </w:r>
      <w:r>
        <w:rPr>
          <w:spacing w:val="-7"/>
        </w:rPr>
        <w:t> </w:t>
      </w:r>
      <w:r>
        <w:rPr/>
        <w:t>nº</w:t>
      </w:r>
      <w:r>
        <w:rPr>
          <w:spacing w:val="-8"/>
        </w:rPr>
        <w:t> </w:t>
      </w:r>
      <w:r>
        <w:rPr/>
        <w:t>183, no art. 10º, § 1º, Inciso II, Item b, como</w:t>
      </w:r>
      <w:r>
        <w:rPr>
          <w:spacing w:val="-1"/>
        </w:rPr>
        <w:t> </w:t>
      </w:r>
      <w:r>
        <w:rPr/>
        <w:t>segue:</w:t>
      </w:r>
    </w:p>
    <w:p>
      <w:pPr>
        <w:pStyle w:val="Heading5"/>
        <w:spacing w:line="360" w:lineRule="auto" w:before="160"/>
        <w:ind w:right="1127" w:firstLine="707"/>
        <w:jc w:val="both"/>
      </w:pPr>
      <w:r>
        <w:rPr/>
        <w:t>“b)</w:t>
      </w:r>
      <w:r>
        <w:rPr>
          <w:spacing w:val="-4"/>
        </w:rPr>
        <w:t> </w:t>
      </w:r>
      <w:r>
        <w:rPr/>
        <w:t>o</w:t>
      </w:r>
      <w:r>
        <w:rPr>
          <w:spacing w:val="-6"/>
        </w:rPr>
        <w:t> </w:t>
      </w:r>
      <w:r>
        <w:rPr/>
        <w:t>custeio</w:t>
      </w:r>
      <w:r>
        <w:rPr>
          <w:spacing w:val="-6"/>
        </w:rPr>
        <w:t> </w:t>
      </w:r>
      <w:r>
        <w:rPr/>
        <w:t>das</w:t>
      </w:r>
      <w:r>
        <w:rPr>
          <w:spacing w:val="-6"/>
        </w:rPr>
        <w:t> </w:t>
      </w:r>
      <w:r>
        <w:rPr/>
        <w:t>despesas</w:t>
      </w:r>
      <w:r>
        <w:rPr>
          <w:spacing w:val="-4"/>
        </w:rPr>
        <w:t> </w:t>
      </w:r>
      <w:r>
        <w:rPr/>
        <w:t>com</w:t>
      </w:r>
      <w:r>
        <w:rPr>
          <w:spacing w:val="-4"/>
        </w:rPr>
        <w:t> </w:t>
      </w:r>
      <w:r>
        <w:rPr/>
        <w:t>os</w:t>
      </w:r>
      <w:r>
        <w:rPr>
          <w:spacing w:val="-6"/>
        </w:rPr>
        <w:t> </w:t>
      </w:r>
      <w:r>
        <w:rPr/>
        <w:t>serviços</w:t>
      </w:r>
      <w:r>
        <w:rPr>
          <w:spacing w:val="-6"/>
        </w:rPr>
        <w:t> </w:t>
      </w:r>
      <w:r>
        <w:rPr/>
        <w:t>referidos</w:t>
      </w:r>
      <w:r>
        <w:rPr>
          <w:spacing w:val="-6"/>
        </w:rPr>
        <w:t> </w:t>
      </w:r>
      <w:r>
        <w:rPr/>
        <w:t>no</w:t>
      </w:r>
      <w:r>
        <w:rPr>
          <w:spacing w:val="-3"/>
        </w:rPr>
        <w:t> </w:t>
      </w:r>
      <w:r>
        <w:rPr/>
        <w:t>art.</w:t>
      </w:r>
      <w:r>
        <w:rPr>
          <w:spacing w:val="-5"/>
        </w:rPr>
        <w:t> </w:t>
      </w:r>
      <w:r>
        <w:rPr/>
        <w:t>2°,</w:t>
      </w:r>
      <w:r>
        <w:rPr>
          <w:spacing w:val="-5"/>
        </w:rPr>
        <w:t> </w:t>
      </w:r>
      <w:r>
        <w:rPr/>
        <w:t>§</w:t>
      </w:r>
      <w:r>
        <w:rPr>
          <w:spacing w:val="-3"/>
        </w:rPr>
        <w:t> </w:t>
      </w:r>
      <w:r>
        <w:rPr/>
        <w:t>1°,</w:t>
      </w:r>
      <w:r>
        <w:rPr>
          <w:spacing w:val="-6"/>
        </w:rPr>
        <w:t> </w:t>
      </w:r>
      <w:r>
        <w:rPr/>
        <w:t>inciso</w:t>
      </w:r>
      <w:r>
        <w:rPr>
          <w:spacing w:val="-3"/>
        </w:rPr>
        <w:t> </w:t>
      </w:r>
      <w:r>
        <w:rPr/>
        <w:t>III,</w:t>
      </w:r>
      <w:r>
        <w:rPr>
          <w:spacing w:val="-6"/>
        </w:rPr>
        <w:t> </w:t>
      </w:r>
      <w:r>
        <w:rPr/>
        <w:t>alíneas “b” desta Resolução, em valores correspondentes e proporcionais ao uso efetivo de </w:t>
      </w:r>
      <w:r>
        <w:rPr>
          <w:spacing w:val="2"/>
        </w:rPr>
        <w:t>cada </w:t>
      </w:r>
      <w:r>
        <w:rPr/>
        <w:t>CAU/UF, sendo que o encontro de contas será feito no primeiro mês do exercício subsequente”.</w:t>
      </w:r>
    </w:p>
    <w:p>
      <w:pPr>
        <w:pStyle w:val="BodyText"/>
        <w:spacing w:line="360" w:lineRule="auto" w:before="159"/>
        <w:ind w:left="1702" w:right="1125" w:firstLine="851"/>
        <w:jc w:val="both"/>
      </w:pPr>
      <w:r>
        <w:rPr/>
        <w:t>Nesse</w:t>
      </w:r>
      <w:r>
        <w:rPr>
          <w:spacing w:val="-5"/>
        </w:rPr>
        <w:t> </w:t>
      </w:r>
      <w:r>
        <w:rPr/>
        <w:t>contexto,</w:t>
      </w:r>
      <w:r>
        <w:rPr>
          <w:spacing w:val="-4"/>
        </w:rPr>
        <w:t> </w:t>
      </w:r>
      <w:r>
        <w:rPr/>
        <w:t>considerando</w:t>
      </w:r>
      <w:r>
        <w:rPr>
          <w:spacing w:val="-7"/>
        </w:rPr>
        <w:t> </w:t>
      </w:r>
      <w:r>
        <w:rPr/>
        <w:t>as</w:t>
      </w:r>
      <w:r>
        <w:rPr>
          <w:spacing w:val="-6"/>
        </w:rPr>
        <w:t> </w:t>
      </w:r>
      <w:r>
        <w:rPr/>
        <w:t>informações</w:t>
      </w:r>
      <w:r>
        <w:rPr>
          <w:spacing w:val="-4"/>
        </w:rPr>
        <w:t> </w:t>
      </w:r>
      <w:r>
        <w:rPr/>
        <w:t>levantadas</w:t>
      </w:r>
      <w:r>
        <w:rPr>
          <w:spacing w:val="-5"/>
        </w:rPr>
        <w:t> </w:t>
      </w:r>
      <w:r>
        <w:rPr/>
        <w:t>pelo</w:t>
      </w:r>
      <w:r>
        <w:rPr>
          <w:spacing w:val="-5"/>
        </w:rPr>
        <w:t> </w:t>
      </w:r>
      <w:r>
        <w:rPr/>
        <w:t>CSC</w:t>
      </w:r>
      <w:r>
        <w:rPr>
          <w:spacing w:val="-6"/>
        </w:rPr>
        <w:t> </w:t>
      </w:r>
      <w:r>
        <w:rPr/>
        <w:t>e</w:t>
      </w:r>
      <w:r>
        <w:rPr>
          <w:spacing w:val="-4"/>
        </w:rPr>
        <w:t> </w:t>
      </w:r>
      <w:r>
        <w:rPr/>
        <w:t>apreciadas</w:t>
      </w:r>
      <w:r>
        <w:rPr>
          <w:spacing w:val="-6"/>
        </w:rPr>
        <w:t> </w:t>
      </w:r>
      <w:r>
        <w:rPr/>
        <w:t>pelo Colegiado do CSC, o valor previsto para 2021, a ser aportado pelos CAU/UF inerente aos Serviço Telefônico de Teleatendimento 0800 e 4007 é de </w:t>
      </w:r>
      <w:r>
        <w:rPr>
          <w:b/>
        </w:rPr>
        <w:t>R$ 60,96 mil</w:t>
      </w:r>
      <w:r>
        <w:rPr/>
        <w:t>. Esses valores foram definidos pela média de utilização entre os anos de 2017 a 2019, na forma apresentada no Anexo</w:t>
      </w:r>
      <w:r>
        <w:rPr>
          <w:spacing w:val="-1"/>
        </w:rPr>
        <w:t> </w:t>
      </w:r>
      <w:r>
        <w:rPr/>
        <w:t>VII.I.</w:t>
      </w:r>
    </w:p>
    <w:p>
      <w:pPr>
        <w:pStyle w:val="BodyText"/>
      </w:pPr>
    </w:p>
    <w:p>
      <w:pPr>
        <w:pStyle w:val="BodyText"/>
        <w:spacing w:before="2"/>
        <w:rPr>
          <w:sz w:val="25"/>
        </w:rPr>
      </w:pPr>
    </w:p>
    <w:p>
      <w:pPr>
        <w:pStyle w:val="Heading3"/>
        <w:numPr>
          <w:ilvl w:val="1"/>
          <w:numId w:val="2"/>
        </w:numPr>
        <w:tabs>
          <w:tab w:pos="2979" w:val="left" w:leader="none"/>
        </w:tabs>
        <w:spacing w:line="240" w:lineRule="auto" w:before="0" w:after="0"/>
        <w:ind w:left="2978" w:right="0" w:hanging="425"/>
        <w:jc w:val="left"/>
      </w:pPr>
      <w:bookmarkStart w:name="_bookmark16" w:id="28"/>
      <w:bookmarkEnd w:id="28"/>
      <w:r>
        <w:rPr>
          <w:b w:val="0"/>
        </w:rPr>
      </w:r>
      <w:bookmarkStart w:name="_bookmark16" w:id="29"/>
      <w:bookmarkEnd w:id="29"/>
      <w:r>
        <w:rPr>
          <w:color w:val="006666"/>
        </w:rPr>
        <w:t>Re</w:t>
      </w:r>
      <w:r>
        <w:rPr>
          <w:color w:val="006666"/>
        </w:rPr>
        <w:t>ssarcimento de Tarifas Bancárias, pelo CAU/BR, aos</w:t>
      </w:r>
      <w:r>
        <w:rPr>
          <w:color w:val="006666"/>
          <w:spacing w:val="-10"/>
        </w:rPr>
        <w:t> </w:t>
      </w:r>
      <w:r>
        <w:rPr>
          <w:color w:val="006666"/>
        </w:rPr>
        <w:t>CAU/UF</w:t>
      </w:r>
    </w:p>
    <w:p>
      <w:pPr>
        <w:pStyle w:val="BodyText"/>
        <w:spacing w:before="5"/>
        <w:rPr>
          <w:b/>
          <w:sz w:val="30"/>
        </w:rPr>
      </w:pPr>
    </w:p>
    <w:p>
      <w:pPr>
        <w:pStyle w:val="BodyText"/>
        <w:spacing w:line="360" w:lineRule="auto"/>
        <w:ind w:left="1702" w:right="1126" w:firstLine="707"/>
        <w:jc w:val="both"/>
      </w:pPr>
      <w:r>
        <w:rPr/>
        <w:t>Considerando que o CAU/BR efetuará o ressarcimento aos CAU/UF, na proporção de </w:t>
      </w:r>
      <w:r>
        <w:rPr>
          <w:b/>
        </w:rPr>
        <w:t>20%, ou R$ 541,3 mil, </w:t>
      </w:r>
      <w:r>
        <w:rPr/>
        <w:t>do total das tarifas bancárias (de liquidação, registro e baixa) previstas para pagamento pelos CAU/UF, inerentes aos boletos emitidos para recebimento de anuidades, RRT e demais taxas que sejam pagas pelos profissionais e empresas, em favor do Conselho, durante o exercício de 2021, os CAU/UF deverão, nesta proposta de Programação,</w:t>
      </w:r>
    </w:p>
    <w:p>
      <w:pPr>
        <w:spacing w:after="0" w:line="360" w:lineRule="auto"/>
        <w:jc w:val="both"/>
        <w:sectPr>
          <w:pgSz w:w="11910" w:h="16840"/>
          <w:pgMar w:header="590" w:footer="612" w:top="1460" w:bottom="800" w:left="0" w:right="0"/>
        </w:sectPr>
      </w:pPr>
    </w:p>
    <w:p>
      <w:pPr>
        <w:pStyle w:val="BodyText"/>
        <w:spacing w:before="5"/>
        <w:rPr>
          <w:sz w:val="14"/>
        </w:rPr>
      </w:pPr>
    </w:p>
    <w:p>
      <w:pPr>
        <w:spacing w:line="360" w:lineRule="auto" w:before="51"/>
        <w:ind w:left="1702" w:right="1128" w:firstLine="0"/>
        <w:jc w:val="both"/>
        <w:rPr>
          <w:sz w:val="24"/>
        </w:rPr>
      </w:pPr>
      <w:r>
        <w:rPr>
          <w:sz w:val="24"/>
        </w:rPr>
        <w:t>incorporar na </w:t>
      </w:r>
      <w:r>
        <w:rPr>
          <w:b/>
          <w:sz w:val="24"/>
        </w:rPr>
        <w:t>fonte de recursos “Outras Receitas Correntes”, no modelo do Plano de Ação na “aba” Fontes e Aplicações</w:t>
      </w:r>
      <w:r>
        <w:rPr>
          <w:sz w:val="24"/>
        </w:rPr>
        <w:t>, especificando o respectivo valor e sua natureza, conforme detalhado, por CAU/UF, no Anexo VIII.</w:t>
      </w:r>
    </w:p>
    <w:p>
      <w:pPr>
        <w:pStyle w:val="BodyText"/>
      </w:pPr>
    </w:p>
    <w:p>
      <w:pPr>
        <w:pStyle w:val="BodyText"/>
        <w:spacing w:before="2"/>
        <w:rPr>
          <w:sz w:val="25"/>
        </w:rPr>
      </w:pPr>
    </w:p>
    <w:p>
      <w:pPr>
        <w:pStyle w:val="Heading3"/>
        <w:numPr>
          <w:ilvl w:val="1"/>
          <w:numId w:val="2"/>
        </w:numPr>
        <w:tabs>
          <w:tab w:pos="2979" w:val="left" w:leader="none"/>
        </w:tabs>
        <w:spacing w:line="240" w:lineRule="auto" w:before="0" w:after="0"/>
        <w:ind w:left="2978" w:right="0" w:hanging="425"/>
        <w:jc w:val="left"/>
      </w:pPr>
      <w:bookmarkStart w:name="_bookmark17" w:id="30"/>
      <w:bookmarkEnd w:id="30"/>
      <w:r>
        <w:rPr>
          <w:b w:val="0"/>
        </w:rPr>
      </w:r>
      <w:bookmarkStart w:name="_bookmark17" w:id="31"/>
      <w:bookmarkEnd w:id="31"/>
      <w:r>
        <w:rPr>
          <w:color w:val="006666"/>
        </w:rPr>
        <w:t>D</w:t>
      </w:r>
      <w:r>
        <w:rPr>
          <w:color w:val="006666"/>
        </w:rPr>
        <w:t>estinação de Recursos para Reserva de</w:t>
      </w:r>
      <w:r>
        <w:rPr>
          <w:color w:val="006666"/>
          <w:spacing w:val="-10"/>
        </w:rPr>
        <w:t> </w:t>
      </w:r>
      <w:r>
        <w:rPr>
          <w:color w:val="006666"/>
        </w:rPr>
        <w:t>Contingência</w:t>
      </w:r>
    </w:p>
    <w:p>
      <w:pPr>
        <w:pStyle w:val="BodyText"/>
        <w:spacing w:before="5"/>
        <w:rPr>
          <w:b/>
          <w:sz w:val="30"/>
        </w:rPr>
      </w:pPr>
    </w:p>
    <w:p>
      <w:pPr>
        <w:pStyle w:val="BodyText"/>
        <w:spacing w:line="360" w:lineRule="auto"/>
        <w:ind w:left="1702" w:right="1126" w:firstLine="851"/>
        <w:jc w:val="both"/>
      </w:pPr>
      <w:r>
        <w:rPr/>
        <w:t>O CAU/BR e os CAU/UF poderão criar uma atividade, em seus Planos de Ação, destinada a constituir “Reserva de Contingência” objetivando suportar eventuais ações de natureza estratégica e operacional, não contempladas no Plano de Ação aprovado. Para essa finalidade deverão ser direcionados </w:t>
      </w:r>
      <w:r>
        <w:rPr>
          <w:b/>
        </w:rPr>
        <w:t>até 2% </w:t>
      </w:r>
      <w:r>
        <w:rPr/>
        <w:t>do </w:t>
      </w:r>
      <w:r>
        <w:rPr>
          <w:b/>
        </w:rPr>
        <w:t>total </w:t>
      </w:r>
      <w:r>
        <w:rPr/>
        <w:t>dos recursos oriundos das receitas de arrecadação</w:t>
      </w:r>
      <w:r>
        <w:rPr>
          <w:spacing w:val="-13"/>
        </w:rPr>
        <w:t> </w:t>
      </w:r>
      <w:r>
        <w:rPr/>
        <w:t>(anuidades</w:t>
      </w:r>
      <w:r>
        <w:rPr>
          <w:spacing w:val="-14"/>
        </w:rPr>
        <w:t> </w:t>
      </w:r>
      <w:r>
        <w:rPr/>
        <w:t>do</w:t>
      </w:r>
      <w:r>
        <w:rPr>
          <w:spacing w:val="-12"/>
        </w:rPr>
        <w:t> </w:t>
      </w:r>
      <w:r>
        <w:rPr/>
        <w:t>exercício</w:t>
      </w:r>
      <w:r>
        <w:rPr>
          <w:spacing w:val="-12"/>
        </w:rPr>
        <w:t> </w:t>
      </w:r>
      <w:r>
        <w:rPr/>
        <w:t>e</w:t>
      </w:r>
      <w:r>
        <w:rPr>
          <w:spacing w:val="-12"/>
        </w:rPr>
        <w:t> </w:t>
      </w:r>
      <w:r>
        <w:rPr/>
        <w:t>exercícios</w:t>
      </w:r>
      <w:r>
        <w:rPr>
          <w:spacing w:val="-14"/>
        </w:rPr>
        <w:t> </w:t>
      </w:r>
      <w:r>
        <w:rPr/>
        <w:t>anteriores,</w:t>
      </w:r>
      <w:r>
        <w:rPr>
          <w:spacing w:val="-13"/>
        </w:rPr>
        <w:t> </w:t>
      </w:r>
      <w:r>
        <w:rPr/>
        <w:t>RRT,</w:t>
      </w:r>
      <w:r>
        <w:rPr>
          <w:spacing w:val="-11"/>
        </w:rPr>
        <w:t> </w:t>
      </w:r>
      <w:r>
        <w:rPr/>
        <w:t>taxas</w:t>
      </w:r>
      <w:r>
        <w:rPr>
          <w:spacing w:val="-13"/>
        </w:rPr>
        <w:t> </w:t>
      </w:r>
      <w:r>
        <w:rPr/>
        <w:t>e</w:t>
      </w:r>
      <w:r>
        <w:rPr>
          <w:spacing w:val="-14"/>
        </w:rPr>
        <w:t> </w:t>
      </w:r>
      <w:r>
        <w:rPr/>
        <w:t>multas)</w:t>
      </w:r>
      <w:r>
        <w:rPr>
          <w:spacing w:val="-13"/>
        </w:rPr>
        <w:t> </w:t>
      </w:r>
      <w:r>
        <w:rPr/>
        <w:t>e</w:t>
      </w:r>
      <w:r>
        <w:rPr>
          <w:spacing w:val="-12"/>
        </w:rPr>
        <w:t> </w:t>
      </w:r>
      <w:r>
        <w:rPr/>
        <w:t>os</w:t>
      </w:r>
      <w:r>
        <w:rPr>
          <w:spacing w:val="-13"/>
        </w:rPr>
        <w:t> </w:t>
      </w:r>
      <w:r>
        <w:rPr/>
        <w:t>recursos oriundos do Fundo de Apoio, no caso dos CAU Básicos, deduzidos os valores do aporte do Fundo de</w:t>
      </w:r>
      <w:r>
        <w:rPr>
          <w:spacing w:val="-1"/>
        </w:rPr>
        <w:t> </w:t>
      </w:r>
      <w:r>
        <w:rPr/>
        <w:t>Apoio.</w:t>
      </w:r>
    </w:p>
    <w:p>
      <w:pPr>
        <w:pStyle w:val="BodyText"/>
      </w:pPr>
    </w:p>
    <w:p>
      <w:pPr>
        <w:pStyle w:val="BodyText"/>
      </w:pPr>
    </w:p>
    <w:p>
      <w:pPr>
        <w:pStyle w:val="Heading3"/>
        <w:numPr>
          <w:ilvl w:val="1"/>
          <w:numId w:val="2"/>
        </w:numPr>
        <w:tabs>
          <w:tab w:pos="2979" w:val="left" w:leader="none"/>
        </w:tabs>
        <w:spacing w:line="240" w:lineRule="auto" w:before="174" w:after="0"/>
        <w:ind w:left="2978" w:right="0" w:hanging="425"/>
        <w:jc w:val="left"/>
      </w:pPr>
      <w:bookmarkStart w:name="_bookmark18" w:id="32"/>
      <w:bookmarkEnd w:id="32"/>
      <w:r>
        <w:rPr>
          <w:b w:val="0"/>
        </w:rPr>
      </w:r>
      <w:bookmarkStart w:name="_bookmark18" w:id="33"/>
      <w:bookmarkEnd w:id="33"/>
      <w:r>
        <w:rPr>
          <w:color w:val="006666"/>
        </w:rPr>
        <w:t>Fo</w:t>
      </w:r>
      <w:r>
        <w:rPr>
          <w:color w:val="006666"/>
        </w:rPr>
        <w:t>cando Grupos de</w:t>
      </w:r>
      <w:r>
        <w:rPr>
          <w:color w:val="006666"/>
          <w:spacing w:val="-6"/>
        </w:rPr>
        <w:t> </w:t>
      </w:r>
      <w:r>
        <w:rPr>
          <w:color w:val="006666"/>
        </w:rPr>
        <w:t>Despesas</w:t>
      </w:r>
    </w:p>
    <w:p>
      <w:pPr>
        <w:pStyle w:val="BodyText"/>
        <w:spacing w:before="5"/>
        <w:rPr>
          <w:b/>
          <w:sz w:val="30"/>
        </w:rPr>
      </w:pPr>
    </w:p>
    <w:p>
      <w:pPr>
        <w:pStyle w:val="ListParagraph"/>
        <w:numPr>
          <w:ilvl w:val="0"/>
          <w:numId w:val="9"/>
        </w:numPr>
        <w:tabs>
          <w:tab w:pos="3142" w:val="left" w:leader="none"/>
        </w:tabs>
        <w:spacing w:line="357" w:lineRule="auto" w:before="1" w:after="0"/>
        <w:ind w:left="3142" w:right="1127" w:hanging="360"/>
        <w:jc w:val="both"/>
        <w:rPr>
          <w:sz w:val="24"/>
        </w:rPr>
      </w:pPr>
      <w:r>
        <w:rPr>
          <w:sz w:val="24"/>
        </w:rPr>
        <w:t>O </w:t>
      </w:r>
      <w:r>
        <w:rPr>
          <w:b/>
          <w:sz w:val="24"/>
        </w:rPr>
        <w:t>máximo de 55% </w:t>
      </w:r>
      <w:r>
        <w:rPr>
          <w:sz w:val="24"/>
        </w:rPr>
        <w:t>(cinquenta e cinco por cento) do total das Receitas Correntes, compreendendo Receitas de Arrecadação, Aplicações Financeiras, Outras Receitas Correntes e Fundo de Apoio, no caso dos CAU-Básicos, para alocação em Despesas com</w:t>
      </w:r>
      <w:r>
        <w:rPr>
          <w:spacing w:val="1"/>
          <w:sz w:val="24"/>
        </w:rPr>
        <w:t> </w:t>
      </w:r>
      <w:r>
        <w:rPr>
          <w:sz w:val="24"/>
        </w:rPr>
        <w:t>Pessoal.</w:t>
      </w:r>
    </w:p>
    <w:p>
      <w:pPr>
        <w:spacing w:line="360" w:lineRule="auto" w:before="210"/>
        <w:ind w:left="3120" w:right="1128" w:firstLine="0"/>
        <w:jc w:val="both"/>
        <w:rPr>
          <w:i/>
          <w:sz w:val="24"/>
        </w:rPr>
      </w:pPr>
      <w:r>
        <w:rPr/>
        <w:pict>
          <v:group style="position:absolute;margin-left:87.599998pt;margin-top:147.426773pt;width:454.2pt;height:93.05pt;mso-position-horizontal-relative:page;mso-position-vertical-relative:paragraph;z-index:-15725568;mso-wrap-distance-left:0;mso-wrap-distance-right:0" coordorigin="1752,2949" coordsize="9084,1861">
            <v:rect style="position:absolute;left:1757;top:2953;width:9074;height:1851" filled="true" fillcolor="#d9d9d9" stroked="false">
              <v:fill type="solid"/>
            </v:rect>
            <v:rect style="position:absolute;left:1757;top:2953;width:9074;height:1851" filled="false" stroked="true" strokeweight=".5pt" strokecolor="#000000">
              <v:stroke dashstyle="solid"/>
            </v:rect>
            <v:shape style="position:absolute;left:1877;top:3033;width:8837;height:1697" type="#_x0000_t202" filled="true" fillcolor="#f7c9ac" stroked="false">
              <v:textbox inset="0,0,0,0">
                <w:txbxContent>
                  <w:p>
                    <w:pPr>
                      <w:spacing w:line="360" w:lineRule="auto" w:before="0"/>
                      <w:ind w:left="28" w:right="23" w:firstLine="0"/>
                      <w:jc w:val="both"/>
                      <w:rPr>
                        <w:i/>
                        <w:sz w:val="24"/>
                      </w:rPr>
                    </w:pPr>
                    <w:r>
                      <w:rPr>
                        <w:b/>
                        <w:i/>
                        <w:sz w:val="24"/>
                      </w:rPr>
                      <w:t>NOTA 2: </w:t>
                    </w:r>
                    <w:r>
                      <w:rPr>
                        <w:i/>
                        <w:sz w:val="24"/>
                      </w:rPr>
                      <w:t>Na proposta de programação do Plano de Ação 2021, fica </w:t>
                    </w:r>
                    <w:r>
                      <w:rPr>
                        <w:b/>
                        <w:i/>
                        <w:sz w:val="24"/>
                        <w:u w:val="single"/>
                      </w:rPr>
                      <w:t>VEDADA,</w:t>
                    </w:r>
                    <w:r>
                      <w:rPr>
                        <w:b/>
                        <w:i/>
                        <w:sz w:val="24"/>
                      </w:rPr>
                      <w:t> </w:t>
                    </w:r>
                    <w:r>
                      <w:rPr>
                        <w:i/>
                        <w:sz w:val="24"/>
                      </w:rPr>
                      <w:t>a </w:t>
                    </w:r>
                    <w:r>
                      <w:rPr>
                        <w:i/>
                        <w:sz w:val="24"/>
                      </w:rPr>
                      <w:t>inobservância</w:t>
                    </w:r>
                    <w:r>
                      <w:rPr>
                        <w:i/>
                        <w:spacing w:val="-8"/>
                        <w:sz w:val="24"/>
                      </w:rPr>
                      <w:t> </w:t>
                    </w:r>
                    <w:r>
                      <w:rPr>
                        <w:i/>
                        <w:sz w:val="24"/>
                      </w:rPr>
                      <w:t>de</w:t>
                    </w:r>
                    <w:r>
                      <w:rPr>
                        <w:i/>
                        <w:spacing w:val="-6"/>
                        <w:sz w:val="24"/>
                      </w:rPr>
                      <w:t> </w:t>
                    </w:r>
                    <w:r>
                      <w:rPr>
                        <w:i/>
                        <w:sz w:val="24"/>
                      </w:rPr>
                      <w:t>aplicação</w:t>
                    </w:r>
                    <w:r>
                      <w:rPr>
                        <w:i/>
                        <w:spacing w:val="-7"/>
                        <w:sz w:val="24"/>
                      </w:rPr>
                      <w:t> </w:t>
                    </w:r>
                    <w:r>
                      <w:rPr>
                        <w:i/>
                        <w:sz w:val="24"/>
                      </w:rPr>
                      <w:t>do</w:t>
                    </w:r>
                    <w:r>
                      <w:rPr>
                        <w:i/>
                        <w:spacing w:val="-7"/>
                        <w:sz w:val="24"/>
                      </w:rPr>
                      <w:t> </w:t>
                    </w:r>
                    <w:r>
                      <w:rPr>
                        <w:b/>
                        <w:i/>
                        <w:sz w:val="24"/>
                      </w:rPr>
                      <w:t>percentual</w:t>
                    </w:r>
                    <w:r>
                      <w:rPr>
                        <w:b/>
                        <w:i/>
                        <w:spacing w:val="-8"/>
                        <w:sz w:val="24"/>
                      </w:rPr>
                      <w:t> </w:t>
                    </w:r>
                    <w:r>
                      <w:rPr>
                        <w:b/>
                        <w:i/>
                        <w:sz w:val="24"/>
                      </w:rPr>
                      <w:t>máximo</w:t>
                    </w:r>
                    <w:r>
                      <w:rPr>
                        <w:b/>
                        <w:i/>
                        <w:spacing w:val="-6"/>
                        <w:sz w:val="24"/>
                      </w:rPr>
                      <w:t> </w:t>
                    </w:r>
                    <w:r>
                      <w:rPr>
                        <w:b/>
                        <w:i/>
                        <w:sz w:val="24"/>
                      </w:rPr>
                      <w:t>de</w:t>
                    </w:r>
                    <w:r>
                      <w:rPr>
                        <w:b/>
                        <w:i/>
                        <w:spacing w:val="-8"/>
                        <w:sz w:val="24"/>
                      </w:rPr>
                      <w:t> </w:t>
                    </w:r>
                    <w:r>
                      <w:rPr>
                        <w:b/>
                        <w:i/>
                        <w:sz w:val="24"/>
                      </w:rPr>
                      <w:t>55%</w:t>
                    </w:r>
                    <w:r>
                      <w:rPr>
                        <w:b/>
                        <w:i/>
                        <w:spacing w:val="-7"/>
                        <w:sz w:val="24"/>
                      </w:rPr>
                      <w:t> </w:t>
                    </w:r>
                    <w:r>
                      <w:rPr>
                        <w:i/>
                        <w:sz w:val="24"/>
                      </w:rPr>
                      <w:t>(cinquenta</w:t>
                    </w:r>
                    <w:r>
                      <w:rPr>
                        <w:i/>
                        <w:spacing w:val="-7"/>
                        <w:sz w:val="24"/>
                      </w:rPr>
                      <w:t> </w:t>
                    </w:r>
                    <w:r>
                      <w:rPr>
                        <w:i/>
                        <w:sz w:val="24"/>
                      </w:rPr>
                      <w:t>e</w:t>
                    </w:r>
                    <w:r>
                      <w:rPr>
                        <w:i/>
                        <w:spacing w:val="-8"/>
                        <w:sz w:val="24"/>
                      </w:rPr>
                      <w:t> </w:t>
                    </w:r>
                    <w:r>
                      <w:rPr>
                        <w:i/>
                        <w:sz w:val="24"/>
                      </w:rPr>
                      <w:t>cinco</w:t>
                    </w:r>
                    <w:r>
                      <w:rPr>
                        <w:i/>
                        <w:spacing w:val="-7"/>
                        <w:sz w:val="24"/>
                      </w:rPr>
                      <w:t> </w:t>
                    </w:r>
                    <w:r>
                      <w:rPr>
                        <w:i/>
                        <w:sz w:val="24"/>
                      </w:rPr>
                      <w:t>por</w:t>
                    </w:r>
                    <w:r>
                      <w:rPr>
                        <w:i/>
                        <w:spacing w:val="-8"/>
                        <w:sz w:val="24"/>
                      </w:rPr>
                      <w:t> </w:t>
                    </w:r>
                    <w:r>
                      <w:rPr>
                        <w:i/>
                        <w:sz w:val="24"/>
                      </w:rPr>
                      <w:t>cento)</w:t>
                    </w:r>
                    <w:r>
                      <w:rPr>
                        <w:i/>
                        <w:spacing w:val="-7"/>
                        <w:sz w:val="24"/>
                      </w:rPr>
                      <w:t> </w:t>
                    </w:r>
                    <w:r>
                      <w:rPr>
                        <w:i/>
                        <w:sz w:val="24"/>
                      </w:rPr>
                      <w:t>da </w:t>
                    </w:r>
                    <w:r>
                      <w:rPr>
                        <w:i/>
                        <w:sz w:val="24"/>
                      </w:rPr>
                      <w:t>Receita Corrente para despesas com</w:t>
                    </w:r>
                    <w:r>
                      <w:rPr>
                        <w:i/>
                        <w:spacing w:val="-2"/>
                        <w:sz w:val="24"/>
                      </w:rPr>
                      <w:t> </w:t>
                    </w:r>
                    <w:r>
                      <w:rPr>
                        <w:i/>
                        <w:sz w:val="24"/>
                      </w:rPr>
                      <w:t>pessoal.</w:t>
                    </w:r>
                  </w:p>
                </w:txbxContent>
              </v:textbox>
              <v:fill type="solid"/>
              <w10:wrap type="none"/>
            </v:shape>
            <w10:wrap type="topAndBottom"/>
          </v:group>
        </w:pict>
      </w:r>
      <w:r>
        <w:rPr>
          <w:b/>
          <w:i/>
          <w:sz w:val="24"/>
        </w:rPr>
        <w:t>Obs.: Esse limite não considera as despesas com pessoal decorrentes de: </w:t>
      </w:r>
      <w:r>
        <w:rPr>
          <w:b/>
          <w:i/>
          <w:sz w:val="24"/>
        </w:rPr>
        <w:t>auxílio transporte, auxílio alimentação, plano de saúde e demais benefícios concedidos pelo CAU/UF e CAU/BR a seus colaboradores, bem como os valores de rescisões trabalhistas, tendo em vista não serem de natureza remuneratória e sim de natureza indenizatória </w:t>
      </w:r>
      <w:r>
        <w:rPr>
          <w:i/>
          <w:sz w:val="24"/>
        </w:rPr>
        <w:t>(art.18, inciso I, parágrafo 1º </w:t>
      </w:r>
      <w:r>
        <w:rPr>
          <w:i/>
          <w:sz w:val="24"/>
        </w:rPr>
        <w:t>do art. 19 da Lei Complementar 101/2000 – Lei de Responsabilidade</w:t>
      </w:r>
      <w:r>
        <w:rPr>
          <w:i/>
          <w:spacing w:val="-13"/>
          <w:sz w:val="24"/>
        </w:rPr>
        <w:t> </w:t>
      </w:r>
      <w:r>
        <w:rPr>
          <w:i/>
          <w:sz w:val="24"/>
        </w:rPr>
        <w:t>Fiscal).</w:t>
      </w:r>
    </w:p>
    <w:p>
      <w:pPr>
        <w:spacing w:after="0" w:line="360" w:lineRule="auto"/>
        <w:jc w:val="both"/>
        <w:rPr>
          <w:sz w:val="24"/>
        </w:rPr>
        <w:sectPr>
          <w:pgSz w:w="11910" w:h="16840"/>
          <w:pgMar w:header="590" w:footer="612" w:top="1460" w:bottom="800" w:left="0" w:right="0"/>
        </w:sectPr>
      </w:pPr>
    </w:p>
    <w:p>
      <w:pPr>
        <w:pStyle w:val="BodyText"/>
        <w:rPr>
          <w:i/>
          <w:sz w:val="20"/>
        </w:rPr>
      </w:pPr>
    </w:p>
    <w:p>
      <w:pPr>
        <w:pStyle w:val="BodyText"/>
        <w:rPr>
          <w:i/>
          <w:sz w:val="20"/>
        </w:rPr>
      </w:pPr>
    </w:p>
    <w:p>
      <w:pPr>
        <w:pStyle w:val="Heading3"/>
        <w:numPr>
          <w:ilvl w:val="1"/>
          <w:numId w:val="2"/>
        </w:numPr>
        <w:tabs>
          <w:tab w:pos="2979" w:val="left" w:leader="none"/>
        </w:tabs>
        <w:spacing w:line="240" w:lineRule="auto" w:before="178" w:after="0"/>
        <w:ind w:left="2978" w:right="0" w:hanging="425"/>
        <w:jc w:val="left"/>
      </w:pPr>
      <w:bookmarkStart w:name="_bookmark19" w:id="34"/>
      <w:bookmarkEnd w:id="34"/>
      <w:r>
        <w:rPr>
          <w:b w:val="0"/>
        </w:rPr>
      </w:r>
      <w:bookmarkStart w:name="_bookmark19" w:id="35"/>
      <w:bookmarkEnd w:id="35"/>
      <w:r>
        <w:rPr>
          <w:color w:val="006666"/>
        </w:rPr>
        <w:t>Pro</w:t>
      </w:r>
      <w:r>
        <w:rPr>
          <w:color w:val="006666"/>
        </w:rPr>
        <w:t>jetos</w:t>
      </w:r>
      <w:r>
        <w:rPr>
          <w:color w:val="006666"/>
          <w:spacing w:val="-2"/>
        </w:rPr>
        <w:t> </w:t>
      </w:r>
      <w:r>
        <w:rPr>
          <w:color w:val="006666"/>
        </w:rPr>
        <w:t>Específicos</w:t>
      </w:r>
    </w:p>
    <w:p>
      <w:pPr>
        <w:pStyle w:val="BodyText"/>
        <w:spacing w:before="5"/>
        <w:rPr>
          <w:b/>
          <w:sz w:val="30"/>
        </w:rPr>
      </w:pPr>
    </w:p>
    <w:p>
      <w:pPr>
        <w:spacing w:line="360" w:lineRule="auto" w:before="0"/>
        <w:ind w:left="1702" w:right="1129" w:firstLine="707"/>
        <w:jc w:val="both"/>
        <w:rPr>
          <w:sz w:val="24"/>
        </w:rPr>
      </w:pPr>
      <w:r>
        <w:rPr>
          <w:sz w:val="24"/>
        </w:rPr>
        <w:t>A incorporação dos recursos oriundos de </w:t>
      </w:r>
      <w:r>
        <w:rPr>
          <w:b/>
          <w:sz w:val="24"/>
        </w:rPr>
        <w:t>Saldos de Exercícios Anteriores</w:t>
      </w:r>
      <w:r>
        <w:rPr>
          <w:sz w:val="24"/>
        </w:rPr>
        <w:t>, de acordo com a deliberação plenária nº 84-03/2019 e 0097-08. B/2019:</w:t>
      </w:r>
    </w:p>
    <w:p>
      <w:pPr>
        <w:spacing w:line="360" w:lineRule="auto" w:before="160"/>
        <w:ind w:left="3404" w:right="1129" w:hanging="87"/>
        <w:jc w:val="both"/>
        <w:rPr>
          <w:i/>
          <w:sz w:val="24"/>
        </w:rPr>
      </w:pPr>
      <w:r>
        <w:rPr>
          <w:i/>
          <w:sz w:val="24"/>
        </w:rPr>
        <w:t>“2 – Autorizar a utilização de superávit financeiro, apurado no balanço </w:t>
      </w:r>
      <w:r>
        <w:rPr>
          <w:i/>
          <w:sz w:val="24"/>
        </w:rPr>
        <w:t>patrimonial do exercício imediatamente anterior, </w:t>
      </w:r>
      <w:r>
        <w:rPr>
          <w:i/>
          <w:sz w:val="24"/>
          <w:u w:val="single"/>
        </w:rPr>
        <w:t>em despesas de capital e</w:t>
      </w:r>
      <w:r>
        <w:rPr>
          <w:i/>
          <w:sz w:val="24"/>
        </w:rPr>
        <w:t> </w:t>
      </w:r>
      <w:r>
        <w:rPr>
          <w:i/>
          <w:sz w:val="24"/>
          <w:u w:val="single"/>
        </w:rPr>
        <w:t>em projetos específicos</w:t>
      </w:r>
      <w:r>
        <w:rPr>
          <w:i/>
          <w:sz w:val="24"/>
        </w:rPr>
        <w:t> com seus respectivos Planos de Trabalho e com duração não superior a um exercício, de caráter não continuado, em ações cuja realização seja suportada por despesas de natureza corrente;”</w:t>
      </w:r>
    </w:p>
    <w:p>
      <w:pPr>
        <w:tabs>
          <w:tab w:pos="4625" w:val="left" w:leader="none"/>
          <w:tab w:pos="6370" w:val="left" w:leader="none"/>
          <w:tab w:pos="8413" w:val="left" w:leader="none"/>
          <w:tab w:pos="10400" w:val="left" w:leader="none"/>
        </w:tabs>
        <w:spacing w:line="360" w:lineRule="auto" w:before="0"/>
        <w:ind w:left="3404" w:right="1128" w:hanging="142"/>
        <w:jc w:val="both"/>
        <w:rPr>
          <w:sz w:val="24"/>
        </w:rPr>
      </w:pPr>
      <w:r>
        <w:rPr>
          <w:i/>
          <w:sz w:val="24"/>
        </w:rPr>
        <w:t>“5 – Esclarecer que a utilização do superávit financeiro está sujeita à prévia </w:t>
      </w:r>
      <w:r>
        <w:rPr>
          <w:i/>
          <w:sz w:val="24"/>
        </w:rPr>
        <w:t>autorização dos Plenários dos CAU/UF, que deverão estabelecer critérios e percentuais de uso dos recursos, pois cada CAU/UF é responsável pelo uso do</w:t>
        <w:tab/>
        <w:t>referido</w:t>
        <w:tab/>
        <w:t>superávit;”</w:t>
        <w:tab/>
      </w:r>
      <w:r>
        <w:rPr>
          <w:sz w:val="24"/>
        </w:rPr>
        <w:t>Disponível</w:t>
        <w:tab/>
      </w:r>
      <w:r>
        <w:rPr>
          <w:spacing w:val="-6"/>
          <w:sz w:val="24"/>
        </w:rPr>
        <w:t>em: </w:t>
      </w:r>
      <w:hyperlink r:id="rId15">
        <w:r>
          <w:rPr>
            <w:color w:val="0462C1"/>
            <w:sz w:val="24"/>
            <w:u w:val="single" w:color="0462C1"/>
          </w:rPr>
          <w:t>https://transparencia.caubr.gov.br/deliberacaoplenaria-dpobr-0084-03/</w:t>
        </w:r>
      </w:hyperlink>
      <w:r>
        <w:rPr>
          <w:color w:val="0462C1"/>
          <w:sz w:val="24"/>
        </w:rPr>
        <w:t> </w:t>
      </w:r>
      <w:r>
        <w:rPr>
          <w:sz w:val="24"/>
        </w:rPr>
        <w:t>e </w:t>
      </w:r>
      <w:r>
        <w:rPr>
          <w:color w:val="5B9BD4"/>
          <w:sz w:val="24"/>
          <w:u w:val="single" w:color="5B9BD4"/>
        </w:rPr>
        <w:t>https://transparencia.caubr.gov.br/deliberacao-plenaria-dpobr-0097-08-b/</w:t>
      </w:r>
    </w:p>
    <w:p>
      <w:pPr>
        <w:pStyle w:val="BodyText"/>
        <w:spacing w:before="2"/>
        <w:rPr>
          <w:sz w:val="12"/>
        </w:rPr>
      </w:pPr>
    </w:p>
    <w:p>
      <w:pPr>
        <w:pStyle w:val="BodyText"/>
        <w:spacing w:line="360" w:lineRule="auto" w:before="52"/>
        <w:ind w:left="1702" w:right="1126" w:firstLine="707"/>
        <w:jc w:val="both"/>
      </w:pPr>
      <w:r>
        <w:rPr/>
        <w:t>Portanto, utilização do superávit financeiro está sujeita à </w:t>
      </w:r>
      <w:r>
        <w:rPr>
          <w:b/>
        </w:rPr>
        <w:t>prévia autorização </w:t>
      </w:r>
      <w:r>
        <w:rPr/>
        <w:t>dos Plenários dos CAU/UF, que deverão estabelecer critérios e percentuais de uso dos recursos, pois cada CAU/UF é responsável pelo uso do referido superávit. Para fins de apuração do referido</w:t>
      </w:r>
      <w:r>
        <w:rPr>
          <w:spacing w:val="-3"/>
        </w:rPr>
        <w:t> </w:t>
      </w:r>
      <w:r>
        <w:rPr/>
        <w:t>superávit</w:t>
      </w:r>
      <w:r>
        <w:rPr>
          <w:spacing w:val="-4"/>
        </w:rPr>
        <w:t> </w:t>
      </w:r>
      <w:r>
        <w:rPr/>
        <w:t>financeiro,</w:t>
      </w:r>
      <w:r>
        <w:rPr>
          <w:spacing w:val="-2"/>
        </w:rPr>
        <w:t> </w:t>
      </w:r>
      <w:r>
        <w:rPr/>
        <w:t>aplica-se</w:t>
      </w:r>
      <w:r>
        <w:rPr>
          <w:spacing w:val="-3"/>
        </w:rPr>
        <w:t> </w:t>
      </w:r>
      <w:r>
        <w:rPr/>
        <w:t>o</w:t>
      </w:r>
      <w:r>
        <w:rPr>
          <w:spacing w:val="-5"/>
        </w:rPr>
        <w:t> </w:t>
      </w:r>
      <w:r>
        <w:rPr/>
        <w:t>previsto</w:t>
      </w:r>
      <w:r>
        <w:rPr>
          <w:spacing w:val="-6"/>
        </w:rPr>
        <w:t> </w:t>
      </w:r>
      <w:r>
        <w:rPr/>
        <w:t>no</w:t>
      </w:r>
      <w:r>
        <w:rPr>
          <w:spacing w:val="-2"/>
        </w:rPr>
        <w:t> </w:t>
      </w:r>
      <w:r>
        <w:rPr/>
        <w:t>§</w:t>
      </w:r>
      <w:r>
        <w:rPr>
          <w:spacing w:val="-5"/>
        </w:rPr>
        <w:t> </w:t>
      </w:r>
      <w:r>
        <w:rPr/>
        <w:t>2º</w:t>
      </w:r>
      <w:r>
        <w:rPr>
          <w:spacing w:val="-3"/>
        </w:rPr>
        <w:t> </w:t>
      </w:r>
      <w:r>
        <w:rPr/>
        <w:t>do</w:t>
      </w:r>
      <w:r>
        <w:rPr>
          <w:spacing w:val="-5"/>
        </w:rPr>
        <w:t> </w:t>
      </w:r>
      <w:r>
        <w:rPr/>
        <w:t>art.</w:t>
      </w:r>
      <w:r>
        <w:rPr>
          <w:spacing w:val="-7"/>
        </w:rPr>
        <w:t> </w:t>
      </w:r>
      <w:r>
        <w:rPr/>
        <w:t>43,</w:t>
      </w:r>
      <w:r>
        <w:rPr>
          <w:spacing w:val="-5"/>
        </w:rPr>
        <w:t> </w:t>
      </w:r>
      <w:r>
        <w:rPr/>
        <w:t>da</w:t>
      </w:r>
      <w:r>
        <w:rPr>
          <w:spacing w:val="-3"/>
        </w:rPr>
        <w:t> </w:t>
      </w:r>
      <w:r>
        <w:rPr/>
        <w:t>Lei</w:t>
      </w:r>
      <w:r>
        <w:rPr>
          <w:spacing w:val="-5"/>
        </w:rPr>
        <w:t> </w:t>
      </w:r>
      <w:r>
        <w:rPr/>
        <w:t>nº</w:t>
      </w:r>
      <w:r>
        <w:rPr>
          <w:spacing w:val="-4"/>
        </w:rPr>
        <w:t> </w:t>
      </w:r>
      <w:r>
        <w:rPr/>
        <w:t>4.320/64,</w:t>
      </w:r>
      <w:r>
        <w:rPr>
          <w:spacing w:val="-5"/>
        </w:rPr>
        <w:t> </w:t>
      </w:r>
      <w:r>
        <w:rPr/>
        <w:t>como a diferença positiva entre o ativo financeiro e o passivo financeiro. Por tratamento contábil conservador, ficam definidos o ativo financeiro como o subgrupo de “Caixa e Equivalentes de Caixa” e o passivo financeiro como o subgrupo “Passivo Circulante” acrescido dos “Restos a pagar não processados”, conforme estabelece o Art. 3, da Deliberação DPOBR Nº 0084- 03/2018.</w:t>
      </w:r>
    </w:p>
    <w:p>
      <w:pPr>
        <w:pStyle w:val="BodyText"/>
      </w:pPr>
    </w:p>
    <w:p>
      <w:pPr>
        <w:pStyle w:val="BodyText"/>
        <w:spacing w:before="3"/>
        <w:rPr>
          <w:sz w:val="25"/>
        </w:rPr>
      </w:pPr>
    </w:p>
    <w:p>
      <w:pPr>
        <w:pStyle w:val="Heading2"/>
        <w:numPr>
          <w:ilvl w:val="0"/>
          <w:numId w:val="2"/>
        </w:numPr>
        <w:tabs>
          <w:tab w:pos="2409" w:val="left" w:leader="none"/>
          <w:tab w:pos="2410" w:val="left" w:leader="none"/>
        </w:tabs>
        <w:spacing w:line="360" w:lineRule="auto" w:before="0" w:after="0"/>
        <w:ind w:left="1702" w:right="1140" w:firstLine="0"/>
        <w:jc w:val="left"/>
      </w:pPr>
      <w:bookmarkStart w:name="_bookmark20" w:id="36"/>
      <w:bookmarkEnd w:id="36"/>
      <w:r>
        <w:rPr>
          <w:b w:val="0"/>
        </w:rPr>
      </w:r>
      <w:bookmarkStart w:name="_bookmark20" w:id="37"/>
      <w:bookmarkEnd w:id="37"/>
      <w:r>
        <w:rPr>
          <w:color w:val="006666"/>
        </w:rPr>
        <w:t>S</w:t>
      </w:r>
      <w:r>
        <w:rPr>
          <w:color w:val="006666"/>
        </w:rPr>
        <w:t>ISTEMÁTICA DE ELABORAÇÃO DO PLANO DE AÇÃO E DO ORÇAMENTO</w:t>
      </w:r>
      <w:r>
        <w:rPr>
          <w:color w:val="006666"/>
          <w:spacing w:val="3"/>
        </w:rPr>
        <w:t> </w:t>
      </w:r>
      <w:r>
        <w:rPr>
          <w:color w:val="006666"/>
        </w:rPr>
        <w:t>2021</w:t>
      </w:r>
    </w:p>
    <w:p>
      <w:pPr>
        <w:spacing w:after="0" w:line="360" w:lineRule="auto"/>
        <w:jc w:val="left"/>
        <w:sectPr>
          <w:pgSz w:w="11910" w:h="16840"/>
          <w:pgMar w:header="590" w:footer="612" w:top="1460" w:bottom="800" w:left="0" w:right="0"/>
        </w:sectPr>
      </w:pPr>
    </w:p>
    <w:p>
      <w:pPr>
        <w:pStyle w:val="BodyText"/>
        <w:spacing w:before="5"/>
        <w:rPr>
          <w:b/>
          <w:sz w:val="14"/>
        </w:rPr>
      </w:pPr>
    </w:p>
    <w:p>
      <w:pPr>
        <w:pStyle w:val="BodyText"/>
        <w:spacing w:line="360" w:lineRule="auto" w:before="51"/>
        <w:ind w:left="1702" w:right="1129" w:firstLine="851"/>
        <w:jc w:val="both"/>
      </w:pPr>
      <w:r>
        <w:rPr/>
        <w:t>O processo de planejamento caracteriza-se como uma atividade contínua e sistematizada, cujo objetivo é implementar a estratégia definida para a entidade, no alcance de sua Missão institucional e Visão de Futuro.</w:t>
      </w:r>
    </w:p>
    <w:p>
      <w:pPr>
        <w:pStyle w:val="BodyText"/>
        <w:spacing w:line="360" w:lineRule="auto" w:before="160"/>
        <w:ind w:left="1702" w:right="1127" w:firstLine="851"/>
        <w:jc w:val="both"/>
      </w:pPr>
      <w:r>
        <w:rPr/>
        <w:t>O Plano de Ação, instrumento que reflete e sistematiza a estratégia do Conselho de Arquitetura e Urbanismo, é estruturado na forma de iniciativas estratégicas que são compreendidas por projetos e atividades.</w:t>
      </w:r>
    </w:p>
    <w:p>
      <w:pPr>
        <w:spacing w:line="360" w:lineRule="auto" w:before="161"/>
        <w:ind w:left="1702" w:right="1126" w:firstLine="851"/>
        <w:jc w:val="both"/>
        <w:rPr>
          <w:sz w:val="24"/>
        </w:rPr>
      </w:pPr>
      <w:r>
        <w:rPr>
          <w:sz w:val="24"/>
        </w:rPr>
        <w:t>A elaboração do Plano de Ação e do Orçamento 2021 deve </w:t>
      </w:r>
      <w:r>
        <w:rPr>
          <w:b/>
          <w:sz w:val="24"/>
        </w:rPr>
        <w:t>focar em resultados</w:t>
      </w:r>
      <w:r>
        <w:rPr>
          <w:sz w:val="24"/>
        </w:rPr>
        <w:t>, observando os princípios da </w:t>
      </w:r>
      <w:r>
        <w:rPr>
          <w:b/>
          <w:sz w:val="24"/>
        </w:rPr>
        <w:t>coerência, transparência</w:t>
      </w:r>
      <w:r>
        <w:rPr>
          <w:sz w:val="24"/>
        </w:rPr>
        <w:t>, </w:t>
      </w:r>
      <w:r>
        <w:rPr>
          <w:b/>
          <w:sz w:val="24"/>
        </w:rPr>
        <w:t>simplicidade </w:t>
      </w:r>
      <w:r>
        <w:rPr>
          <w:sz w:val="24"/>
        </w:rPr>
        <w:t>e </w:t>
      </w:r>
      <w:r>
        <w:rPr>
          <w:b/>
          <w:sz w:val="24"/>
        </w:rPr>
        <w:t>flexibilidade</w:t>
      </w:r>
      <w:r>
        <w:rPr>
          <w:sz w:val="24"/>
        </w:rPr>
        <w:t>, e considerando as seguintes premissas:</w:t>
      </w:r>
    </w:p>
    <w:p>
      <w:pPr>
        <w:pStyle w:val="ListParagraph"/>
        <w:numPr>
          <w:ilvl w:val="0"/>
          <w:numId w:val="10"/>
        </w:numPr>
        <w:tabs>
          <w:tab w:pos="2835" w:val="left" w:leader="none"/>
        </w:tabs>
        <w:spacing w:line="240" w:lineRule="auto" w:before="162" w:after="0"/>
        <w:ind w:left="2834" w:right="0" w:hanging="281"/>
        <w:jc w:val="both"/>
        <w:rPr>
          <w:sz w:val="24"/>
        </w:rPr>
      </w:pPr>
      <w:r>
        <w:rPr>
          <w:sz w:val="24"/>
        </w:rPr>
        <w:t>o planejamento antecede e orienta a</w:t>
      </w:r>
      <w:r>
        <w:rPr>
          <w:spacing w:val="-2"/>
          <w:sz w:val="24"/>
        </w:rPr>
        <w:t> </w:t>
      </w:r>
      <w:r>
        <w:rPr>
          <w:sz w:val="24"/>
        </w:rPr>
        <w:t>orçamentação;</w:t>
      </w:r>
    </w:p>
    <w:p>
      <w:pPr>
        <w:pStyle w:val="ListParagraph"/>
        <w:numPr>
          <w:ilvl w:val="0"/>
          <w:numId w:val="10"/>
        </w:numPr>
        <w:tabs>
          <w:tab w:pos="2835" w:val="left" w:leader="none"/>
        </w:tabs>
        <w:spacing w:line="240" w:lineRule="auto" w:before="145" w:after="0"/>
        <w:ind w:left="2834" w:right="0" w:hanging="281"/>
        <w:jc w:val="both"/>
        <w:rPr>
          <w:sz w:val="24"/>
        </w:rPr>
      </w:pPr>
      <w:r>
        <w:rPr>
          <w:sz w:val="24"/>
        </w:rPr>
        <w:t>o equilíbrio orçamentário (despesas iguais a</w:t>
      </w:r>
      <w:r>
        <w:rPr>
          <w:spacing w:val="-2"/>
          <w:sz w:val="24"/>
        </w:rPr>
        <w:t> </w:t>
      </w:r>
      <w:r>
        <w:rPr>
          <w:sz w:val="24"/>
        </w:rPr>
        <w:t>receitas);</w:t>
      </w:r>
    </w:p>
    <w:p>
      <w:pPr>
        <w:pStyle w:val="ListParagraph"/>
        <w:numPr>
          <w:ilvl w:val="0"/>
          <w:numId w:val="10"/>
        </w:numPr>
        <w:tabs>
          <w:tab w:pos="2835" w:val="left" w:leader="none"/>
        </w:tabs>
        <w:spacing w:line="357" w:lineRule="auto" w:before="148" w:after="0"/>
        <w:ind w:left="2834" w:right="1130" w:hanging="281"/>
        <w:jc w:val="both"/>
        <w:rPr>
          <w:sz w:val="24"/>
        </w:rPr>
      </w:pPr>
      <w:r>
        <w:rPr>
          <w:sz w:val="24"/>
        </w:rPr>
        <w:t>os processos de planejamento e orçamentação são integrados, e ocorrem em momentos</w:t>
      </w:r>
      <w:r>
        <w:rPr>
          <w:spacing w:val="-15"/>
          <w:sz w:val="24"/>
        </w:rPr>
        <w:t> </w:t>
      </w:r>
      <w:r>
        <w:rPr>
          <w:sz w:val="24"/>
        </w:rPr>
        <w:t>distintos</w:t>
      </w:r>
      <w:r>
        <w:rPr>
          <w:spacing w:val="-13"/>
          <w:sz w:val="24"/>
        </w:rPr>
        <w:t> </w:t>
      </w:r>
      <w:r>
        <w:rPr>
          <w:sz w:val="24"/>
        </w:rPr>
        <w:t>e</w:t>
      </w:r>
      <w:r>
        <w:rPr>
          <w:spacing w:val="-13"/>
          <w:sz w:val="24"/>
        </w:rPr>
        <w:t> </w:t>
      </w:r>
      <w:r>
        <w:rPr>
          <w:sz w:val="24"/>
        </w:rPr>
        <w:t>sucessivos.</w:t>
      </w:r>
      <w:r>
        <w:rPr>
          <w:spacing w:val="-11"/>
          <w:sz w:val="24"/>
        </w:rPr>
        <w:t> </w:t>
      </w:r>
      <w:r>
        <w:rPr>
          <w:sz w:val="24"/>
        </w:rPr>
        <w:t>Primeiramente,</w:t>
      </w:r>
      <w:r>
        <w:rPr>
          <w:spacing w:val="-14"/>
          <w:sz w:val="24"/>
        </w:rPr>
        <w:t> </w:t>
      </w:r>
      <w:r>
        <w:rPr>
          <w:sz w:val="24"/>
        </w:rPr>
        <w:t>é</w:t>
      </w:r>
      <w:r>
        <w:rPr>
          <w:spacing w:val="-10"/>
          <w:sz w:val="24"/>
        </w:rPr>
        <w:t> </w:t>
      </w:r>
      <w:r>
        <w:rPr>
          <w:sz w:val="24"/>
        </w:rPr>
        <w:t>realizado</w:t>
      </w:r>
      <w:r>
        <w:rPr>
          <w:spacing w:val="-13"/>
          <w:sz w:val="24"/>
        </w:rPr>
        <w:t> </w:t>
      </w:r>
      <w:r>
        <w:rPr>
          <w:sz w:val="24"/>
        </w:rPr>
        <w:t>o</w:t>
      </w:r>
      <w:r>
        <w:rPr>
          <w:spacing w:val="-11"/>
          <w:sz w:val="24"/>
        </w:rPr>
        <w:t> </w:t>
      </w:r>
      <w:r>
        <w:rPr>
          <w:sz w:val="24"/>
        </w:rPr>
        <w:t>planejamento,</w:t>
      </w:r>
      <w:r>
        <w:rPr>
          <w:spacing w:val="-14"/>
          <w:sz w:val="24"/>
        </w:rPr>
        <w:t> </w:t>
      </w:r>
      <w:r>
        <w:rPr>
          <w:sz w:val="24"/>
        </w:rPr>
        <w:t>que terá como produto os Planos de Ação de cada CAU/UF e o do CAU/BR, os quais, depois de negociados e validados, orientam a elaboração dos respectivos orçamentos;</w:t>
      </w:r>
    </w:p>
    <w:p>
      <w:pPr>
        <w:pStyle w:val="ListParagraph"/>
        <w:numPr>
          <w:ilvl w:val="0"/>
          <w:numId w:val="10"/>
        </w:numPr>
        <w:tabs>
          <w:tab w:pos="2835" w:val="left" w:leader="none"/>
        </w:tabs>
        <w:spacing w:line="357" w:lineRule="auto" w:before="12" w:after="0"/>
        <w:ind w:left="2834" w:right="1134" w:hanging="281"/>
        <w:jc w:val="both"/>
        <w:rPr>
          <w:sz w:val="24"/>
        </w:rPr>
      </w:pPr>
      <w:r>
        <w:rPr>
          <w:sz w:val="24"/>
        </w:rPr>
        <w:t>a formulação da estratégia de atuação de cada CAU/UF e a da Unidade Nacional, coerente com a realidade local e compatível com o Planejamento Estratégico do CAU 2023, é a base para orientar a alocação de</w:t>
      </w:r>
      <w:r>
        <w:rPr>
          <w:spacing w:val="-10"/>
          <w:sz w:val="24"/>
        </w:rPr>
        <w:t> </w:t>
      </w:r>
      <w:r>
        <w:rPr>
          <w:sz w:val="24"/>
        </w:rPr>
        <w:t>recursos;</w:t>
      </w:r>
    </w:p>
    <w:p>
      <w:pPr>
        <w:pStyle w:val="ListParagraph"/>
        <w:numPr>
          <w:ilvl w:val="0"/>
          <w:numId w:val="10"/>
        </w:numPr>
        <w:tabs>
          <w:tab w:pos="2835" w:val="left" w:leader="none"/>
        </w:tabs>
        <w:spacing w:line="240" w:lineRule="auto" w:before="10" w:after="0"/>
        <w:ind w:left="2834" w:right="0" w:hanging="281"/>
        <w:jc w:val="both"/>
        <w:rPr>
          <w:sz w:val="24"/>
        </w:rPr>
      </w:pPr>
      <w:r>
        <w:rPr>
          <w:sz w:val="24"/>
        </w:rPr>
        <w:t>alocação de recursos em projetos estratégicos nacionais e de prioridades</w:t>
      </w:r>
      <w:r>
        <w:rPr>
          <w:spacing w:val="-16"/>
          <w:sz w:val="24"/>
        </w:rPr>
        <w:t> </w:t>
      </w:r>
      <w:r>
        <w:rPr>
          <w:sz w:val="24"/>
        </w:rPr>
        <w:t>locais;</w:t>
      </w:r>
    </w:p>
    <w:p>
      <w:pPr>
        <w:pStyle w:val="ListParagraph"/>
        <w:numPr>
          <w:ilvl w:val="0"/>
          <w:numId w:val="10"/>
        </w:numPr>
        <w:tabs>
          <w:tab w:pos="2835" w:val="left" w:leader="none"/>
        </w:tabs>
        <w:spacing w:line="357" w:lineRule="auto" w:before="146" w:after="0"/>
        <w:ind w:left="2834" w:right="1132" w:hanging="281"/>
        <w:jc w:val="both"/>
        <w:rPr>
          <w:sz w:val="24"/>
        </w:rPr>
      </w:pPr>
      <w:r>
        <w:rPr>
          <w:sz w:val="24"/>
        </w:rPr>
        <w:t>avaliação sistemática de resultados para aperfeiçoar a atuação do Conselho, indicando medidas corretivas e preventivas, medindo a eficácia e efetividade da atuação do</w:t>
      </w:r>
      <w:r>
        <w:rPr>
          <w:spacing w:val="-4"/>
          <w:sz w:val="24"/>
        </w:rPr>
        <w:t> </w:t>
      </w:r>
      <w:r>
        <w:rPr>
          <w:sz w:val="24"/>
        </w:rPr>
        <w:t>CAU;</w:t>
      </w:r>
    </w:p>
    <w:p>
      <w:pPr>
        <w:pStyle w:val="ListParagraph"/>
        <w:numPr>
          <w:ilvl w:val="0"/>
          <w:numId w:val="10"/>
        </w:numPr>
        <w:tabs>
          <w:tab w:pos="2835" w:val="left" w:leader="none"/>
        </w:tabs>
        <w:spacing w:line="240" w:lineRule="auto" w:before="9" w:after="0"/>
        <w:ind w:left="2834" w:right="0" w:hanging="281"/>
        <w:jc w:val="both"/>
        <w:rPr>
          <w:sz w:val="24"/>
        </w:rPr>
      </w:pPr>
      <w:r>
        <w:rPr>
          <w:sz w:val="24"/>
        </w:rPr>
        <w:t>austeridade na destinação dos recursos orçamentários;</w:t>
      </w:r>
      <w:r>
        <w:rPr>
          <w:spacing w:val="-3"/>
          <w:sz w:val="24"/>
        </w:rPr>
        <w:t> </w:t>
      </w:r>
      <w:r>
        <w:rPr>
          <w:sz w:val="24"/>
        </w:rPr>
        <w:t>e</w:t>
      </w:r>
    </w:p>
    <w:p>
      <w:pPr>
        <w:pStyle w:val="ListParagraph"/>
        <w:numPr>
          <w:ilvl w:val="0"/>
          <w:numId w:val="10"/>
        </w:numPr>
        <w:tabs>
          <w:tab w:pos="2835" w:val="left" w:leader="none"/>
        </w:tabs>
        <w:spacing w:line="240" w:lineRule="auto" w:before="148" w:after="0"/>
        <w:ind w:left="2834" w:right="0" w:hanging="281"/>
        <w:jc w:val="both"/>
        <w:rPr>
          <w:sz w:val="24"/>
        </w:rPr>
      </w:pPr>
      <w:r>
        <w:rPr>
          <w:sz w:val="24"/>
        </w:rPr>
        <w:t>compartilhamento de ações e</w:t>
      </w:r>
      <w:r>
        <w:rPr>
          <w:spacing w:val="-1"/>
          <w:sz w:val="24"/>
        </w:rPr>
        <w:t> </w:t>
      </w:r>
      <w:r>
        <w:rPr>
          <w:sz w:val="24"/>
        </w:rPr>
        <w:t>custos.</w:t>
      </w:r>
    </w:p>
    <w:p>
      <w:pPr>
        <w:pStyle w:val="BodyText"/>
        <w:rPr>
          <w:sz w:val="30"/>
        </w:rPr>
      </w:pPr>
    </w:p>
    <w:p>
      <w:pPr>
        <w:pStyle w:val="Heading3"/>
        <w:numPr>
          <w:ilvl w:val="1"/>
          <w:numId w:val="2"/>
        </w:numPr>
        <w:tabs>
          <w:tab w:pos="3042" w:val="left" w:leader="none"/>
        </w:tabs>
        <w:spacing w:line="240" w:lineRule="auto" w:before="217" w:after="0"/>
        <w:ind w:left="3041" w:right="0" w:hanging="488"/>
        <w:jc w:val="both"/>
      </w:pPr>
      <w:bookmarkStart w:name="_bookmark21" w:id="38"/>
      <w:bookmarkEnd w:id="38"/>
      <w:r>
        <w:rPr>
          <w:color w:val="006666"/>
        </w:rPr>
        <w:t>Ce</w:t>
      </w:r>
      <w:r>
        <w:rPr>
          <w:color w:val="006666"/>
        </w:rPr>
        <w:t>nário de</w:t>
      </w:r>
      <w:r>
        <w:rPr>
          <w:color w:val="006666"/>
          <w:spacing w:val="-2"/>
        </w:rPr>
        <w:t> </w:t>
      </w:r>
      <w:r>
        <w:rPr>
          <w:color w:val="006666"/>
        </w:rPr>
        <w:t>Recursos</w:t>
      </w:r>
    </w:p>
    <w:p>
      <w:pPr>
        <w:pStyle w:val="BodyText"/>
        <w:spacing w:before="4"/>
        <w:rPr>
          <w:b/>
          <w:sz w:val="30"/>
        </w:rPr>
      </w:pPr>
    </w:p>
    <w:p>
      <w:pPr>
        <w:pStyle w:val="BodyText"/>
        <w:spacing w:line="360" w:lineRule="auto" w:before="1"/>
        <w:ind w:left="1702" w:right="1128" w:firstLine="851"/>
        <w:jc w:val="both"/>
      </w:pPr>
      <w:r>
        <w:rPr/>
        <w:t>A construção do Cenário de Recursos do CAU é peça fundamental do processo de elaboração do Plano de Ação e Orçamento, objetivando estimar as disponibilidades de recursos financeiros para a execução dos projetos e atividades do Conselho em prol do</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31"/>
      </w:pPr>
      <w:r>
        <w:rPr/>
        <w:t>desenvolvimento e fortalecimento da profissão e da arquitetura e urbanismo, orientando as decisões de gastos em investimentos e custeios.</w:t>
      </w:r>
    </w:p>
    <w:p>
      <w:pPr>
        <w:pStyle w:val="BodyText"/>
        <w:spacing w:before="12"/>
        <w:rPr>
          <w:sz w:val="35"/>
        </w:rPr>
      </w:pPr>
    </w:p>
    <w:p>
      <w:pPr>
        <w:pStyle w:val="Heading5"/>
        <w:spacing w:line="590" w:lineRule="auto"/>
        <w:ind w:left="2554" w:right="2807"/>
      </w:pPr>
      <w:r>
        <w:rPr>
          <w:color w:val="006666"/>
        </w:rPr>
        <w:t>O Cenário de Recursos Orçamentários do CAU/BR é composto de: </w:t>
      </w:r>
      <w:r>
        <w:rPr/>
        <w:t>RECEITAS CORRENTES:</w:t>
      </w:r>
    </w:p>
    <w:p>
      <w:pPr>
        <w:pStyle w:val="ListParagraph"/>
        <w:numPr>
          <w:ilvl w:val="0"/>
          <w:numId w:val="10"/>
        </w:numPr>
        <w:tabs>
          <w:tab w:pos="2835" w:val="left" w:leader="none"/>
        </w:tabs>
        <w:spacing w:line="352" w:lineRule="auto" w:before="1" w:after="0"/>
        <w:ind w:left="2834" w:right="1127" w:hanging="281"/>
        <w:jc w:val="left"/>
        <w:rPr>
          <w:sz w:val="24"/>
        </w:rPr>
      </w:pPr>
      <w:r>
        <w:rPr>
          <w:sz w:val="24"/>
        </w:rPr>
        <w:t>receitas</w:t>
      </w:r>
      <w:r>
        <w:rPr>
          <w:spacing w:val="-9"/>
          <w:sz w:val="24"/>
        </w:rPr>
        <w:t> </w:t>
      </w:r>
      <w:r>
        <w:rPr>
          <w:sz w:val="24"/>
        </w:rPr>
        <w:t>(20%)</w:t>
      </w:r>
      <w:r>
        <w:rPr>
          <w:spacing w:val="-12"/>
          <w:sz w:val="24"/>
        </w:rPr>
        <w:t> </w:t>
      </w:r>
      <w:r>
        <w:rPr>
          <w:sz w:val="24"/>
        </w:rPr>
        <w:t>das</w:t>
      </w:r>
      <w:r>
        <w:rPr>
          <w:spacing w:val="-9"/>
          <w:sz w:val="24"/>
        </w:rPr>
        <w:t> </w:t>
      </w:r>
      <w:r>
        <w:rPr>
          <w:sz w:val="24"/>
        </w:rPr>
        <w:t>arrecadações</w:t>
      </w:r>
      <w:r>
        <w:rPr>
          <w:spacing w:val="-7"/>
          <w:sz w:val="24"/>
        </w:rPr>
        <w:t> </w:t>
      </w:r>
      <w:r>
        <w:rPr>
          <w:sz w:val="24"/>
        </w:rPr>
        <w:t>com</w:t>
      </w:r>
      <w:r>
        <w:rPr>
          <w:spacing w:val="-10"/>
          <w:sz w:val="24"/>
        </w:rPr>
        <w:t> </w:t>
      </w:r>
      <w:r>
        <w:rPr>
          <w:sz w:val="24"/>
        </w:rPr>
        <w:t>anuidades</w:t>
      </w:r>
      <w:r>
        <w:rPr>
          <w:spacing w:val="-8"/>
          <w:sz w:val="24"/>
        </w:rPr>
        <w:t> </w:t>
      </w:r>
      <w:r>
        <w:rPr>
          <w:sz w:val="24"/>
        </w:rPr>
        <w:t>(PF</w:t>
      </w:r>
      <w:r>
        <w:rPr>
          <w:spacing w:val="-9"/>
          <w:sz w:val="24"/>
        </w:rPr>
        <w:t> </w:t>
      </w:r>
      <w:r>
        <w:rPr>
          <w:sz w:val="24"/>
        </w:rPr>
        <w:t>e</w:t>
      </w:r>
      <w:r>
        <w:rPr>
          <w:spacing w:val="-9"/>
          <w:sz w:val="24"/>
        </w:rPr>
        <w:t> </w:t>
      </w:r>
      <w:r>
        <w:rPr>
          <w:sz w:val="24"/>
        </w:rPr>
        <w:t>PJ),</w:t>
      </w:r>
      <w:r>
        <w:rPr>
          <w:spacing w:val="-9"/>
          <w:sz w:val="24"/>
        </w:rPr>
        <w:t> </w:t>
      </w:r>
      <w:r>
        <w:rPr>
          <w:sz w:val="24"/>
        </w:rPr>
        <w:t>RRT,</w:t>
      </w:r>
      <w:r>
        <w:rPr>
          <w:spacing w:val="-10"/>
          <w:sz w:val="24"/>
        </w:rPr>
        <w:t> </w:t>
      </w:r>
      <w:r>
        <w:rPr>
          <w:sz w:val="24"/>
        </w:rPr>
        <w:t>taxa</w:t>
      </w:r>
      <w:r>
        <w:rPr>
          <w:spacing w:val="-9"/>
          <w:sz w:val="24"/>
        </w:rPr>
        <w:t> </w:t>
      </w:r>
      <w:r>
        <w:rPr>
          <w:sz w:val="24"/>
        </w:rPr>
        <w:t>e</w:t>
      </w:r>
      <w:r>
        <w:rPr>
          <w:spacing w:val="-9"/>
          <w:sz w:val="24"/>
        </w:rPr>
        <w:t> </w:t>
      </w:r>
      <w:r>
        <w:rPr>
          <w:sz w:val="24"/>
        </w:rPr>
        <w:t>multas</w:t>
      </w:r>
      <w:r>
        <w:rPr>
          <w:spacing w:val="-9"/>
          <w:sz w:val="24"/>
        </w:rPr>
        <w:t> </w:t>
      </w:r>
      <w:r>
        <w:rPr>
          <w:sz w:val="24"/>
        </w:rPr>
        <w:t>sobre obrigações dos profissionais com o Conselho pagas com</w:t>
      </w:r>
      <w:r>
        <w:rPr>
          <w:spacing w:val="-9"/>
          <w:sz w:val="24"/>
        </w:rPr>
        <w:t> </w:t>
      </w:r>
      <w:r>
        <w:rPr>
          <w:sz w:val="24"/>
        </w:rPr>
        <w:t>atraso;</w:t>
      </w:r>
    </w:p>
    <w:p>
      <w:pPr>
        <w:pStyle w:val="ListParagraph"/>
        <w:numPr>
          <w:ilvl w:val="0"/>
          <w:numId w:val="10"/>
        </w:numPr>
        <w:tabs>
          <w:tab w:pos="2835" w:val="left" w:leader="none"/>
        </w:tabs>
        <w:spacing w:line="240" w:lineRule="auto" w:before="15" w:after="0"/>
        <w:ind w:left="2834" w:right="0" w:hanging="281"/>
        <w:jc w:val="left"/>
        <w:rPr>
          <w:sz w:val="24"/>
        </w:rPr>
      </w:pPr>
      <w:r>
        <w:rPr>
          <w:sz w:val="24"/>
        </w:rPr>
        <w:t>receitas de aplicações financeiras;</w:t>
      </w:r>
      <w:r>
        <w:rPr>
          <w:spacing w:val="-4"/>
          <w:sz w:val="24"/>
        </w:rPr>
        <w:t> </w:t>
      </w:r>
      <w:r>
        <w:rPr>
          <w:sz w:val="24"/>
        </w:rPr>
        <w:t>e</w:t>
      </w:r>
    </w:p>
    <w:p>
      <w:pPr>
        <w:pStyle w:val="ListParagraph"/>
        <w:numPr>
          <w:ilvl w:val="0"/>
          <w:numId w:val="10"/>
        </w:numPr>
        <w:tabs>
          <w:tab w:pos="2835" w:val="left" w:leader="none"/>
        </w:tabs>
        <w:spacing w:line="240" w:lineRule="auto" w:before="148" w:after="0"/>
        <w:ind w:left="2834" w:right="0" w:hanging="281"/>
        <w:jc w:val="left"/>
        <w:rPr>
          <w:sz w:val="24"/>
        </w:rPr>
      </w:pPr>
      <w:r>
        <w:rPr>
          <w:sz w:val="24"/>
        </w:rPr>
        <w:t>outras receitas</w:t>
      </w:r>
      <w:r>
        <w:rPr>
          <w:spacing w:val="-1"/>
          <w:sz w:val="24"/>
        </w:rPr>
        <w:t> </w:t>
      </w:r>
      <w:r>
        <w:rPr>
          <w:sz w:val="24"/>
        </w:rPr>
        <w:t>correntes.</w:t>
      </w:r>
    </w:p>
    <w:p>
      <w:pPr>
        <w:pStyle w:val="BodyText"/>
        <w:spacing w:before="10"/>
        <w:rPr>
          <w:sz w:val="34"/>
        </w:rPr>
      </w:pPr>
    </w:p>
    <w:p>
      <w:pPr>
        <w:pStyle w:val="Heading5"/>
        <w:ind w:left="2554"/>
      </w:pPr>
      <w:r>
        <w:rPr/>
        <w:t>RECEITAS DE CAPITAL:</w:t>
      </w:r>
    </w:p>
    <w:p>
      <w:pPr>
        <w:pStyle w:val="BodyText"/>
        <w:spacing w:before="11"/>
        <w:rPr>
          <w:b/>
          <w:sz w:val="34"/>
        </w:rPr>
      </w:pPr>
    </w:p>
    <w:p>
      <w:pPr>
        <w:pStyle w:val="ListParagraph"/>
        <w:numPr>
          <w:ilvl w:val="0"/>
          <w:numId w:val="10"/>
        </w:numPr>
        <w:tabs>
          <w:tab w:pos="2835" w:val="left" w:leader="none"/>
        </w:tabs>
        <w:spacing w:line="240" w:lineRule="auto" w:before="0" w:after="0"/>
        <w:ind w:left="2834" w:right="0" w:hanging="281"/>
        <w:jc w:val="left"/>
        <w:rPr>
          <w:sz w:val="24"/>
        </w:rPr>
      </w:pPr>
      <w:r>
        <w:rPr>
          <w:sz w:val="24"/>
        </w:rPr>
        <w:t>receitas de exercícios anteriores (superávit financeiro);</w:t>
      </w:r>
      <w:r>
        <w:rPr>
          <w:spacing w:val="-3"/>
          <w:sz w:val="24"/>
        </w:rPr>
        <w:t> </w:t>
      </w:r>
      <w:r>
        <w:rPr>
          <w:sz w:val="24"/>
        </w:rPr>
        <w:t>e</w:t>
      </w:r>
    </w:p>
    <w:p>
      <w:pPr>
        <w:pStyle w:val="ListParagraph"/>
        <w:numPr>
          <w:ilvl w:val="0"/>
          <w:numId w:val="10"/>
        </w:numPr>
        <w:tabs>
          <w:tab w:pos="2835" w:val="left" w:leader="none"/>
        </w:tabs>
        <w:spacing w:line="240" w:lineRule="auto" w:before="148" w:after="0"/>
        <w:ind w:left="2834" w:right="0" w:hanging="281"/>
        <w:jc w:val="left"/>
        <w:rPr>
          <w:sz w:val="24"/>
        </w:rPr>
      </w:pPr>
      <w:r>
        <w:rPr>
          <w:sz w:val="24"/>
        </w:rPr>
        <w:t>outras receitas de capital.</w:t>
      </w:r>
    </w:p>
    <w:p>
      <w:pPr>
        <w:pStyle w:val="BodyText"/>
        <w:rPr>
          <w:sz w:val="30"/>
        </w:rPr>
      </w:pPr>
    </w:p>
    <w:p>
      <w:pPr>
        <w:pStyle w:val="Heading5"/>
        <w:spacing w:line="592" w:lineRule="auto" w:before="217"/>
        <w:ind w:left="2554" w:right="2810"/>
      </w:pPr>
      <w:r>
        <w:rPr>
          <w:color w:val="006666"/>
        </w:rPr>
        <w:t>O Cenário de Recursos Orçamentários do CAU/UF é composto de: </w:t>
      </w:r>
      <w:r>
        <w:rPr/>
        <w:t>RECEITAS CORRENTES:</w:t>
      </w:r>
    </w:p>
    <w:p>
      <w:pPr>
        <w:pStyle w:val="ListParagraph"/>
        <w:numPr>
          <w:ilvl w:val="0"/>
          <w:numId w:val="10"/>
        </w:numPr>
        <w:tabs>
          <w:tab w:pos="2835" w:val="left" w:leader="none"/>
        </w:tabs>
        <w:spacing w:line="352" w:lineRule="auto" w:before="0" w:after="0"/>
        <w:ind w:left="2834" w:right="1132" w:hanging="281"/>
        <w:jc w:val="left"/>
        <w:rPr>
          <w:sz w:val="24"/>
        </w:rPr>
      </w:pPr>
      <w:r>
        <w:rPr>
          <w:sz w:val="24"/>
        </w:rPr>
        <w:t>receitas (80%) das arrecadações com anuidades (PF e PJ), RRT e taxas e multas sobre as obrigações dos profissionais, com o Conselho, pagas com</w:t>
      </w:r>
      <w:r>
        <w:rPr>
          <w:spacing w:val="-21"/>
          <w:sz w:val="24"/>
        </w:rPr>
        <w:t> </w:t>
      </w:r>
      <w:r>
        <w:rPr>
          <w:sz w:val="24"/>
        </w:rPr>
        <w:t>atraso;</w:t>
      </w:r>
    </w:p>
    <w:p>
      <w:pPr>
        <w:pStyle w:val="ListParagraph"/>
        <w:numPr>
          <w:ilvl w:val="0"/>
          <w:numId w:val="10"/>
        </w:numPr>
        <w:tabs>
          <w:tab w:pos="2835" w:val="left" w:leader="none"/>
        </w:tabs>
        <w:spacing w:line="240" w:lineRule="auto" w:before="11" w:after="0"/>
        <w:ind w:left="2834" w:right="0" w:hanging="281"/>
        <w:jc w:val="left"/>
        <w:rPr>
          <w:sz w:val="24"/>
        </w:rPr>
      </w:pPr>
      <w:r>
        <w:rPr>
          <w:sz w:val="24"/>
        </w:rPr>
        <w:t>receitas de aplicações</w:t>
      </w:r>
      <w:r>
        <w:rPr>
          <w:spacing w:val="-3"/>
          <w:sz w:val="24"/>
        </w:rPr>
        <w:t> </w:t>
      </w:r>
      <w:r>
        <w:rPr>
          <w:sz w:val="24"/>
        </w:rPr>
        <w:t>financeiras;</w:t>
      </w:r>
    </w:p>
    <w:p>
      <w:pPr>
        <w:pStyle w:val="ListParagraph"/>
        <w:numPr>
          <w:ilvl w:val="0"/>
          <w:numId w:val="10"/>
        </w:numPr>
        <w:tabs>
          <w:tab w:pos="2835" w:val="left" w:leader="none"/>
        </w:tabs>
        <w:spacing w:line="352" w:lineRule="auto" w:before="148" w:after="0"/>
        <w:ind w:left="2834" w:right="1135" w:hanging="281"/>
        <w:jc w:val="left"/>
        <w:rPr>
          <w:sz w:val="24"/>
        </w:rPr>
      </w:pPr>
      <w:r>
        <w:rPr>
          <w:sz w:val="24"/>
        </w:rPr>
        <w:t>receitas do Fundo de Apoio Financeiro aos CAU/UF (somente para os CAU/UF contemplados como CAU Básico);</w:t>
      </w:r>
      <w:r>
        <w:rPr>
          <w:spacing w:val="-1"/>
          <w:sz w:val="24"/>
        </w:rPr>
        <w:t> </w:t>
      </w:r>
      <w:r>
        <w:rPr>
          <w:sz w:val="24"/>
        </w:rPr>
        <w:t>e</w:t>
      </w:r>
    </w:p>
    <w:p>
      <w:pPr>
        <w:pStyle w:val="ListParagraph"/>
        <w:numPr>
          <w:ilvl w:val="0"/>
          <w:numId w:val="10"/>
        </w:numPr>
        <w:tabs>
          <w:tab w:pos="2835" w:val="left" w:leader="none"/>
        </w:tabs>
        <w:spacing w:line="240" w:lineRule="auto" w:before="16" w:after="0"/>
        <w:ind w:left="2834" w:right="0" w:hanging="281"/>
        <w:jc w:val="left"/>
        <w:rPr>
          <w:sz w:val="24"/>
        </w:rPr>
      </w:pPr>
      <w:r>
        <w:rPr>
          <w:sz w:val="24"/>
        </w:rPr>
        <w:t>outras</w:t>
      </w:r>
      <w:r>
        <w:rPr>
          <w:spacing w:val="-3"/>
          <w:sz w:val="24"/>
        </w:rPr>
        <w:t> </w:t>
      </w:r>
      <w:r>
        <w:rPr>
          <w:sz w:val="24"/>
        </w:rPr>
        <w:t>receitas.</w:t>
      </w:r>
    </w:p>
    <w:p>
      <w:pPr>
        <w:pStyle w:val="BodyText"/>
        <w:spacing w:before="11"/>
        <w:rPr>
          <w:sz w:val="34"/>
        </w:rPr>
      </w:pPr>
    </w:p>
    <w:p>
      <w:pPr>
        <w:pStyle w:val="Heading5"/>
        <w:spacing w:before="1"/>
        <w:ind w:left="2554"/>
      </w:pPr>
      <w:r>
        <w:rPr/>
        <w:t>RECEITAS DE CAPITAL:</w:t>
      </w:r>
    </w:p>
    <w:p>
      <w:pPr>
        <w:pStyle w:val="BodyText"/>
        <w:spacing w:before="11"/>
        <w:rPr>
          <w:b/>
          <w:sz w:val="34"/>
        </w:rPr>
      </w:pPr>
    </w:p>
    <w:p>
      <w:pPr>
        <w:pStyle w:val="ListParagraph"/>
        <w:numPr>
          <w:ilvl w:val="0"/>
          <w:numId w:val="10"/>
        </w:numPr>
        <w:tabs>
          <w:tab w:pos="2835" w:val="left" w:leader="none"/>
        </w:tabs>
        <w:spacing w:line="240" w:lineRule="auto" w:before="0" w:after="0"/>
        <w:ind w:left="2834" w:right="0" w:hanging="281"/>
        <w:jc w:val="left"/>
        <w:rPr>
          <w:sz w:val="24"/>
        </w:rPr>
      </w:pPr>
      <w:r>
        <w:rPr>
          <w:sz w:val="24"/>
        </w:rPr>
        <w:t>receitas de exercícios anteriores (superávit financeiro);</w:t>
      </w:r>
      <w:r>
        <w:rPr>
          <w:spacing w:val="-3"/>
          <w:sz w:val="24"/>
        </w:rPr>
        <w:t> </w:t>
      </w:r>
      <w:r>
        <w:rPr>
          <w:sz w:val="24"/>
        </w:rPr>
        <w:t>e</w:t>
      </w:r>
    </w:p>
    <w:p>
      <w:pPr>
        <w:pStyle w:val="ListParagraph"/>
        <w:numPr>
          <w:ilvl w:val="0"/>
          <w:numId w:val="10"/>
        </w:numPr>
        <w:tabs>
          <w:tab w:pos="2835" w:val="left" w:leader="none"/>
        </w:tabs>
        <w:spacing w:line="240" w:lineRule="auto" w:before="148" w:after="0"/>
        <w:ind w:left="2834" w:right="0" w:hanging="281"/>
        <w:jc w:val="left"/>
        <w:rPr>
          <w:sz w:val="24"/>
        </w:rPr>
      </w:pPr>
      <w:r>
        <w:rPr>
          <w:sz w:val="24"/>
        </w:rPr>
        <w:t>outras receitas de</w:t>
      </w:r>
      <w:r>
        <w:rPr>
          <w:spacing w:val="-2"/>
          <w:sz w:val="24"/>
        </w:rPr>
        <w:t> </w:t>
      </w:r>
      <w:r>
        <w:rPr>
          <w:sz w:val="24"/>
        </w:rPr>
        <w:t>capital.</w:t>
      </w:r>
    </w:p>
    <w:p>
      <w:pPr>
        <w:pStyle w:val="BodyText"/>
        <w:rPr>
          <w:sz w:val="30"/>
        </w:rPr>
      </w:pPr>
    </w:p>
    <w:p>
      <w:pPr>
        <w:pStyle w:val="Heading4"/>
        <w:numPr>
          <w:ilvl w:val="2"/>
          <w:numId w:val="2"/>
        </w:numPr>
        <w:tabs>
          <w:tab w:pos="3121" w:val="left" w:leader="none"/>
        </w:tabs>
        <w:spacing w:line="240" w:lineRule="auto" w:before="219" w:after="0"/>
        <w:ind w:left="3120" w:right="0" w:hanging="567"/>
        <w:jc w:val="left"/>
      </w:pPr>
      <w:bookmarkStart w:name="_bookmark22" w:id="39"/>
      <w:bookmarkEnd w:id="39"/>
      <w:r>
        <w:rPr>
          <w:b w:val="0"/>
        </w:rPr>
      </w:r>
      <w:bookmarkStart w:name="_bookmark22" w:id="40"/>
      <w:bookmarkEnd w:id="40"/>
      <w:r>
        <w:rPr>
          <w:color w:val="006666"/>
        </w:rPr>
        <w:t>R</w:t>
      </w:r>
      <w:r>
        <w:rPr>
          <w:color w:val="006666"/>
        </w:rPr>
        <w:t>eceitas de</w:t>
      </w:r>
      <w:r>
        <w:rPr>
          <w:color w:val="006666"/>
          <w:spacing w:val="1"/>
        </w:rPr>
        <w:t> </w:t>
      </w:r>
      <w:r>
        <w:rPr>
          <w:color w:val="006666"/>
        </w:rPr>
        <w:t>Arrecadação</w:t>
      </w:r>
    </w:p>
    <w:p>
      <w:pPr>
        <w:spacing w:after="0" w:line="240" w:lineRule="auto"/>
        <w:jc w:val="left"/>
        <w:sectPr>
          <w:pgSz w:w="11910" w:h="16840"/>
          <w:pgMar w:header="590" w:footer="612" w:top="1460" w:bottom="800" w:left="0" w:right="0"/>
        </w:sectPr>
      </w:pPr>
    </w:p>
    <w:p>
      <w:pPr>
        <w:pStyle w:val="BodyText"/>
        <w:spacing w:before="5"/>
        <w:rPr>
          <w:b/>
          <w:sz w:val="14"/>
        </w:rPr>
      </w:pPr>
    </w:p>
    <w:p>
      <w:pPr>
        <w:pStyle w:val="BodyText"/>
        <w:spacing w:line="360" w:lineRule="auto" w:before="51"/>
        <w:ind w:left="1702" w:right="1124" w:firstLine="851"/>
        <w:jc w:val="both"/>
      </w:pPr>
      <w:r>
        <w:rPr/>
        <w:t>Frente aos cenários da economia global e impactos da pandemia do novo coronavírus, onde as perspectivas apontam para um cenário econômico recessivo, com impactos nos níveis de emprego, da capacidade produtiva do país, perda de competividade dentre outras tendências, os índices de crescimento se apresentam com variações conservadoras.</w:t>
      </w:r>
    </w:p>
    <w:p>
      <w:pPr>
        <w:pStyle w:val="BodyText"/>
        <w:spacing w:line="360" w:lineRule="auto" w:before="160"/>
        <w:ind w:left="1702" w:right="1128" w:firstLine="851"/>
        <w:jc w:val="both"/>
      </w:pPr>
      <w:r>
        <w:rPr/>
        <w:t>Dessa forma, os índices de indexação de preços que estão sendo previstos pelos órgãos do governo, conforme prospecções do Ministério da Economia, no Projeto de Lei de Diretrizes Orçamentárias - PLDO 2021, focando no caso as estimadas para o INPC (Índice Nacional de Preços ao Consumidor), índice que atualiza os valores das anuidades e Registro de Responsabilidade Técnica - RRT cobradas pelo CAU, na forma do disposto na Lei 12.378/2010, situam-se em </w:t>
      </w:r>
      <w:r>
        <w:rPr>
          <w:b/>
        </w:rPr>
        <w:t>2,09%, </w:t>
      </w:r>
      <w:r>
        <w:rPr/>
        <w:t>no período de dezembro/19 a novembro/20.</w:t>
      </w:r>
    </w:p>
    <w:p>
      <w:pPr>
        <w:pStyle w:val="BodyText"/>
        <w:spacing w:line="360" w:lineRule="auto" w:before="160"/>
        <w:ind w:left="1702" w:right="1127" w:firstLine="851"/>
        <w:jc w:val="both"/>
      </w:pPr>
      <w:r>
        <w:rPr/>
        <w:t>Nesse contexto e, observando a política atual, o CAU adotou o </w:t>
      </w:r>
      <w:r>
        <w:rPr>
          <w:b/>
        </w:rPr>
        <w:t>índice do INPC </w:t>
      </w:r>
      <w:r>
        <w:rPr/>
        <w:t>observando a previsão apontada pelos órgãos governamentais em </w:t>
      </w:r>
      <w:r>
        <w:rPr>
          <w:b/>
        </w:rPr>
        <w:t>2,09% </w:t>
      </w:r>
      <w:r>
        <w:rPr/>
        <w:t>para corrigir os valores de anuidades, RRT e demais taxas que vierem a ser cobradas pelo Conselho no exercício de 2021.</w:t>
      </w:r>
    </w:p>
    <w:p>
      <w:pPr>
        <w:pStyle w:val="BodyText"/>
        <w:spacing w:line="360" w:lineRule="auto" w:before="160"/>
        <w:ind w:left="1702" w:right="1131" w:firstLine="851"/>
        <w:jc w:val="both"/>
      </w:pPr>
      <w:r>
        <w:rPr/>
        <w:t>Os valores previstos para 2021, a serem utilizados pelo CAU na projeção de suas receitas, estão apresentados no Quadro 02:</w:t>
      </w:r>
    </w:p>
    <w:p>
      <w:pPr>
        <w:spacing w:before="160"/>
        <w:ind w:left="3625" w:right="0" w:firstLine="0"/>
        <w:jc w:val="left"/>
        <w:rPr>
          <w:rFonts w:ascii="Calibri Light" w:hAnsi="Calibri Light"/>
          <w:b w:val="0"/>
          <w:sz w:val="22"/>
        </w:rPr>
      </w:pPr>
      <w:r>
        <w:rPr/>
        <w:drawing>
          <wp:anchor distT="0" distB="0" distL="0" distR="0" allowOverlap="1" layoutInCell="1" locked="0" behindDoc="0" simplePos="0" relativeHeight="7">
            <wp:simplePos x="0" y="0"/>
            <wp:positionH relativeFrom="page">
              <wp:posOffset>1089944</wp:posOffset>
            </wp:positionH>
            <wp:positionV relativeFrom="paragraph">
              <wp:posOffset>295351</wp:posOffset>
            </wp:positionV>
            <wp:extent cx="5827640" cy="1275397"/>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6" cstate="print"/>
                    <a:stretch>
                      <a:fillRect/>
                    </a:stretch>
                  </pic:blipFill>
                  <pic:spPr>
                    <a:xfrm>
                      <a:off x="0" y="0"/>
                      <a:ext cx="5827640" cy="1275397"/>
                    </a:xfrm>
                    <a:prstGeom prst="rect">
                      <a:avLst/>
                    </a:prstGeom>
                  </pic:spPr>
                </pic:pic>
              </a:graphicData>
            </a:graphic>
          </wp:anchor>
        </w:drawing>
      </w:r>
      <w:bookmarkStart w:name="_bookmark23" w:id="41"/>
      <w:bookmarkEnd w:id="41"/>
      <w:r>
        <w:rPr/>
      </w:r>
      <w:r>
        <w:rPr>
          <w:rFonts w:ascii="Calibri Light" w:hAnsi="Calibri Light"/>
          <w:b w:val="0"/>
          <w:color w:val="1F3863"/>
          <w:sz w:val="22"/>
        </w:rPr>
        <w:t>Quadro 2 – Valor de anuidade e RRT - Reprogramação 2020 X Programação</w:t>
      </w:r>
      <w:r>
        <w:rPr>
          <w:rFonts w:ascii="Calibri Light" w:hAnsi="Calibri Light"/>
          <w:b w:val="0"/>
          <w:color w:val="1F3863"/>
          <w:spacing w:val="-13"/>
          <w:sz w:val="22"/>
        </w:rPr>
        <w:t> </w:t>
      </w:r>
      <w:r>
        <w:rPr>
          <w:rFonts w:ascii="Calibri Light" w:hAnsi="Calibri Light"/>
          <w:b w:val="0"/>
          <w:color w:val="1F3863"/>
          <w:sz w:val="22"/>
        </w:rPr>
        <w:t>2021</w:t>
      </w:r>
    </w:p>
    <w:p>
      <w:pPr>
        <w:pStyle w:val="BodyText"/>
        <w:rPr>
          <w:rFonts w:ascii="Calibri Light"/>
          <w:b w:val="0"/>
          <w:sz w:val="22"/>
        </w:rPr>
      </w:pPr>
    </w:p>
    <w:p>
      <w:pPr>
        <w:pStyle w:val="BodyText"/>
        <w:spacing w:before="4"/>
        <w:rPr>
          <w:rFonts w:ascii="Calibri Light"/>
          <w:b w:val="0"/>
          <w:sz w:val="30"/>
        </w:rPr>
      </w:pPr>
    </w:p>
    <w:p>
      <w:pPr>
        <w:pStyle w:val="BodyText"/>
        <w:spacing w:line="360" w:lineRule="auto"/>
        <w:ind w:left="1702" w:right="1125" w:firstLine="851"/>
        <w:jc w:val="both"/>
      </w:pPr>
      <w:r>
        <w:rPr/>
        <w:t>As metas executadas de </w:t>
      </w:r>
      <w:r>
        <w:rPr>
          <w:b/>
        </w:rPr>
        <w:t>profissionais ativos </w:t>
      </w:r>
      <w:r>
        <w:rPr/>
        <w:t>disponíveis no Sistema de Informação e Comunicação</w:t>
      </w:r>
      <w:r>
        <w:rPr>
          <w:spacing w:val="-8"/>
        </w:rPr>
        <w:t> </w:t>
      </w:r>
      <w:r>
        <w:rPr/>
        <w:t>do</w:t>
      </w:r>
      <w:r>
        <w:rPr>
          <w:spacing w:val="-6"/>
        </w:rPr>
        <w:t> </w:t>
      </w:r>
      <w:r>
        <w:rPr/>
        <w:t>CAU</w:t>
      </w:r>
      <w:r>
        <w:rPr>
          <w:spacing w:val="-5"/>
        </w:rPr>
        <w:t> </w:t>
      </w:r>
      <w:r>
        <w:rPr/>
        <w:t>–</w:t>
      </w:r>
      <w:r>
        <w:rPr>
          <w:spacing w:val="-8"/>
        </w:rPr>
        <w:t> </w:t>
      </w:r>
      <w:r>
        <w:rPr/>
        <w:t>SICCAU,</w:t>
      </w:r>
      <w:r>
        <w:rPr>
          <w:spacing w:val="-6"/>
        </w:rPr>
        <w:t> </w:t>
      </w:r>
      <w:r>
        <w:rPr/>
        <w:t>em</w:t>
      </w:r>
      <w:r>
        <w:rPr>
          <w:spacing w:val="-5"/>
        </w:rPr>
        <w:t> </w:t>
      </w:r>
      <w:r>
        <w:rPr/>
        <w:t>31/08/2020,</w:t>
      </w:r>
      <w:r>
        <w:rPr>
          <w:spacing w:val="-11"/>
        </w:rPr>
        <w:t> </w:t>
      </w:r>
      <w:r>
        <w:rPr/>
        <w:t>apontam</w:t>
      </w:r>
      <w:r>
        <w:rPr>
          <w:spacing w:val="-8"/>
        </w:rPr>
        <w:t> </w:t>
      </w:r>
      <w:r>
        <w:rPr/>
        <w:t>para</w:t>
      </w:r>
      <w:r>
        <w:rPr>
          <w:spacing w:val="-8"/>
        </w:rPr>
        <w:t> </w:t>
      </w:r>
      <w:r>
        <w:rPr/>
        <w:t>um</w:t>
      </w:r>
      <w:r>
        <w:rPr>
          <w:spacing w:val="-5"/>
        </w:rPr>
        <w:t> </w:t>
      </w:r>
      <w:r>
        <w:rPr/>
        <w:t>atingimento</w:t>
      </w:r>
      <w:r>
        <w:rPr>
          <w:spacing w:val="-6"/>
        </w:rPr>
        <w:t> </w:t>
      </w:r>
      <w:r>
        <w:rPr/>
        <w:t>de</w:t>
      </w:r>
      <w:r>
        <w:rPr>
          <w:spacing w:val="-3"/>
        </w:rPr>
        <w:t> </w:t>
      </w:r>
      <w:r>
        <w:rPr>
          <w:b/>
        </w:rPr>
        <w:t>99,8%</w:t>
      </w:r>
      <w:r>
        <w:rPr>
          <w:b/>
          <w:spacing w:val="-9"/>
        </w:rPr>
        <w:t> </w:t>
      </w:r>
      <w:r>
        <w:rPr/>
        <w:t>das metas</w:t>
      </w:r>
      <w:r>
        <w:rPr>
          <w:spacing w:val="-11"/>
        </w:rPr>
        <w:t> </w:t>
      </w:r>
      <w:r>
        <w:rPr/>
        <w:t>previstas</w:t>
      </w:r>
      <w:r>
        <w:rPr>
          <w:spacing w:val="-11"/>
        </w:rPr>
        <w:t> </w:t>
      </w:r>
      <w:r>
        <w:rPr/>
        <w:t>na</w:t>
      </w:r>
      <w:r>
        <w:rPr>
          <w:spacing w:val="-11"/>
        </w:rPr>
        <w:t> </w:t>
      </w:r>
      <w:r>
        <w:rPr/>
        <w:t>reprogramação,</w:t>
      </w:r>
      <w:r>
        <w:rPr>
          <w:spacing w:val="-9"/>
        </w:rPr>
        <w:t> </w:t>
      </w:r>
      <w:r>
        <w:rPr/>
        <w:t>praticamente</w:t>
      </w:r>
      <w:r>
        <w:rPr>
          <w:spacing w:val="-13"/>
        </w:rPr>
        <w:t> </w:t>
      </w:r>
      <w:r>
        <w:rPr/>
        <w:t>o</w:t>
      </w:r>
      <w:r>
        <w:rPr>
          <w:spacing w:val="-7"/>
        </w:rPr>
        <w:t> </w:t>
      </w:r>
      <w:r>
        <w:rPr/>
        <w:t>total</w:t>
      </w:r>
      <w:r>
        <w:rPr>
          <w:spacing w:val="-11"/>
        </w:rPr>
        <w:t> </w:t>
      </w:r>
      <w:r>
        <w:rPr/>
        <w:t>previsto.</w:t>
      </w:r>
      <w:r>
        <w:rPr>
          <w:spacing w:val="-9"/>
        </w:rPr>
        <w:t> </w:t>
      </w:r>
      <w:r>
        <w:rPr/>
        <w:t>No</w:t>
      </w:r>
      <w:r>
        <w:rPr>
          <w:spacing w:val="-8"/>
        </w:rPr>
        <w:t> </w:t>
      </w:r>
      <w:r>
        <w:rPr/>
        <w:t>contexto,</w:t>
      </w:r>
      <w:r>
        <w:rPr>
          <w:spacing w:val="-8"/>
        </w:rPr>
        <w:t> </w:t>
      </w:r>
      <w:r>
        <w:rPr/>
        <w:t>as</w:t>
      </w:r>
      <w:r>
        <w:rPr>
          <w:spacing w:val="-11"/>
        </w:rPr>
        <w:t> </w:t>
      </w:r>
      <w:r>
        <w:rPr/>
        <w:t>estimativas de</w:t>
      </w:r>
      <w:r>
        <w:rPr>
          <w:spacing w:val="-10"/>
        </w:rPr>
        <w:t> </w:t>
      </w:r>
      <w:r>
        <w:rPr/>
        <w:t>2021,</w:t>
      </w:r>
      <w:r>
        <w:rPr>
          <w:spacing w:val="-11"/>
        </w:rPr>
        <w:t> </w:t>
      </w:r>
      <w:r>
        <w:rPr/>
        <w:t>foi</w:t>
      </w:r>
      <w:r>
        <w:rPr>
          <w:spacing w:val="-9"/>
        </w:rPr>
        <w:t> </w:t>
      </w:r>
      <w:r>
        <w:rPr/>
        <w:t>considerada</w:t>
      </w:r>
      <w:r>
        <w:rPr>
          <w:spacing w:val="-12"/>
        </w:rPr>
        <w:t> </w:t>
      </w:r>
      <w:r>
        <w:rPr/>
        <w:t>a</w:t>
      </w:r>
      <w:r>
        <w:rPr>
          <w:spacing w:val="-9"/>
        </w:rPr>
        <w:t> </w:t>
      </w:r>
      <w:r>
        <w:rPr/>
        <w:t>seguinte</w:t>
      </w:r>
      <w:r>
        <w:rPr>
          <w:spacing w:val="-11"/>
        </w:rPr>
        <w:t> </w:t>
      </w:r>
      <w:r>
        <w:rPr/>
        <w:t>premissa:</w:t>
      </w:r>
      <w:r>
        <w:rPr>
          <w:spacing w:val="-11"/>
        </w:rPr>
        <w:t> </w:t>
      </w:r>
      <w:r>
        <w:rPr/>
        <w:t>a</w:t>
      </w:r>
      <w:r>
        <w:rPr>
          <w:spacing w:val="-11"/>
        </w:rPr>
        <w:t> </w:t>
      </w:r>
      <w:r>
        <w:rPr/>
        <w:t>quantidade</w:t>
      </w:r>
      <w:r>
        <w:rPr>
          <w:spacing w:val="-11"/>
        </w:rPr>
        <w:t> </w:t>
      </w:r>
      <w:r>
        <w:rPr/>
        <w:t>de</w:t>
      </w:r>
      <w:r>
        <w:rPr>
          <w:spacing w:val="-8"/>
        </w:rPr>
        <w:t> </w:t>
      </w:r>
      <w:r>
        <w:rPr/>
        <w:t>ativos</w:t>
      </w:r>
      <w:r>
        <w:rPr>
          <w:spacing w:val="-9"/>
        </w:rPr>
        <w:t> </w:t>
      </w:r>
      <w:r>
        <w:rPr/>
        <w:t>(posição</w:t>
      </w:r>
      <w:r>
        <w:rPr>
          <w:spacing w:val="-8"/>
        </w:rPr>
        <w:t> </w:t>
      </w:r>
      <w:r>
        <w:rPr/>
        <w:t>em</w:t>
      </w:r>
      <w:r>
        <w:rPr>
          <w:spacing w:val="-7"/>
        </w:rPr>
        <w:t> </w:t>
      </w:r>
      <w:r>
        <w:rPr/>
        <w:t>31/08)</w:t>
      </w:r>
      <w:r>
        <w:rPr>
          <w:spacing w:val="-12"/>
        </w:rPr>
        <w:t> </w:t>
      </w:r>
      <w:r>
        <w:rPr/>
        <w:t>mais os</w:t>
      </w:r>
      <w:r>
        <w:rPr>
          <w:spacing w:val="-7"/>
        </w:rPr>
        <w:t> </w:t>
      </w:r>
      <w:r>
        <w:rPr/>
        <w:t>Novos</w:t>
      </w:r>
      <w:r>
        <w:rPr>
          <w:spacing w:val="-7"/>
        </w:rPr>
        <w:t> </w:t>
      </w:r>
      <w:r>
        <w:rPr/>
        <w:t>Entrantes</w:t>
      </w:r>
      <w:r>
        <w:rPr>
          <w:spacing w:val="-6"/>
        </w:rPr>
        <w:t> </w:t>
      </w:r>
      <w:r>
        <w:rPr/>
        <w:t>previstos</w:t>
      </w:r>
      <w:r>
        <w:rPr>
          <w:spacing w:val="-7"/>
        </w:rPr>
        <w:t> </w:t>
      </w:r>
      <w:r>
        <w:rPr/>
        <w:t>(com</w:t>
      </w:r>
      <w:r>
        <w:rPr>
          <w:spacing w:val="-5"/>
        </w:rPr>
        <w:t> </w:t>
      </w:r>
      <w:r>
        <w:rPr/>
        <w:t>redução</w:t>
      </w:r>
      <w:r>
        <w:rPr>
          <w:spacing w:val="-6"/>
        </w:rPr>
        <w:t> </w:t>
      </w:r>
      <w:r>
        <w:rPr/>
        <w:t>de</w:t>
      </w:r>
      <w:r>
        <w:rPr>
          <w:spacing w:val="-7"/>
        </w:rPr>
        <w:t> </w:t>
      </w:r>
      <w:r>
        <w:rPr/>
        <w:t>10%</w:t>
      </w:r>
      <w:r>
        <w:rPr>
          <w:spacing w:val="-5"/>
        </w:rPr>
        <w:t> </w:t>
      </w:r>
      <w:r>
        <w:rPr/>
        <w:t>na</w:t>
      </w:r>
      <w:r>
        <w:rPr>
          <w:spacing w:val="-9"/>
        </w:rPr>
        <w:t> </w:t>
      </w:r>
      <w:r>
        <w:rPr/>
        <w:t>quantidade</w:t>
      </w:r>
      <w:r>
        <w:rPr>
          <w:spacing w:val="-8"/>
        </w:rPr>
        <w:t> </w:t>
      </w:r>
      <w:r>
        <w:rPr/>
        <w:t>frente</w:t>
      </w:r>
      <w:r>
        <w:rPr>
          <w:spacing w:val="-6"/>
        </w:rPr>
        <w:t> </w:t>
      </w:r>
      <w:r>
        <w:rPr/>
        <w:t>a</w:t>
      </w:r>
      <w:r>
        <w:rPr>
          <w:spacing w:val="-9"/>
        </w:rPr>
        <w:t> </w:t>
      </w:r>
      <w:r>
        <w:rPr/>
        <w:t>média</w:t>
      </w:r>
      <w:r>
        <w:rPr>
          <w:spacing w:val="-8"/>
        </w:rPr>
        <w:t> </w:t>
      </w:r>
      <w:r>
        <w:rPr/>
        <w:t>dos</w:t>
      </w:r>
      <w:r>
        <w:rPr>
          <w:spacing w:val="-6"/>
        </w:rPr>
        <w:t> </w:t>
      </w:r>
      <w:r>
        <w:rPr/>
        <w:t>últimos três</w:t>
      </w:r>
      <w:r>
        <w:rPr>
          <w:spacing w:val="-7"/>
        </w:rPr>
        <w:t> </w:t>
      </w:r>
      <w:r>
        <w:rPr/>
        <w:t>anos,</w:t>
      </w:r>
      <w:r>
        <w:rPr>
          <w:spacing w:val="-5"/>
        </w:rPr>
        <w:t> </w:t>
      </w:r>
      <w:r>
        <w:rPr/>
        <w:t>com</w:t>
      </w:r>
      <w:r>
        <w:rPr>
          <w:spacing w:val="-7"/>
        </w:rPr>
        <w:t> </w:t>
      </w:r>
      <w:r>
        <w:rPr/>
        <w:t>exceção</w:t>
      </w:r>
      <w:r>
        <w:rPr>
          <w:spacing w:val="-3"/>
        </w:rPr>
        <w:t> </w:t>
      </w:r>
      <w:r>
        <w:rPr/>
        <w:t>do</w:t>
      </w:r>
      <w:r>
        <w:rPr>
          <w:spacing w:val="-6"/>
        </w:rPr>
        <w:t> </w:t>
      </w:r>
      <w:r>
        <w:rPr/>
        <w:t>CAU/TO</w:t>
      </w:r>
      <w:r>
        <w:rPr>
          <w:spacing w:val="-5"/>
        </w:rPr>
        <w:t> </w:t>
      </w:r>
      <w:r>
        <w:rPr/>
        <w:t>que</w:t>
      </w:r>
      <w:r>
        <w:rPr>
          <w:spacing w:val="-7"/>
        </w:rPr>
        <w:t> </w:t>
      </w:r>
      <w:r>
        <w:rPr/>
        <w:t>utilizou</w:t>
      </w:r>
      <w:r>
        <w:rPr>
          <w:spacing w:val="-4"/>
        </w:rPr>
        <w:t> </w:t>
      </w:r>
      <w:r>
        <w:rPr/>
        <w:t>a</w:t>
      </w:r>
      <w:r>
        <w:rPr>
          <w:spacing w:val="-6"/>
        </w:rPr>
        <w:t> </w:t>
      </w:r>
      <w:r>
        <w:rPr/>
        <w:t>média</w:t>
      </w:r>
      <w:r>
        <w:rPr>
          <w:spacing w:val="-5"/>
        </w:rPr>
        <w:t> </w:t>
      </w:r>
      <w:r>
        <w:rPr/>
        <w:t>dos</w:t>
      </w:r>
      <w:r>
        <w:rPr>
          <w:spacing w:val="-5"/>
        </w:rPr>
        <w:t> </w:t>
      </w:r>
      <w:r>
        <w:rPr/>
        <w:t>últimos</w:t>
      </w:r>
      <w:r>
        <w:rPr>
          <w:spacing w:val="-6"/>
        </w:rPr>
        <w:t> </w:t>
      </w:r>
      <w:r>
        <w:rPr/>
        <w:t>três</w:t>
      </w:r>
      <w:r>
        <w:rPr>
          <w:spacing w:val="-7"/>
        </w:rPr>
        <w:t> </w:t>
      </w:r>
      <w:r>
        <w:rPr/>
        <w:t>anos),</w:t>
      </w:r>
      <w:r>
        <w:rPr>
          <w:spacing w:val="-5"/>
        </w:rPr>
        <w:t> </w:t>
      </w:r>
      <w:r>
        <w:rPr/>
        <w:t>dessa</w:t>
      </w:r>
      <w:r>
        <w:rPr>
          <w:spacing w:val="-5"/>
        </w:rPr>
        <w:t> </w:t>
      </w:r>
      <w:r>
        <w:rPr/>
        <w:t>forma</w:t>
      </w:r>
      <w:r>
        <w:rPr>
          <w:spacing w:val="-5"/>
        </w:rPr>
        <w:t> </w:t>
      </w:r>
      <w:r>
        <w:rPr/>
        <w:t>a quantidade </w:t>
      </w:r>
      <w:r>
        <w:rPr>
          <w:spacing w:val="21"/>
        </w:rPr>
        <w:t> </w:t>
      </w:r>
      <w:r>
        <w:rPr/>
        <w:t>de </w:t>
      </w:r>
      <w:r>
        <w:rPr>
          <w:spacing w:val="22"/>
        </w:rPr>
        <w:t> </w:t>
      </w:r>
      <w:r>
        <w:rPr/>
        <w:t>arquitetos </w:t>
      </w:r>
      <w:r>
        <w:rPr>
          <w:spacing w:val="24"/>
        </w:rPr>
        <w:t> </w:t>
      </w:r>
      <w:r>
        <w:rPr/>
        <w:t>e </w:t>
      </w:r>
      <w:r>
        <w:rPr>
          <w:spacing w:val="21"/>
        </w:rPr>
        <w:t> </w:t>
      </w:r>
      <w:r>
        <w:rPr/>
        <w:t>urbanistas </w:t>
      </w:r>
      <w:r>
        <w:rPr>
          <w:spacing w:val="22"/>
        </w:rPr>
        <w:t> </w:t>
      </w:r>
      <w:r>
        <w:rPr/>
        <w:t>ativos </w:t>
      </w:r>
      <w:r>
        <w:rPr>
          <w:spacing w:val="22"/>
        </w:rPr>
        <w:t> </w:t>
      </w:r>
      <w:r>
        <w:rPr/>
        <w:t>atuais </w:t>
      </w:r>
      <w:r>
        <w:rPr>
          <w:spacing w:val="21"/>
        </w:rPr>
        <w:t> </w:t>
      </w:r>
      <w:r>
        <w:rPr/>
        <w:t>no </w:t>
      </w:r>
      <w:r>
        <w:rPr>
          <w:spacing w:val="22"/>
        </w:rPr>
        <w:t> </w:t>
      </w:r>
      <w:r>
        <w:rPr/>
        <w:t>CAU </w:t>
      </w:r>
      <w:r>
        <w:rPr>
          <w:spacing w:val="22"/>
        </w:rPr>
        <w:t> </w:t>
      </w:r>
      <w:r>
        <w:rPr/>
        <w:t>é </w:t>
      </w:r>
      <w:r>
        <w:rPr>
          <w:spacing w:val="21"/>
        </w:rPr>
        <w:t> </w:t>
      </w:r>
      <w:r>
        <w:rPr/>
        <w:t>de </w:t>
      </w:r>
      <w:r>
        <w:rPr>
          <w:spacing w:val="26"/>
        </w:rPr>
        <w:t> </w:t>
      </w:r>
      <w:r>
        <w:rPr/>
        <w:t>190.444 </w:t>
      </w:r>
      <w:r>
        <w:rPr>
          <w:spacing w:val="26"/>
        </w:rPr>
        <w:t> </w:t>
      </w:r>
      <w:r>
        <w:rPr/>
        <w:t>com </w:t>
      </w:r>
      <w:r>
        <w:rPr>
          <w:spacing w:val="20"/>
        </w:rPr>
        <w:t> </w:t>
      </w:r>
      <w:r>
        <w:rPr/>
        <w:t>uma</w:t>
      </w:r>
    </w:p>
    <w:p>
      <w:pPr>
        <w:spacing w:after="0" w:line="360" w:lineRule="auto"/>
        <w:jc w:val="both"/>
        <w:sectPr>
          <w:pgSz w:w="11910" w:h="16840"/>
          <w:pgMar w:header="590" w:footer="612" w:top="1460" w:bottom="800" w:left="0" w:right="0"/>
        </w:sectPr>
      </w:pPr>
    </w:p>
    <w:p>
      <w:pPr>
        <w:pStyle w:val="BodyText"/>
        <w:spacing w:before="5"/>
        <w:rPr>
          <w:sz w:val="14"/>
        </w:rPr>
      </w:pPr>
    </w:p>
    <w:p>
      <w:pPr>
        <w:pStyle w:val="BodyText"/>
        <w:spacing w:line="360" w:lineRule="auto" w:before="51"/>
        <w:ind w:left="1702" w:right="1126"/>
        <w:jc w:val="both"/>
      </w:pPr>
      <w:r>
        <w:rPr/>
        <w:t>inadimplência média prevista de 40,2%, ou 107.519 arquitetos e urbanistas pagantes com inadimplência. Importante mencionar que as informações de arquitetos e urbanistas, registrados</w:t>
      </w:r>
      <w:r>
        <w:rPr>
          <w:spacing w:val="-12"/>
        </w:rPr>
        <w:t> </w:t>
      </w:r>
      <w:r>
        <w:rPr/>
        <w:t>no</w:t>
      </w:r>
      <w:r>
        <w:rPr>
          <w:spacing w:val="-10"/>
        </w:rPr>
        <w:t> </w:t>
      </w:r>
      <w:r>
        <w:rPr/>
        <w:t>SICCAU,</w:t>
      </w:r>
      <w:r>
        <w:rPr>
          <w:spacing w:val="-12"/>
        </w:rPr>
        <w:t> </w:t>
      </w:r>
      <w:r>
        <w:rPr/>
        <w:t>decorrem</w:t>
      </w:r>
      <w:r>
        <w:rPr>
          <w:spacing w:val="-13"/>
        </w:rPr>
        <w:t> </w:t>
      </w:r>
      <w:r>
        <w:rPr/>
        <w:t>do</w:t>
      </w:r>
      <w:r>
        <w:rPr>
          <w:spacing w:val="-12"/>
        </w:rPr>
        <w:t> </w:t>
      </w:r>
      <w:r>
        <w:rPr/>
        <w:t>esforço</w:t>
      </w:r>
      <w:r>
        <w:rPr>
          <w:spacing w:val="-13"/>
        </w:rPr>
        <w:t> </w:t>
      </w:r>
      <w:r>
        <w:rPr/>
        <w:t>empreendido</w:t>
      </w:r>
      <w:r>
        <w:rPr>
          <w:spacing w:val="-13"/>
        </w:rPr>
        <w:t> </w:t>
      </w:r>
      <w:r>
        <w:rPr/>
        <w:t>pelo</w:t>
      </w:r>
      <w:r>
        <w:rPr>
          <w:spacing w:val="-12"/>
        </w:rPr>
        <w:t> </w:t>
      </w:r>
      <w:r>
        <w:rPr/>
        <w:t>Conselho</w:t>
      </w:r>
      <w:r>
        <w:rPr>
          <w:spacing w:val="-13"/>
        </w:rPr>
        <w:t> </w:t>
      </w:r>
      <w:r>
        <w:rPr/>
        <w:t>para</w:t>
      </w:r>
      <w:r>
        <w:rPr>
          <w:spacing w:val="-10"/>
        </w:rPr>
        <w:t> </w:t>
      </w:r>
      <w:r>
        <w:rPr/>
        <w:t>conhecer</w:t>
      </w:r>
      <w:r>
        <w:rPr>
          <w:spacing w:val="-14"/>
        </w:rPr>
        <w:t> </w:t>
      </w:r>
      <w:r>
        <w:rPr/>
        <w:t>a</w:t>
      </w:r>
      <w:r>
        <w:rPr>
          <w:spacing w:val="-11"/>
        </w:rPr>
        <w:t> </w:t>
      </w:r>
      <w:r>
        <w:rPr/>
        <w:t>real quantidade de profissionais existente no país, mediante ações de recadastramento e de Fiscalização já implementadas pelos</w:t>
      </w:r>
      <w:r>
        <w:rPr>
          <w:spacing w:val="-4"/>
        </w:rPr>
        <w:t> </w:t>
      </w:r>
      <w:r>
        <w:rPr/>
        <w:t>CAU/UF.</w:t>
      </w:r>
    </w:p>
    <w:p>
      <w:pPr>
        <w:pStyle w:val="BodyText"/>
        <w:spacing w:line="360" w:lineRule="auto" w:before="160"/>
        <w:ind w:left="1702" w:right="1126" w:firstLine="851"/>
        <w:jc w:val="both"/>
      </w:pPr>
      <w:r>
        <w:rPr/>
        <w:t>As metas executadas de </w:t>
      </w:r>
      <w:r>
        <w:rPr>
          <w:b/>
        </w:rPr>
        <w:t>empresas ativas </w:t>
      </w:r>
      <w:r>
        <w:rPr/>
        <w:t>de arquitetura e urbanismo disponíveis no Sistema de Informação e Comunicação do CAU – SICCAU, em 31/08/20, apontam para um atingimento de 97,4% das metas previstas na reprogramação, ou seja, o atingimento encontra-se um pouco abaixo das metas previstas na reprogramação. Para as estimativas de 2021, foi considerada a quantidade de ativos previstos na reprogramação 2020 mais novas empresas previstas (aumento de 40% da média de crescimento (entre 2017 e 2019), com exceção de CAU/SP (considerado 30%)). A quantidade de empresas de arquitetura e urbanismo ativas atuais no CAU é de 26.678 com uma inadimplência média de 54,5% ou</w:t>
      </w:r>
    </w:p>
    <w:p>
      <w:pPr>
        <w:pStyle w:val="BodyText"/>
        <w:spacing w:before="1"/>
        <w:ind w:left="1702"/>
        <w:jc w:val="both"/>
      </w:pPr>
      <w:r>
        <w:rPr/>
        <w:t>12.452 empresas de arquitetura e urbanismo pagantes até a data de corte (31/08/20).</w:t>
      </w:r>
    </w:p>
    <w:p>
      <w:pPr>
        <w:pStyle w:val="BodyText"/>
        <w:spacing w:before="2"/>
        <w:rPr>
          <w:sz w:val="25"/>
        </w:rPr>
      </w:pPr>
    </w:p>
    <w:p>
      <w:pPr>
        <w:pStyle w:val="BodyText"/>
        <w:spacing w:line="360" w:lineRule="auto"/>
        <w:ind w:left="1702" w:right="1127" w:firstLine="851"/>
        <w:jc w:val="both"/>
      </w:pPr>
      <w:r>
        <w:rPr/>
        <w:t>Para os Registros de Responsabilidade Técnica – RRT, as informações do SICCAU, no período</w:t>
      </w:r>
      <w:r>
        <w:rPr>
          <w:spacing w:val="-14"/>
        </w:rPr>
        <w:t> </w:t>
      </w:r>
      <w:r>
        <w:rPr/>
        <w:t>de</w:t>
      </w:r>
      <w:r>
        <w:rPr>
          <w:spacing w:val="-10"/>
        </w:rPr>
        <w:t> </w:t>
      </w:r>
      <w:r>
        <w:rPr/>
        <w:t>janeiro</w:t>
      </w:r>
      <w:r>
        <w:rPr>
          <w:spacing w:val="-11"/>
        </w:rPr>
        <w:t> </w:t>
      </w:r>
      <w:r>
        <w:rPr/>
        <w:t>a</w:t>
      </w:r>
      <w:r>
        <w:rPr>
          <w:spacing w:val="-12"/>
        </w:rPr>
        <w:t> </w:t>
      </w:r>
      <w:r>
        <w:rPr/>
        <w:t>31</w:t>
      </w:r>
      <w:r>
        <w:rPr>
          <w:spacing w:val="-13"/>
        </w:rPr>
        <w:t> </w:t>
      </w:r>
      <w:r>
        <w:rPr/>
        <w:t>de</w:t>
      </w:r>
      <w:r>
        <w:rPr>
          <w:spacing w:val="-12"/>
        </w:rPr>
        <w:t> </w:t>
      </w:r>
      <w:r>
        <w:rPr/>
        <w:t>agosto</w:t>
      </w:r>
      <w:r>
        <w:rPr>
          <w:spacing w:val="-11"/>
        </w:rPr>
        <w:t> </w:t>
      </w:r>
      <w:r>
        <w:rPr/>
        <w:t>de</w:t>
      </w:r>
      <w:r>
        <w:rPr>
          <w:spacing w:val="-10"/>
        </w:rPr>
        <w:t> </w:t>
      </w:r>
      <w:r>
        <w:rPr/>
        <w:t>2020,</w:t>
      </w:r>
      <w:r>
        <w:rPr>
          <w:spacing w:val="-13"/>
        </w:rPr>
        <w:t> </w:t>
      </w:r>
      <w:r>
        <w:rPr/>
        <w:t>são</w:t>
      </w:r>
      <w:r>
        <w:rPr>
          <w:spacing w:val="-13"/>
        </w:rPr>
        <w:t> </w:t>
      </w:r>
      <w:r>
        <w:rPr/>
        <w:t>de</w:t>
      </w:r>
      <w:r>
        <w:rPr>
          <w:spacing w:val="-13"/>
        </w:rPr>
        <w:t> </w:t>
      </w:r>
      <w:r>
        <w:rPr/>
        <w:t>508.818</w:t>
      </w:r>
      <w:r>
        <w:rPr>
          <w:spacing w:val="-11"/>
        </w:rPr>
        <w:t> </w:t>
      </w:r>
      <w:r>
        <w:rPr/>
        <w:t>RRT</w:t>
      </w:r>
      <w:r>
        <w:rPr>
          <w:spacing w:val="-11"/>
        </w:rPr>
        <w:t> </w:t>
      </w:r>
      <w:r>
        <w:rPr/>
        <w:t>registrados,</w:t>
      </w:r>
      <w:r>
        <w:rPr>
          <w:spacing w:val="-13"/>
        </w:rPr>
        <w:t> </w:t>
      </w:r>
      <w:r>
        <w:rPr/>
        <w:t>considerando</w:t>
      </w:r>
      <w:r>
        <w:rPr>
          <w:spacing w:val="-13"/>
        </w:rPr>
        <w:t> </w:t>
      </w:r>
      <w:r>
        <w:rPr/>
        <w:t>uma tendência de crescimento e as médias de RRT, frentes às séries históricas se apresentam inferior as metas de 2020. Para a Programação 2021, a premissa adotada foi considerar a quantidade dos profissionais ativos programados, reduzindo o quantitativo de 50% dos profissionais entrantes multiplicando a média por PF (acrescida de 10% da média por PF da reprogramação 2020, exceção do ajuste de curva do</w:t>
      </w:r>
      <w:r>
        <w:rPr>
          <w:spacing w:val="-2"/>
        </w:rPr>
        <w:t> </w:t>
      </w:r>
      <w:r>
        <w:rPr/>
        <w:t>CAU/PA).</w:t>
      </w:r>
    </w:p>
    <w:p>
      <w:pPr>
        <w:pStyle w:val="BodyText"/>
      </w:pPr>
    </w:p>
    <w:p>
      <w:pPr>
        <w:pStyle w:val="BodyText"/>
        <w:spacing w:before="3"/>
        <w:rPr>
          <w:sz w:val="25"/>
        </w:rPr>
      </w:pPr>
    </w:p>
    <w:p>
      <w:pPr>
        <w:pStyle w:val="Heading4"/>
        <w:numPr>
          <w:ilvl w:val="2"/>
          <w:numId w:val="2"/>
        </w:numPr>
        <w:tabs>
          <w:tab w:pos="3121" w:val="left" w:leader="none"/>
        </w:tabs>
        <w:spacing w:line="240" w:lineRule="auto" w:before="0" w:after="0"/>
        <w:ind w:left="3120" w:right="0" w:hanging="567"/>
        <w:jc w:val="left"/>
      </w:pPr>
      <w:bookmarkStart w:name="_bookmark24" w:id="42"/>
      <w:bookmarkEnd w:id="42"/>
      <w:r>
        <w:rPr>
          <w:b w:val="0"/>
        </w:rPr>
      </w:r>
      <w:bookmarkStart w:name="_bookmark24" w:id="43"/>
      <w:bookmarkEnd w:id="43"/>
      <w:r>
        <w:rPr>
          <w:color w:val="006666"/>
        </w:rPr>
        <w:t>P</w:t>
      </w:r>
      <w:r>
        <w:rPr>
          <w:color w:val="006666"/>
        </w:rPr>
        <w:t>rojeção das Receitas de Arrecadação – Exercício</w:t>
      </w:r>
      <w:r>
        <w:rPr>
          <w:color w:val="006666"/>
          <w:spacing w:val="-4"/>
        </w:rPr>
        <w:t> </w:t>
      </w:r>
      <w:r>
        <w:rPr>
          <w:color w:val="006666"/>
        </w:rPr>
        <w:t>2021</w:t>
      </w:r>
    </w:p>
    <w:p>
      <w:pPr>
        <w:pStyle w:val="BodyText"/>
        <w:spacing w:before="3"/>
        <w:rPr>
          <w:b/>
          <w:sz w:val="29"/>
        </w:rPr>
      </w:pPr>
    </w:p>
    <w:p>
      <w:pPr>
        <w:pStyle w:val="BodyText"/>
        <w:spacing w:line="360" w:lineRule="auto"/>
        <w:ind w:left="1702" w:right="1126" w:firstLine="851"/>
        <w:jc w:val="both"/>
      </w:pPr>
      <w:r>
        <w:rPr/>
        <w:t>Face às informações atuais, considerando o esforço de redução da inadimplência, a série histórica de 2017 a 2019, e a estimativa de entrada no mercado de trabalho de, aproximadamente, 11.786 novos arquitetos e urbanistas, para a projeção da arrecadação de 2021, foram consideradas as premissas a seguir. As projeções de arquitetos e urbanistas, empresas e RRT, apresentam-se na forma do Quadro 3. O detalhamento, por Estado, consta do Anexo III.</w:t>
      </w:r>
    </w:p>
    <w:p>
      <w:pPr>
        <w:spacing w:after="0" w:line="360" w:lineRule="auto"/>
        <w:jc w:val="both"/>
        <w:sectPr>
          <w:pgSz w:w="11910" w:h="16840"/>
          <w:pgMar w:header="590" w:footer="612" w:top="1460" w:bottom="800" w:left="0" w:right="0"/>
        </w:sectPr>
      </w:pPr>
    </w:p>
    <w:p>
      <w:pPr>
        <w:pStyle w:val="BodyText"/>
        <w:rPr>
          <w:sz w:val="14"/>
        </w:rPr>
      </w:pPr>
    </w:p>
    <w:p>
      <w:pPr>
        <w:spacing w:before="56"/>
        <w:ind w:left="0" w:right="1270" w:firstLine="0"/>
        <w:jc w:val="right"/>
        <w:rPr>
          <w:rFonts w:ascii="Calibri Light" w:hAnsi="Calibri Light"/>
          <w:b w:val="0"/>
          <w:sz w:val="22"/>
        </w:rPr>
      </w:pPr>
      <w:bookmarkStart w:name="_bookmark25" w:id="44"/>
      <w:bookmarkEnd w:id="44"/>
      <w:r>
        <w:rPr/>
      </w:r>
      <w:r>
        <w:rPr>
          <w:rFonts w:ascii="Calibri Light" w:hAnsi="Calibri Light"/>
          <w:b w:val="0"/>
          <w:color w:val="1F3863"/>
          <w:sz w:val="22"/>
        </w:rPr>
        <w:t>Quadro 3 – Arquitetos e Urbanistas, Empresas e RRT – Reprogramação 2020 X Programação</w:t>
      </w:r>
      <w:r>
        <w:rPr>
          <w:rFonts w:ascii="Calibri Light" w:hAnsi="Calibri Light"/>
          <w:b w:val="0"/>
          <w:color w:val="1F3863"/>
          <w:spacing w:val="-17"/>
          <w:sz w:val="22"/>
        </w:rPr>
        <w:t> </w:t>
      </w:r>
      <w:r>
        <w:rPr>
          <w:rFonts w:ascii="Calibri Light" w:hAnsi="Calibri Light"/>
          <w:b w:val="0"/>
          <w:color w:val="1F3863"/>
          <w:sz w:val="22"/>
        </w:rPr>
        <w:t>2021</w:t>
      </w:r>
    </w:p>
    <w:p>
      <w:pPr>
        <w:spacing w:before="22"/>
        <w:ind w:left="0" w:right="1269" w:firstLine="0"/>
        <w:jc w:val="right"/>
        <w:rPr>
          <w:rFonts w:ascii="Calibri Light"/>
          <w:b w:val="0"/>
          <w:sz w:val="22"/>
        </w:rPr>
      </w:pPr>
      <w:r>
        <w:rPr/>
        <w:drawing>
          <wp:anchor distT="0" distB="0" distL="0" distR="0" allowOverlap="1" layoutInCell="1" locked="0" behindDoc="0" simplePos="0" relativeHeight="8">
            <wp:simplePos x="0" y="0"/>
            <wp:positionH relativeFrom="page">
              <wp:posOffset>1093913</wp:posOffset>
            </wp:positionH>
            <wp:positionV relativeFrom="paragraph">
              <wp:posOffset>211182</wp:posOffset>
            </wp:positionV>
            <wp:extent cx="5731641" cy="4088129"/>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7" cstate="print"/>
                    <a:stretch>
                      <a:fillRect/>
                    </a:stretch>
                  </pic:blipFill>
                  <pic:spPr>
                    <a:xfrm>
                      <a:off x="0" y="0"/>
                      <a:ext cx="5731641" cy="4088129"/>
                    </a:xfrm>
                    <a:prstGeom prst="rect">
                      <a:avLst/>
                    </a:prstGeom>
                  </pic:spPr>
                </pic:pic>
              </a:graphicData>
            </a:graphic>
          </wp:anchor>
        </w:drawing>
      </w:r>
      <w:r>
        <w:rPr>
          <w:rFonts w:ascii="Calibri Light"/>
          <w:b w:val="0"/>
          <w:color w:val="1F3863"/>
          <w:spacing w:val="-1"/>
          <w:sz w:val="22"/>
        </w:rPr>
        <w:t>(Quantidade)</w:t>
      </w:r>
    </w:p>
    <w:p>
      <w:pPr>
        <w:pStyle w:val="BodyText"/>
        <w:rPr>
          <w:rFonts w:ascii="Calibri Light"/>
          <w:b w:val="0"/>
          <w:sz w:val="22"/>
        </w:rPr>
      </w:pPr>
    </w:p>
    <w:p>
      <w:pPr>
        <w:pStyle w:val="BodyText"/>
        <w:spacing w:before="9"/>
        <w:rPr>
          <w:rFonts w:ascii="Calibri Light"/>
          <w:b w:val="0"/>
          <w:sz w:val="22"/>
        </w:rPr>
      </w:pPr>
    </w:p>
    <w:p>
      <w:pPr>
        <w:pStyle w:val="Heading4"/>
        <w:numPr>
          <w:ilvl w:val="0"/>
          <w:numId w:val="11"/>
        </w:numPr>
        <w:tabs>
          <w:tab w:pos="2835" w:val="left" w:leader="none"/>
        </w:tabs>
        <w:spacing w:line="240" w:lineRule="auto" w:before="0" w:after="0"/>
        <w:ind w:left="2834" w:right="0" w:hanging="281"/>
        <w:jc w:val="left"/>
        <w:rPr>
          <w:rFonts w:ascii="Symbol" w:hAnsi="Symbol"/>
          <w:color w:val="006666"/>
        </w:rPr>
      </w:pPr>
      <w:r>
        <w:rPr>
          <w:color w:val="006666"/>
        </w:rPr>
        <w:t>Projeção para as receitas de anuidades de pessoa</w:t>
      </w:r>
      <w:r>
        <w:rPr>
          <w:color w:val="006666"/>
          <w:spacing w:val="-10"/>
        </w:rPr>
        <w:t> </w:t>
      </w:r>
      <w:r>
        <w:rPr>
          <w:color w:val="006666"/>
        </w:rPr>
        <w:t>física:</w:t>
      </w:r>
    </w:p>
    <w:p>
      <w:pPr>
        <w:pStyle w:val="Heading5"/>
        <w:numPr>
          <w:ilvl w:val="1"/>
          <w:numId w:val="11"/>
        </w:numPr>
        <w:tabs>
          <w:tab w:pos="3404" w:val="left" w:leader="none"/>
          <w:tab w:pos="3405" w:val="left" w:leader="none"/>
        </w:tabs>
        <w:spacing w:line="240" w:lineRule="auto" w:before="158" w:after="0"/>
        <w:ind w:left="3404" w:right="0" w:hanging="427"/>
        <w:jc w:val="left"/>
      </w:pPr>
      <w:r>
        <w:rPr/>
        <w:t>Profissionais ativos para 2021–</w:t>
      </w:r>
      <w:r>
        <w:rPr>
          <w:spacing w:val="-7"/>
        </w:rPr>
        <w:t> </w:t>
      </w:r>
      <w:r>
        <w:rPr/>
        <w:t>202.230</w:t>
      </w:r>
    </w:p>
    <w:p>
      <w:pPr>
        <w:pStyle w:val="ListParagraph"/>
        <w:numPr>
          <w:ilvl w:val="3"/>
          <w:numId w:val="2"/>
        </w:numPr>
        <w:tabs>
          <w:tab w:pos="3829" w:val="left" w:leader="none"/>
        </w:tabs>
        <w:spacing w:line="240" w:lineRule="auto" w:before="177" w:after="0"/>
        <w:ind w:left="3829" w:right="0" w:hanging="425"/>
        <w:jc w:val="both"/>
        <w:rPr>
          <w:b/>
          <w:sz w:val="24"/>
        </w:rPr>
      </w:pPr>
      <w:r>
        <w:rPr>
          <w:sz w:val="24"/>
        </w:rPr>
        <w:t>Posição atual até o dia 31/08/2020:</w:t>
      </w:r>
      <w:r>
        <w:rPr>
          <w:spacing w:val="-5"/>
          <w:sz w:val="24"/>
        </w:rPr>
        <w:t> </w:t>
      </w:r>
      <w:r>
        <w:rPr>
          <w:b/>
          <w:sz w:val="24"/>
        </w:rPr>
        <w:t>190.444;</w:t>
      </w:r>
    </w:p>
    <w:p>
      <w:pPr>
        <w:pStyle w:val="ListParagraph"/>
        <w:numPr>
          <w:ilvl w:val="3"/>
          <w:numId w:val="2"/>
        </w:numPr>
        <w:tabs>
          <w:tab w:pos="3829" w:val="left" w:leader="none"/>
        </w:tabs>
        <w:spacing w:line="360" w:lineRule="auto" w:before="147" w:after="0"/>
        <w:ind w:left="3829" w:right="1130" w:hanging="425"/>
        <w:jc w:val="both"/>
        <w:rPr>
          <w:sz w:val="24"/>
        </w:rPr>
      </w:pPr>
      <w:r>
        <w:rPr>
          <w:sz w:val="24"/>
        </w:rPr>
        <w:t>Novos</w:t>
      </w:r>
      <w:r>
        <w:rPr>
          <w:spacing w:val="-12"/>
          <w:sz w:val="24"/>
        </w:rPr>
        <w:t> </w:t>
      </w:r>
      <w:r>
        <w:rPr>
          <w:sz w:val="24"/>
        </w:rPr>
        <w:t>Entrantes:</w:t>
      </w:r>
      <w:r>
        <w:rPr>
          <w:spacing w:val="-11"/>
          <w:sz w:val="24"/>
        </w:rPr>
        <w:t> </w:t>
      </w:r>
      <w:r>
        <w:rPr>
          <w:b/>
          <w:sz w:val="24"/>
        </w:rPr>
        <w:t>11.786</w:t>
      </w:r>
      <w:r>
        <w:rPr>
          <w:b/>
          <w:spacing w:val="-15"/>
          <w:sz w:val="24"/>
        </w:rPr>
        <w:t> </w:t>
      </w:r>
      <w:r>
        <w:rPr>
          <w:sz w:val="24"/>
        </w:rPr>
        <w:t>(redução</w:t>
      </w:r>
      <w:r>
        <w:rPr>
          <w:spacing w:val="-13"/>
          <w:sz w:val="24"/>
        </w:rPr>
        <w:t> </w:t>
      </w:r>
      <w:r>
        <w:rPr>
          <w:sz w:val="24"/>
        </w:rPr>
        <w:t>de</w:t>
      </w:r>
      <w:r>
        <w:rPr>
          <w:spacing w:val="-13"/>
          <w:sz w:val="24"/>
        </w:rPr>
        <w:t> </w:t>
      </w:r>
      <w:r>
        <w:rPr>
          <w:sz w:val="24"/>
        </w:rPr>
        <w:t>10%</w:t>
      </w:r>
      <w:r>
        <w:rPr>
          <w:spacing w:val="-13"/>
          <w:sz w:val="24"/>
        </w:rPr>
        <w:t> </w:t>
      </w:r>
      <w:r>
        <w:rPr>
          <w:sz w:val="24"/>
        </w:rPr>
        <w:t>na</w:t>
      </w:r>
      <w:r>
        <w:rPr>
          <w:spacing w:val="-13"/>
          <w:sz w:val="24"/>
        </w:rPr>
        <w:t> </w:t>
      </w:r>
      <w:r>
        <w:rPr>
          <w:sz w:val="24"/>
        </w:rPr>
        <w:t>quantidade</w:t>
      </w:r>
      <w:r>
        <w:rPr>
          <w:spacing w:val="-13"/>
          <w:sz w:val="24"/>
        </w:rPr>
        <w:t> </w:t>
      </w:r>
      <w:r>
        <w:rPr>
          <w:sz w:val="24"/>
        </w:rPr>
        <w:t>frente</w:t>
      </w:r>
      <w:r>
        <w:rPr>
          <w:spacing w:val="-13"/>
          <w:sz w:val="24"/>
        </w:rPr>
        <w:t> </w:t>
      </w:r>
      <w:r>
        <w:rPr>
          <w:sz w:val="24"/>
        </w:rPr>
        <w:t>a</w:t>
      </w:r>
      <w:r>
        <w:rPr>
          <w:spacing w:val="-13"/>
          <w:sz w:val="24"/>
        </w:rPr>
        <w:t> </w:t>
      </w:r>
      <w:r>
        <w:rPr>
          <w:sz w:val="24"/>
        </w:rPr>
        <w:t>média dos</w:t>
      </w:r>
      <w:r>
        <w:rPr>
          <w:spacing w:val="-12"/>
          <w:sz w:val="24"/>
        </w:rPr>
        <w:t> </w:t>
      </w:r>
      <w:r>
        <w:rPr>
          <w:sz w:val="24"/>
        </w:rPr>
        <w:t>últimos</w:t>
      </w:r>
      <w:r>
        <w:rPr>
          <w:spacing w:val="-8"/>
          <w:sz w:val="24"/>
        </w:rPr>
        <w:t> </w:t>
      </w:r>
      <w:r>
        <w:rPr>
          <w:sz w:val="24"/>
        </w:rPr>
        <w:t>três</w:t>
      </w:r>
      <w:r>
        <w:rPr>
          <w:spacing w:val="-10"/>
          <w:sz w:val="24"/>
        </w:rPr>
        <w:t> </w:t>
      </w:r>
      <w:r>
        <w:rPr>
          <w:sz w:val="24"/>
        </w:rPr>
        <w:t>anos,</w:t>
      </w:r>
      <w:r>
        <w:rPr>
          <w:spacing w:val="-8"/>
          <w:sz w:val="24"/>
        </w:rPr>
        <w:t> </w:t>
      </w:r>
      <w:r>
        <w:rPr>
          <w:sz w:val="24"/>
        </w:rPr>
        <w:t>com</w:t>
      </w:r>
      <w:r>
        <w:rPr>
          <w:spacing w:val="-8"/>
          <w:sz w:val="24"/>
        </w:rPr>
        <w:t> </w:t>
      </w:r>
      <w:r>
        <w:rPr>
          <w:sz w:val="24"/>
        </w:rPr>
        <w:t>exceção</w:t>
      </w:r>
      <w:r>
        <w:rPr>
          <w:spacing w:val="-11"/>
          <w:sz w:val="24"/>
        </w:rPr>
        <w:t> </w:t>
      </w:r>
      <w:r>
        <w:rPr>
          <w:sz w:val="24"/>
        </w:rPr>
        <w:t>do</w:t>
      </w:r>
      <w:r>
        <w:rPr>
          <w:spacing w:val="-8"/>
          <w:sz w:val="24"/>
        </w:rPr>
        <w:t> </w:t>
      </w:r>
      <w:r>
        <w:rPr>
          <w:sz w:val="24"/>
        </w:rPr>
        <w:t>CAU/TO</w:t>
      </w:r>
      <w:r>
        <w:rPr>
          <w:spacing w:val="-9"/>
          <w:sz w:val="24"/>
        </w:rPr>
        <w:t> </w:t>
      </w:r>
      <w:r>
        <w:rPr>
          <w:sz w:val="24"/>
        </w:rPr>
        <w:t>que</w:t>
      </w:r>
      <w:r>
        <w:rPr>
          <w:spacing w:val="-11"/>
          <w:sz w:val="24"/>
        </w:rPr>
        <w:t> </w:t>
      </w:r>
      <w:r>
        <w:rPr>
          <w:sz w:val="24"/>
        </w:rPr>
        <w:t>utilizou</w:t>
      </w:r>
      <w:r>
        <w:rPr>
          <w:spacing w:val="-8"/>
          <w:sz w:val="24"/>
        </w:rPr>
        <w:t> </w:t>
      </w:r>
      <w:r>
        <w:rPr>
          <w:sz w:val="24"/>
        </w:rPr>
        <w:t>a</w:t>
      </w:r>
      <w:r>
        <w:rPr>
          <w:spacing w:val="-12"/>
          <w:sz w:val="24"/>
        </w:rPr>
        <w:t> </w:t>
      </w:r>
      <w:r>
        <w:rPr>
          <w:sz w:val="24"/>
        </w:rPr>
        <w:t>média</w:t>
      </w:r>
      <w:r>
        <w:rPr>
          <w:spacing w:val="-11"/>
          <w:sz w:val="24"/>
        </w:rPr>
        <w:t> </w:t>
      </w:r>
      <w:r>
        <w:rPr>
          <w:sz w:val="24"/>
        </w:rPr>
        <w:t>dos últimos três anos e CAU/PR solicitou o ajuste para 1.120</w:t>
      </w:r>
      <w:r>
        <w:rPr>
          <w:spacing w:val="-15"/>
          <w:sz w:val="24"/>
        </w:rPr>
        <w:t> </w:t>
      </w:r>
      <w:r>
        <w:rPr>
          <w:sz w:val="24"/>
        </w:rPr>
        <w:t>entrantes).</w:t>
      </w:r>
    </w:p>
    <w:p>
      <w:pPr>
        <w:spacing w:line="259" w:lineRule="auto" w:before="0"/>
        <w:ind w:left="3142" w:right="1740" w:firstLine="0"/>
        <w:jc w:val="both"/>
        <w:rPr>
          <w:b/>
          <w:i/>
          <w:sz w:val="24"/>
        </w:rPr>
      </w:pPr>
      <w:r>
        <w:rPr>
          <w:b/>
          <w:i/>
          <w:sz w:val="24"/>
        </w:rPr>
        <w:t>Premissa utilizada = Quantidade de Ativos posição em 31/08 (+) Novos </w:t>
      </w:r>
      <w:r>
        <w:rPr>
          <w:b/>
          <w:i/>
          <w:sz w:val="24"/>
        </w:rPr>
        <w:t>Entrantes*</w:t>
      </w:r>
    </w:p>
    <w:p>
      <w:pPr>
        <w:pStyle w:val="BodyText"/>
        <w:rPr>
          <w:b/>
          <w:i/>
        </w:rPr>
      </w:pPr>
    </w:p>
    <w:p>
      <w:pPr>
        <w:pStyle w:val="BodyText"/>
        <w:spacing w:before="11"/>
        <w:rPr>
          <w:b/>
          <w:i/>
        </w:rPr>
      </w:pPr>
    </w:p>
    <w:p>
      <w:pPr>
        <w:pStyle w:val="Heading5"/>
        <w:numPr>
          <w:ilvl w:val="1"/>
          <w:numId w:val="11"/>
        </w:numPr>
        <w:tabs>
          <w:tab w:pos="3404" w:val="left" w:leader="none"/>
          <w:tab w:pos="3405" w:val="left" w:leader="none"/>
        </w:tabs>
        <w:spacing w:line="240" w:lineRule="auto" w:before="0" w:after="0"/>
        <w:ind w:left="3404" w:right="0" w:hanging="427"/>
        <w:jc w:val="left"/>
      </w:pPr>
      <w:r>
        <w:rPr/>
        <w:t>Profissionais potenciais pagantes para 2021 –</w:t>
      </w:r>
      <w:r>
        <w:rPr>
          <w:spacing w:val="-15"/>
        </w:rPr>
        <w:t> </w:t>
      </w:r>
      <w:r>
        <w:rPr/>
        <w:t>191.707</w:t>
      </w:r>
    </w:p>
    <w:p>
      <w:pPr>
        <w:pStyle w:val="ListParagraph"/>
        <w:numPr>
          <w:ilvl w:val="0"/>
          <w:numId w:val="12"/>
        </w:numPr>
        <w:tabs>
          <w:tab w:pos="3829" w:val="left" w:leader="none"/>
        </w:tabs>
        <w:spacing w:line="240" w:lineRule="auto" w:before="140" w:after="0"/>
        <w:ind w:left="3829" w:right="0" w:hanging="425"/>
        <w:jc w:val="both"/>
        <w:rPr>
          <w:b/>
          <w:sz w:val="24"/>
        </w:rPr>
      </w:pPr>
      <w:r>
        <w:rPr>
          <w:sz w:val="24"/>
        </w:rPr>
        <w:t>Previsão de ativos para 2021:</w:t>
      </w:r>
      <w:r>
        <w:rPr>
          <w:spacing w:val="-4"/>
          <w:sz w:val="24"/>
        </w:rPr>
        <w:t> </w:t>
      </w:r>
      <w:r>
        <w:rPr>
          <w:b/>
          <w:sz w:val="24"/>
        </w:rPr>
        <w:t>202.230;</w:t>
      </w:r>
    </w:p>
    <w:p>
      <w:pPr>
        <w:pStyle w:val="ListParagraph"/>
        <w:numPr>
          <w:ilvl w:val="0"/>
          <w:numId w:val="12"/>
        </w:numPr>
        <w:tabs>
          <w:tab w:pos="3828" w:val="left" w:leader="none"/>
          <w:tab w:pos="3829" w:val="left" w:leader="none"/>
        </w:tabs>
        <w:spacing w:line="240" w:lineRule="auto" w:before="184" w:after="0"/>
        <w:ind w:left="3829" w:right="0" w:hanging="425"/>
        <w:jc w:val="left"/>
        <w:rPr>
          <w:b/>
          <w:sz w:val="24"/>
        </w:rPr>
      </w:pPr>
      <w:r>
        <w:rPr>
          <w:sz w:val="24"/>
        </w:rPr>
        <w:t>Isentos: (igual ou superior a 40 anos de registro):</w:t>
      </w:r>
      <w:r>
        <w:rPr>
          <w:spacing w:val="-4"/>
          <w:sz w:val="24"/>
        </w:rPr>
        <w:t> </w:t>
      </w:r>
      <w:r>
        <w:rPr>
          <w:b/>
          <w:sz w:val="24"/>
        </w:rPr>
        <w:t>10.523.</w:t>
      </w:r>
    </w:p>
    <w:p>
      <w:pPr>
        <w:spacing w:before="146"/>
        <w:ind w:left="3120" w:right="0" w:firstLine="0"/>
        <w:jc w:val="both"/>
        <w:rPr>
          <w:b/>
          <w:i/>
          <w:sz w:val="24"/>
        </w:rPr>
      </w:pPr>
      <w:r>
        <w:rPr>
          <w:b/>
          <w:i/>
          <w:sz w:val="24"/>
        </w:rPr>
        <w:t>Premissa utilizada = Ativos Previstos (-) Isentos Previstos para 2021</w:t>
      </w:r>
    </w:p>
    <w:p>
      <w:pPr>
        <w:spacing w:after="0"/>
        <w:jc w:val="both"/>
        <w:rPr>
          <w:sz w:val="24"/>
        </w:rPr>
        <w:sectPr>
          <w:pgSz w:w="11910" w:h="16840"/>
          <w:pgMar w:header="590" w:footer="612" w:top="1460" w:bottom="800" w:left="0" w:right="0"/>
        </w:sectPr>
      </w:pPr>
    </w:p>
    <w:p>
      <w:pPr>
        <w:pStyle w:val="BodyText"/>
        <w:spacing w:before="9"/>
        <w:rPr>
          <w:b/>
          <w:i/>
          <w:sz w:val="12"/>
        </w:rPr>
      </w:pPr>
    </w:p>
    <w:p>
      <w:pPr>
        <w:pStyle w:val="Heading5"/>
        <w:numPr>
          <w:ilvl w:val="1"/>
          <w:numId w:val="11"/>
        </w:numPr>
        <w:tabs>
          <w:tab w:pos="425" w:val="left" w:leader="none"/>
          <w:tab w:pos="3405" w:val="left" w:leader="none"/>
        </w:tabs>
        <w:spacing w:line="240" w:lineRule="auto" w:before="72" w:after="0"/>
        <w:ind w:left="3404" w:right="4207" w:hanging="3405"/>
        <w:jc w:val="right"/>
      </w:pPr>
      <w:r>
        <w:rPr/>
        <w:t>Profissionais pagantes para 2021 –</w:t>
      </w:r>
      <w:r>
        <w:rPr>
          <w:spacing w:val="-9"/>
        </w:rPr>
        <w:t> </w:t>
      </w:r>
      <w:r>
        <w:rPr/>
        <w:t>131.064</w:t>
      </w:r>
    </w:p>
    <w:p>
      <w:pPr>
        <w:pStyle w:val="ListParagraph"/>
        <w:numPr>
          <w:ilvl w:val="0"/>
          <w:numId w:val="13"/>
        </w:numPr>
        <w:tabs>
          <w:tab w:pos="424" w:val="left" w:leader="none"/>
          <w:tab w:pos="425" w:val="left" w:leader="none"/>
        </w:tabs>
        <w:spacing w:line="240" w:lineRule="auto" w:before="138" w:after="0"/>
        <w:ind w:left="3829" w:right="4122" w:hanging="3829"/>
        <w:jc w:val="right"/>
        <w:rPr>
          <w:b/>
          <w:sz w:val="24"/>
        </w:rPr>
      </w:pPr>
      <w:r>
        <w:rPr>
          <w:sz w:val="24"/>
        </w:rPr>
        <w:t>Potenciais Pagantes para 2021:</w:t>
      </w:r>
      <w:r>
        <w:rPr>
          <w:spacing w:val="-15"/>
          <w:sz w:val="24"/>
        </w:rPr>
        <w:t> </w:t>
      </w:r>
      <w:r>
        <w:rPr>
          <w:b/>
          <w:sz w:val="24"/>
        </w:rPr>
        <w:t>191.707;</w:t>
      </w:r>
    </w:p>
    <w:p>
      <w:pPr>
        <w:pStyle w:val="ListParagraph"/>
        <w:numPr>
          <w:ilvl w:val="0"/>
          <w:numId w:val="13"/>
        </w:numPr>
        <w:tabs>
          <w:tab w:pos="3829" w:val="left" w:leader="none"/>
        </w:tabs>
        <w:spacing w:line="360" w:lineRule="auto" w:before="147" w:after="0"/>
        <w:ind w:left="3829" w:right="1128" w:hanging="425"/>
        <w:jc w:val="both"/>
        <w:rPr>
          <w:sz w:val="24"/>
        </w:rPr>
      </w:pPr>
      <w:r>
        <w:rPr>
          <w:sz w:val="24"/>
        </w:rPr>
        <w:t>Inadimplência média para 2021: </w:t>
      </w:r>
      <w:r>
        <w:rPr>
          <w:b/>
          <w:sz w:val="24"/>
        </w:rPr>
        <w:t>31,6% </w:t>
      </w:r>
      <w:r>
        <w:rPr>
          <w:sz w:val="24"/>
        </w:rPr>
        <w:t>(base na média das médias dos últimos três anos e da inadimplência da Reprogramação, com ajuste de curva</w:t>
      </w:r>
      <w:r>
        <w:rPr>
          <w:spacing w:val="-11"/>
          <w:sz w:val="24"/>
        </w:rPr>
        <w:t> </w:t>
      </w:r>
      <w:r>
        <w:rPr>
          <w:sz w:val="24"/>
        </w:rPr>
        <w:t>para</w:t>
      </w:r>
      <w:r>
        <w:rPr>
          <w:spacing w:val="-10"/>
          <w:sz w:val="24"/>
        </w:rPr>
        <w:t> </w:t>
      </w:r>
      <w:r>
        <w:rPr>
          <w:sz w:val="24"/>
        </w:rPr>
        <w:t>os</w:t>
      </w:r>
      <w:r>
        <w:rPr>
          <w:spacing w:val="-10"/>
          <w:sz w:val="24"/>
        </w:rPr>
        <w:t> </w:t>
      </w:r>
      <w:r>
        <w:rPr>
          <w:sz w:val="24"/>
        </w:rPr>
        <w:t>seguintes</w:t>
      </w:r>
      <w:r>
        <w:rPr>
          <w:spacing w:val="-11"/>
          <w:sz w:val="24"/>
        </w:rPr>
        <w:t> </w:t>
      </w:r>
      <w:r>
        <w:rPr>
          <w:sz w:val="24"/>
        </w:rPr>
        <w:t>CAU/UF:</w:t>
      </w:r>
      <w:r>
        <w:rPr>
          <w:spacing w:val="-11"/>
          <w:sz w:val="24"/>
        </w:rPr>
        <w:t> </w:t>
      </w:r>
      <w:r>
        <w:rPr>
          <w:sz w:val="24"/>
        </w:rPr>
        <w:t>AC</w:t>
      </w:r>
      <w:r>
        <w:rPr>
          <w:spacing w:val="-11"/>
          <w:sz w:val="24"/>
        </w:rPr>
        <w:t> </w:t>
      </w:r>
      <w:r>
        <w:rPr>
          <w:sz w:val="24"/>
        </w:rPr>
        <w:t>(44,8%);</w:t>
      </w:r>
      <w:r>
        <w:rPr>
          <w:spacing w:val="-10"/>
          <w:sz w:val="24"/>
        </w:rPr>
        <w:t> </w:t>
      </w:r>
      <w:r>
        <w:rPr>
          <w:sz w:val="24"/>
        </w:rPr>
        <w:t>AP</w:t>
      </w:r>
      <w:r>
        <w:rPr>
          <w:spacing w:val="-10"/>
          <w:sz w:val="24"/>
        </w:rPr>
        <w:t> </w:t>
      </w:r>
      <w:r>
        <w:rPr>
          <w:sz w:val="24"/>
        </w:rPr>
        <w:t>(51,3%);</w:t>
      </w:r>
      <w:r>
        <w:rPr>
          <w:spacing w:val="-12"/>
          <w:sz w:val="24"/>
        </w:rPr>
        <w:t> </w:t>
      </w:r>
      <w:r>
        <w:rPr>
          <w:sz w:val="24"/>
        </w:rPr>
        <w:t>PA</w:t>
      </w:r>
      <w:r>
        <w:rPr>
          <w:spacing w:val="-10"/>
          <w:sz w:val="24"/>
        </w:rPr>
        <w:t> </w:t>
      </w:r>
      <w:r>
        <w:rPr>
          <w:sz w:val="24"/>
        </w:rPr>
        <w:t>(45,6%);</w:t>
      </w:r>
      <w:r>
        <w:rPr>
          <w:spacing w:val="-9"/>
          <w:sz w:val="24"/>
        </w:rPr>
        <w:t> </w:t>
      </w:r>
      <w:r>
        <w:rPr>
          <w:sz w:val="24"/>
        </w:rPr>
        <w:t>BA (31,8%); CE (41,6%); MS (43,9%) e RJ (30,0%),e à exceção dos CAU/SP e CAU/PR, cujos percentuais para esses CAU/UF foram de 38,1% e 29,5% respectivamente, na forma de suas</w:t>
      </w:r>
      <w:r>
        <w:rPr>
          <w:spacing w:val="-5"/>
          <w:sz w:val="24"/>
        </w:rPr>
        <w:t> </w:t>
      </w:r>
      <w:r>
        <w:rPr>
          <w:sz w:val="24"/>
        </w:rPr>
        <w:t>solicitações;</w:t>
      </w:r>
    </w:p>
    <w:p>
      <w:pPr>
        <w:pStyle w:val="ListParagraph"/>
        <w:numPr>
          <w:ilvl w:val="0"/>
          <w:numId w:val="13"/>
        </w:numPr>
        <w:tabs>
          <w:tab w:pos="3829" w:val="left" w:leader="none"/>
        </w:tabs>
        <w:spacing w:line="360" w:lineRule="auto" w:before="1" w:after="0"/>
        <w:ind w:left="3829" w:right="1126" w:hanging="425"/>
        <w:jc w:val="both"/>
        <w:rPr>
          <w:sz w:val="24"/>
        </w:rPr>
      </w:pPr>
      <w:r>
        <w:rPr>
          <w:sz w:val="24"/>
        </w:rPr>
        <w:t>Pagantes</w:t>
      </w:r>
      <w:r>
        <w:rPr>
          <w:spacing w:val="-12"/>
          <w:sz w:val="24"/>
        </w:rPr>
        <w:t> </w:t>
      </w:r>
      <w:r>
        <w:rPr>
          <w:sz w:val="24"/>
        </w:rPr>
        <w:t>com</w:t>
      </w:r>
      <w:r>
        <w:rPr>
          <w:spacing w:val="-11"/>
          <w:sz w:val="24"/>
        </w:rPr>
        <w:t> </w:t>
      </w:r>
      <w:r>
        <w:rPr>
          <w:sz w:val="24"/>
        </w:rPr>
        <w:t>redução</w:t>
      </w:r>
      <w:r>
        <w:rPr>
          <w:spacing w:val="-10"/>
          <w:sz w:val="24"/>
        </w:rPr>
        <w:t> </w:t>
      </w:r>
      <w:r>
        <w:rPr>
          <w:sz w:val="24"/>
        </w:rPr>
        <w:t>da</w:t>
      </w:r>
      <w:r>
        <w:rPr>
          <w:spacing w:val="-12"/>
          <w:sz w:val="24"/>
        </w:rPr>
        <w:t> </w:t>
      </w:r>
      <w:r>
        <w:rPr>
          <w:sz w:val="24"/>
        </w:rPr>
        <w:t>Inadimplência</w:t>
      </w:r>
      <w:r>
        <w:rPr>
          <w:spacing w:val="-11"/>
          <w:sz w:val="24"/>
        </w:rPr>
        <w:t> </w:t>
      </w:r>
      <w:r>
        <w:rPr>
          <w:sz w:val="24"/>
        </w:rPr>
        <w:t>para</w:t>
      </w:r>
      <w:r>
        <w:rPr>
          <w:spacing w:val="-10"/>
          <w:sz w:val="24"/>
        </w:rPr>
        <w:t> </w:t>
      </w:r>
      <w:r>
        <w:rPr>
          <w:sz w:val="24"/>
        </w:rPr>
        <w:t>2021</w:t>
      </w:r>
      <w:r>
        <w:rPr>
          <w:spacing w:val="-10"/>
          <w:sz w:val="24"/>
        </w:rPr>
        <w:t> </w:t>
      </w:r>
      <w:r>
        <w:rPr>
          <w:sz w:val="24"/>
        </w:rPr>
        <w:t>=</w:t>
      </w:r>
      <w:r>
        <w:rPr>
          <w:spacing w:val="-12"/>
          <w:sz w:val="24"/>
        </w:rPr>
        <w:t> </w:t>
      </w:r>
      <w:r>
        <w:rPr>
          <w:b/>
          <w:sz w:val="24"/>
        </w:rPr>
        <w:t>119.278</w:t>
      </w:r>
      <w:r>
        <w:rPr>
          <w:b/>
          <w:spacing w:val="-10"/>
          <w:sz w:val="24"/>
        </w:rPr>
        <w:t> </w:t>
      </w:r>
      <w:r>
        <w:rPr>
          <w:sz w:val="24"/>
        </w:rPr>
        <w:t>(Potencial pagantes atuais previstos (</w:t>
      </w:r>
      <w:r>
        <w:rPr>
          <w:b/>
          <w:sz w:val="24"/>
        </w:rPr>
        <w:t>179.921</w:t>
      </w:r>
      <w:r>
        <w:rPr>
          <w:sz w:val="24"/>
        </w:rPr>
        <w:t>) com redução média de </w:t>
      </w:r>
      <w:r>
        <w:rPr>
          <w:b/>
          <w:sz w:val="24"/>
        </w:rPr>
        <w:t>31,8% </w:t>
      </w:r>
      <w:r>
        <w:rPr>
          <w:sz w:val="24"/>
        </w:rPr>
        <w:t>da inadimplência);</w:t>
      </w:r>
    </w:p>
    <w:p>
      <w:pPr>
        <w:pStyle w:val="ListParagraph"/>
        <w:numPr>
          <w:ilvl w:val="0"/>
          <w:numId w:val="13"/>
        </w:numPr>
        <w:tabs>
          <w:tab w:pos="3829" w:val="left" w:leader="none"/>
        </w:tabs>
        <w:spacing w:line="292" w:lineRule="exact" w:before="0" w:after="0"/>
        <w:ind w:left="3829" w:right="0" w:hanging="425"/>
        <w:jc w:val="both"/>
        <w:rPr>
          <w:sz w:val="24"/>
        </w:rPr>
      </w:pPr>
      <w:r>
        <w:rPr>
          <w:sz w:val="24"/>
        </w:rPr>
        <w:t>Novos Entrantes:</w:t>
      </w:r>
      <w:r>
        <w:rPr>
          <w:spacing w:val="2"/>
          <w:sz w:val="24"/>
        </w:rPr>
        <w:t> </w:t>
      </w:r>
      <w:r>
        <w:rPr>
          <w:b/>
          <w:sz w:val="24"/>
        </w:rPr>
        <w:t>11.786</w:t>
      </w:r>
      <w:r>
        <w:rPr>
          <w:sz w:val="24"/>
        </w:rPr>
        <w:t>;</w:t>
      </w:r>
    </w:p>
    <w:p>
      <w:pPr>
        <w:pStyle w:val="ListParagraph"/>
        <w:numPr>
          <w:ilvl w:val="0"/>
          <w:numId w:val="13"/>
        </w:numPr>
        <w:tabs>
          <w:tab w:pos="3829" w:val="left" w:leader="none"/>
        </w:tabs>
        <w:spacing w:line="240" w:lineRule="auto" w:before="146" w:after="0"/>
        <w:ind w:left="3829" w:right="0" w:hanging="425"/>
        <w:jc w:val="both"/>
        <w:rPr>
          <w:b/>
          <w:sz w:val="24"/>
        </w:rPr>
      </w:pPr>
      <w:r>
        <w:rPr>
          <w:sz w:val="24"/>
        </w:rPr>
        <w:t>Inadimplência média:</w:t>
      </w:r>
      <w:r>
        <w:rPr>
          <w:spacing w:val="-1"/>
          <w:sz w:val="24"/>
        </w:rPr>
        <w:t> </w:t>
      </w:r>
      <w:r>
        <w:rPr>
          <w:b/>
          <w:sz w:val="24"/>
        </w:rPr>
        <w:t>31,8%.</w:t>
      </w:r>
    </w:p>
    <w:p>
      <w:pPr>
        <w:spacing w:line="259" w:lineRule="auto" w:before="147"/>
        <w:ind w:left="3142" w:right="1150" w:firstLine="0"/>
        <w:jc w:val="both"/>
        <w:rPr>
          <w:b/>
          <w:i/>
          <w:sz w:val="24"/>
        </w:rPr>
      </w:pPr>
      <w:r>
        <w:rPr>
          <w:b/>
          <w:i/>
          <w:sz w:val="24"/>
        </w:rPr>
        <w:t>Premissa utilizada = Quantidade de Pagantes com redução da Inadimplência </w:t>
      </w:r>
      <w:r>
        <w:rPr>
          <w:b/>
          <w:i/>
          <w:sz w:val="24"/>
        </w:rPr>
        <w:t>(+) Novos Entrantes</w:t>
      </w:r>
    </w:p>
    <w:p>
      <w:pPr>
        <w:pStyle w:val="BodyText"/>
        <w:rPr>
          <w:b/>
          <w:i/>
        </w:rPr>
      </w:pPr>
    </w:p>
    <w:p>
      <w:pPr>
        <w:pStyle w:val="Heading5"/>
        <w:numPr>
          <w:ilvl w:val="1"/>
          <w:numId w:val="11"/>
        </w:numPr>
        <w:tabs>
          <w:tab w:pos="3405" w:val="left" w:leader="none"/>
        </w:tabs>
        <w:spacing w:line="240" w:lineRule="auto" w:before="183" w:after="0"/>
        <w:ind w:left="3404" w:right="0" w:hanging="427"/>
        <w:jc w:val="both"/>
      </w:pPr>
      <w:r>
        <w:rPr/>
        <w:t>Projeção das formas de pagamento, conforme a Resolução nº</w:t>
      </w:r>
      <w:r>
        <w:rPr>
          <w:spacing w:val="-13"/>
        </w:rPr>
        <w:t> </w:t>
      </w:r>
      <w:r>
        <w:rPr/>
        <w:t>193/2020:</w:t>
      </w:r>
    </w:p>
    <w:p>
      <w:pPr>
        <w:pStyle w:val="ListParagraph"/>
        <w:numPr>
          <w:ilvl w:val="0"/>
          <w:numId w:val="14"/>
        </w:numPr>
        <w:tabs>
          <w:tab w:pos="3829" w:val="left" w:leader="none"/>
        </w:tabs>
        <w:spacing w:line="360" w:lineRule="auto" w:before="139" w:after="0"/>
        <w:ind w:left="3829" w:right="1128" w:hanging="425"/>
        <w:jc w:val="both"/>
        <w:rPr>
          <w:b/>
          <w:sz w:val="24"/>
        </w:rPr>
      </w:pPr>
      <w:r>
        <w:rPr>
          <w:b/>
          <w:sz w:val="24"/>
        </w:rPr>
        <w:t>38% </w:t>
      </w:r>
      <w:r>
        <w:rPr>
          <w:sz w:val="24"/>
        </w:rPr>
        <w:t>das anuidades pagas de forma integral (sem descontos à vista) ou parcelado (</w:t>
      </w:r>
      <w:r>
        <w:rPr>
          <w:b/>
          <w:sz w:val="24"/>
        </w:rPr>
        <w:t>49.795</w:t>
      </w:r>
      <w:r>
        <w:rPr>
          <w:sz w:val="24"/>
        </w:rPr>
        <w:t>)</w:t>
      </w:r>
      <w:r>
        <w:rPr>
          <w:b/>
          <w:sz w:val="24"/>
        </w:rPr>
        <w:t>;</w:t>
      </w:r>
    </w:p>
    <w:p>
      <w:pPr>
        <w:pStyle w:val="ListParagraph"/>
        <w:numPr>
          <w:ilvl w:val="0"/>
          <w:numId w:val="14"/>
        </w:numPr>
        <w:tabs>
          <w:tab w:pos="3829" w:val="left" w:leader="none"/>
        </w:tabs>
        <w:spacing w:line="360" w:lineRule="auto" w:before="0" w:after="0"/>
        <w:ind w:left="3829" w:right="1127" w:hanging="425"/>
        <w:jc w:val="both"/>
        <w:rPr>
          <w:sz w:val="24"/>
        </w:rPr>
      </w:pPr>
      <w:r>
        <w:rPr>
          <w:b/>
          <w:sz w:val="24"/>
        </w:rPr>
        <w:t>62% </w:t>
      </w:r>
      <w:r>
        <w:rPr>
          <w:sz w:val="24"/>
        </w:rPr>
        <w:t>das anuidades pagas à vista (</w:t>
      </w:r>
      <w:r>
        <w:rPr>
          <w:b/>
          <w:sz w:val="24"/>
        </w:rPr>
        <w:t>81.270</w:t>
      </w:r>
      <w:r>
        <w:rPr>
          <w:sz w:val="24"/>
        </w:rPr>
        <w:t>) – sendo que 71,2% pagam com</w:t>
      </w:r>
      <w:r>
        <w:rPr>
          <w:spacing w:val="-13"/>
          <w:sz w:val="24"/>
        </w:rPr>
        <w:t> </w:t>
      </w:r>
      <w:r>
        <w:rPr>
          <w:sz w:val="24"/>
        </w:rPr>
        <w:t>descontos</w:t>
      </w:r>
      <w:r>
        <w:rPr>
          <w:spacing w:val="-16"/>
          <w:sz w:val="24"/>
        </w:rPr>
        <w:t> </w:t>
      </w:r>
      <w:r>
        <w:rPr>
          <w:sz w:val="24"/>
        </w:rPr>
        <w:t>de</w:t>
      </w:r>
      <w:r>
        <w:rPr>
          <w:spacing w:val="-15"/>
          <w:sz w:val="24"/>
        </w:rPr>
        <w:t> </w:t>
      </w:r>
      <w:r>
        <w:rPr>
          <w:sz w:val="24"/>
        </w:rPr>
        <w:t>10%</w:t>
      </w:r>
      <w:r>
        <w:rPr>
          <w:spacing w:val="-11"/>
          <w:sz w:val="24"/>
        </w:rPr>
        <w:t> </w:t>
      </w:r>
      <w:r>
        <w:rPr>
          <w:sz w:val="24"/>
        </w:rPr>
        <w:t>(</w:t>
      </w:r>
      <w:r>
        <w:rPr>
          <w:b/>
          <w:sz w:val="24"/>
        </w:rPr>
        <w:t>57.863</w:t>
      </w:r>
      <w:r>
        <w:rPr>
          <w:sz w:val="24"/>
        </w:rPr>
        <w:t>)</w:t>
      </w:r>
      <w:r>
        <w:rPr>
          <w:spacing w:val="-14"/>
          <w:sz w:val="24"/>
        </w:rPr>
        <w:t> </w:t>
      </w:r>
      <w:r>
        <w:rPr>
          <w:sz w:val="24"/>
        </w:rPr>
        <w:t>em</w:t>
      </w:r>
      <w:r>
        <w:rPr>
          <w:spacing w:val="-15"/>
          <w:sz w:val="24"/>
        </w:rPr>
        <w:t> </w:t>
      </w:r>
      <w:r>
        <w:rPr>
          <w:sz w:val="24"/>
        </w:rPr>
        <w:t>janeiro;</w:t>
      </w:r>
      <w:r>
        <w:rPr>
          <w:spacing w:val="-15"/>
          <w:sz w:val="24"/>
        </w:rPr>
        <w:t> </w:t>
      </w:r>
      <w:r>
        <w:rPr>
          <w:sz w:val="24"/>
        </w:rPr>
        <w:t>24,6%</w:t>
      </w:r>
      <w:r>
        <w:rPr>
          <w:spacing w:val="-15"/>
          <w:sz w:val="24"/>
        </w:rPr>
        <w:t> </w:t>
      </w:r>
      <w:r>
        <w:rPr>
          <w:sz w:val="24"/>
        </w:rPr>
        <w:t>pagam</w:t>
      </w:r>
      <w:r>
        <w:rPr>
          <w:spacing w:val="-13"/>
          <w:sz w:val="24"/>
        </w:rPr>
        <w:t> </w:t>
      </w:r>
      <w:r>
        <w:rPr>
          <w:sz w:val="24"/>
        </w:rPr>
        <w:t>com</w:t>
      </w:r>
      <w:r>
        <w:rPr>
          <w:spacing w:val="-16"/>
          <w:sz w:val="24"/>
        </w:rPr>
        <w:t> </w:t>
      </w:r>
      <w:r>
        <w:rPr>
          <w:sz w:val="24"/>
        </w:rPr>
        <w:t>desconto de 5% em fevereiro (</w:t>
      </w:r>
      <w:r>
        <w:rPr>
          <w:b/>
          <w:sz w:val="24"/>
        </w:rPr>
        <w:t>19.997</w:t>
      </w:r>
      <w:r>
        <w:rPr>
          <w:sz w:val="24"/>
        </w:rPr>
        <w:t>) e 4,2% pagam em março (</w:t>
      </w:r>
      <w:r>
        <w:rPr>
          <w:b/>
          <w:sz w:val="24"/>
        </w:rPr>
        <w:t>3.410</w:t>
      </w:r>
      <w:r>
        <w:rPr>
          <w:sz w:val="24"/>
        </w:rPr>
        <w:t>);</w:t>
      </w:r>
      <w:r>
        <w:rPr>
          <w:spacing w:val="-15"/>
          <w:sz w:val="24"/>
        </w:rPr>
        <w:t> </w:t>
      </w:r>
      <w:r>
        <w:rPr>
          <w:sz w:val="24"/>
        </w:rPr>
        <w:t>sendo:</w:t>
      </w:r>
    </w:p>
    <w:p>
      <w:pPr>
        <w:pStyle w:val="ListParagraph"/>
        <w:numPr>
          <w:ilvl w:val="1"/>
          <w:numId w:val="14"/>
        </w:numPr>
        <w:tabs>
          <w:tab w:pos="4537" w:val="left" w:leader="none"/>
        </w:tabs>
        <w:spacing w:line="355" w:lineRule="auto" w:before="1" w:after="0"/>
        <w:ind w:left="4537" w:right="1126" w:hanging="284"/>
        <w:jc w:val="both"/>
        <w:rPr>
          <w:sz w:val="24"/>
        </w:rPr>
      </w:pPr>
      <w:r>
        <w:rPr>
          <w:b/>
          <w:sz w:val="24"/>
        </w:rPr>
        <w:t>40,8% </w:t>
      </w:r>
      <w:r>
        <w:rPr>
          <w:sz w:val="24"/>
        </w:rPr>
        <w:t>(</w:t>
      </w:r>
      <w:r>
        <w:rPr>
          <w:b/>
          <w:sz w:val="24"/>
        </w:rPr>
        <w:t>33.129</w:t>
      </w:r>
      <w:r>
        <w:rPr>
          <w:sz w:val="24"/>
        </w:rPr>
        <w:t>) das anuidades pagas à vista. Sendo que desses 75,0% (</w:t>
      </w:r>
      <w:r>
        <w:rPr>
          <w:b/>
          <w:sz w:val="24"/>
        </w:rPr>
        <w:t>24.846</w:t>
      </w:r>
      <w:r>
        <w:rPr>
          <w:sz w:val="24"/>
        </w:rPr>
        <w:t>) pagam com apenas 10% de desconto em janeiro e 25,0% (</w:t>
      </w:r>
      <w:r>
        <w:rPr>
          <w:b/>
          <w:sz w:val="24"/>
        </w:rPr>
        <w:t>8.283</w:t>
      </w:r>
      <w:r>
        <w:rPr>
          <w:sz w:val="24"/>
        </w:rPr>
        <w:t>) pagam com apenas 5% desconto em</w:t>
      </w:r>
      <w:r>
        <w:rPr>
          <w:spacing w:val="-17"/>
          <w:sz w:val="24"/>
        </w:rPr>
        <w:t> </w:t>
      </w:r>
      <w:r>
        <w:rPr>
          <w:sz w:val="24"/>
        </w:rPr>
        <w:t>fevereiro.</w:t>
      </w:r>
    </w:p>
    <w:p>
      <w:pPr>
        <w:pStyle w:val="ListParagraph"/>
        <w:numPr>
          <w:ilvl w:val="1"/>
          <w:numId w:val="14"/>
        </w:numPr>
        <w:tabs>
          <w:tab w:pos="4537" w:val="left" w:leader="none"/>
        </w:tabs>
        <w:spacing w:line="357" w:lineRule="auto" w:before="9" w:after="0"/>
        <w:ind w:left="4537" w:right="1126" w:hanging="284"/>
        <w:jc w:val="both"/>
        <w:rPr>
          <w:sz w:val="24"/>
        </w:rPr>
      </w:pPr>
      <w:r>
        <w:rPr>
          <w:b/>
          <w:sz w:val="24"/>
        </w:rPr>
        <w:t>41,1% </w:t>
      </w:r>
      <w:r>
        <w:rPr>
          <w:sz w:val="24"/>
        </w:rPr>
        <w:t>(</w:t>
      </w:r>
      <w:r>
        <w:rPr>
          <w:b/>
          <w:sz w:val="24"/>
        </w:rPr>
        <w:t>32.550</w:t>
      </w:r>
      <w:r>
        <w:rPr>
          <w:sz w:val="24"/>
        </w:rPr>
        <w:t>) das anuidades pagas à vista também são acrescidas do desconto de 50% para profissionais entrantes; até 2 anos de formados; e entre 30 e 39 anos. Sendo que desses 73,0% (</w:t>
      </w:r>
      <w:r>
        <w:rPr>
          <w:b/>
          <w:sz w:val="24"/>
        </w:rPr>
        <w:t>23.761</w:t>
      </w:r>
      <w:r>
        <w:rPr>
          <w:sz w:val="24"/>
        </w:rPr>
        <w:t>) pagam com acréscimos de 10% de desconto em janeiro e 27,0% (</w:t>
      </w:r>
      <w:r>
        <w:rPr>
          <w:b/>
          <w:sz w:val="24"/>
        </w:rPr>
        <w:t>8.789</w:t>
      </w:r>
      <w:r>
        <w:rPr>
          <w:sz w:val="24"/>
        </w:rPr>
        <w:t>) pagam com acréscimo de 5% desconto em fevereiro;</w:t>
      </w:r>
    </w:p>
    <w:p>
      <w:pPr>
        <w:spacing w:after="0" w:line="357" w:lineRule="auto"/>
        <w:jc w:val="both"/>
        <w:rPr>
          <w:sz w:val="24"/>
        </w:rPr>
        <w:sectPr>
          <w:pgSz w:w="11910" w:h="16840"/>
          <w:pgMar w:header="590" w:footer="612" w:top="1460" w:bottom="800" w:left="0" w:right="0"/>
        </w:sectPr>
      </w:pPr>
    </w:p>
    <w:p>
      <w:pPr>
        <w:pStyle w:val="BodyText"/>
        <w:spacing w:before="9"/>
        <w:rPr>
          <w:sz w:val="12"/>
        </w:rPr>
      </w:pPr>
    </w:p>
    <w:p>
      <w:pPr>
        <w:pStyle w:val="ListParagraph"/>
        <w:numPr>
          <w:ilvl w:val="1"/>
          <w:numId w:val="14"/>
        </w:numPr>
        <w:tabs>
          <w:tab w:pos="4537" w:val="left" w:leader="none"/>
        </w:tabs>
        <w:spacing w:line="357" w:lineRule="auto" w:before="72" w:after="0"/>
        <w:ind w:left="4537" w:right="1127" w:hanging="284"/>
        <w:jc w:val="both"/>
        <w:rPr>
          <w:sz w:val="24"/>
        </w:rPr>
      </w:pPr>
      <w:r>
        <w:rPr>
          <w:b/>
          <w:sz w:val="24"/>
        </w:rPr>
        <w:t>7,7%</w:t>
      </w:r>
      <w:r>
        <w:rPr>
          <w:b/>
          <w:spacing w:val="-9"/>
          <w:sz w:val="24"/>
        </w:rPr>
        <w:t> </w:t>
      </w:r>
      <w:r>
        <w:rPr>
          <w:sz w:val="24"/>
        </w:rPr>
        <w:t>(</w:t>
      </w:r>
      <w:r>
        <w:rPr>
          <w:b/>
          <w:sz w:val="24"/>
        </w:rPr>
        <w:t>6.239</w:t>
      </w:r>
      <w:r>
        <w:rPr>
          <w:sz w:val="24"/>
        </w:rPr>
        <w:t>)</w:t>
      </w:r>
      <w:r>
        <w:rPr>
          <w:spacing w:val="-11"/>
          <w:sz w:val="24"/>
        </w:rPr>
        <w:t> </w:t>
      </w:r>
      <w:r>
        <w:rPr>
          <w:sz w:val="24"/>
        </w:rPr>
        <w:t>das</w:t>
      </w:r>
      <w:r>
        <w:rPr>
          <w:spacing w:val="-8"/>
          <w:sz w:val="24"/>
        </w:rPr>
        <w:t> </w:t>
      </w:r>
      <w:r>
        <w:rPr>
          <w:sz w:val="24"/>
        </w:rPr>
        <w:t>anuidades</w:t>
      </w:r>
      <w:r>
        <w:rPr>
          <w:spacing w:val="-7"/>
          <w:sz w:val="24"/>
        </w:rPr>
        <w:t> </w:t>
      </w:r>
      <w:r>
        <w:rPr>
          <w:sz w:val="24"/>
        </w:rPr>
        <w:t>pagas</w:t>
      </w:r>
      <w:r>
        <w:rPr>
          <w:spacing w:val="-9"/>
          <w:sz w:val="24"/>
        </w:rPr>
        <w:t> </w:t>
      </w:r>
      <w:r>
        <w:rPr>
          <w:sz w:val="24"/>
        </w:rPr>
        <w:t>à</w:t>
      </w:r>
      <w:r>
        <w:rPr>
          <w:spacing w:val="-8"/>
          <w:sz w:val="24"/>
        </w:rPr>
        <w:t> </w:t>
      </w:r>
      <w:r>
        <w:rPr>
          <w:sz w:val="24"/>
        </w:rPr>
        <w:t>vista</w:t>
      </w:r>
      <w:r>
        <w:rPr>
          <w:spacing w:val="-7"/>
          <w:sz w:val="24"/>
        </w:rPr>
        <w:t> </w:t>
      </w:r>
      <w:r>
        <w:rPr>
          <w:sz w:val="24"/>
        </w:rPr>
        <w:t>também</w:t>
      </w:r>
      <w:r>
        <w:rPr>
          <w:spacing w:val="-12"/>
          <w:sz w:val="24"/>
        </w:rPr>
        <w:t> </w:t>
      </w:r>
      <w:r>
        <w:rPr>
          <w:sz w:val="24"/>
        </w:rPr>
        <w:t>são</w:t>
      </w:r>
      <w:r>
        <w:rPr>
          <w:spacing w:val="-8"/>
          <w:sz w:val="24"/>
        </w:rPr>
        <w:t> </w:t>
      </w:r>
      <w:r>
        <w:rPr>
          <w:sz w:val="24"/>
        </w:rPr>
        <w:t>acrescidas do desconto de 30% para profissionais de 2 anos a 3 anos de formados. Sendo que desses 58,6% (</w:t>
      </w:r>
      <w:r>
        <w:rPr>
          <w:b/>
          <w:sz w:val="24"/>
        </w:rPr>
        <w:t>3.655</w:t>
      </w:r>
      <w:r>
        <w:rPr>
          <w:sz w:val="24"/>
        </w:rPr>
        <w:t>) pagam com acréscimos de 10% de desconto em janeiro; 19,5% (</w:t>
      </w:r>
      <w:r>
        <w:rPr>
          <w:b/>
          <w:sz w:val="24"/>
        </w:rPr>
        <w:t>1.219</w:t>
      </w:r>
      <w:r>
        <w:rPr>
          <w:sz w:val="24"/>
        </w:rPr>
        <w:t>) pagam com acréscimo de 5% desconto em fevereiro e 21,9% (</w:t>
      </w:r>
      <w:r>
        <w:rPr>
          <w:b/>
          <w:sz w:val="24"/>
        </w:rPr>
        <w:t>1.365</w:t>
      </w:r>
      <w:r>
        <w:rPr>
          <w:sz w:val="24"/>
        </w:rPr>
        <w:t>) pagam sem outros acréscimos de descontos em</w:t>
      </w:r>
      <w:r>
        <w:rPr>
          <w:spacing w:val="-11"/>
          <w:sz w:val="24"/>
        </w:rPr>
        <w:t> </w:t>
      </w:r>
      <w:r>
        <w:rPr>
          <w:sz w:val="24"/>
        </w:rPr>
        <w:t>março;</w:t>
      </w:r>
    </w:p>
    <w:p>
      <w:pPr>
        <w:pStyle w:val="ListParagraph"/>
        <w:numPr>
          <w:ilvl w:val="1"/>
          <w:numId w:val="14"/>
        </w:numPr>
        <w:tabs>
          <w:tab w:pos="4537" w:val="left" w:leader="none"/>
        </w:tabs>
        <w:spacing w:line="357" w:lineRule="auto" w:before="9" w:after="0"/>
        <w:ind w:left="4537" w:right="1125" w:hanging="284"/>
        <w:jc w:val="both"/>
        <w:rPr>
          <w:sz w:val="24"/>
        </w:rPr>
      </w:pPr>
      <w:r>
        <w:rPr>
          <w:b/>
          <w:sz w:val="24"/>
        </w:rPr>
        <w:t>6,6%</w:t>
      </w:r>
      <w:r>
        <w:rPr>
          <w:b/>
          <w:spacing w:val="-9"/>
          <w:sz w:val="24"/>
        </w:rPr>
        <w:t> </w:t>
      </w:r>
      <w:r>
        <w:rPr>
          <w:sz w:val="24"/>
        </w:rPr>
        <w:t>(</w:t>
      </w:r>
      <w:r>
        <w:rPr>
          <w:b/>
          <w:sz w:val="24"/>
        </w:rPr>
        <w:t>5.333</w:t>
      </w:r>
      <w:r>
        <w:rPr>
          <w:sz w:val="24"/>
        </w:rPr>
        <w:t>)</w:t>
      </w:r>
      <w:r>
        <w:rPr>
          <w:spacing w:val="-9"/>
          <w:sz w:val="24"/>
        </w:rPr>
        <w:t> </w:t>
      </w:r>
      <w:r>
        <w:rPr>
          <w:b/>
          <w:sz w:val="24"/>
        </w:rPr>
        <w:t>d</w:t>
      </w:r>
      <w:r>
        <w:rPr>
          <w:sz w:val="24"/>
        </w:rPr>
        <w:t>as</w:t>
      </w:r>
      <w:r>
        <w:rPr>
          <w:spacing w:val="-9"/>
          <w:sz w:val="24"/>
        </w:rPr>
        <w:t> </w:t>
      </w:r>
      <w:r>
        <w:rPr>
          <w:sz w:val="24"/>
        </w:rPr>
        <w:t>anuidades</w:t>
      </w:r>
      <w:r>
        <w:rPr>
          <w:spacing w:val="-7"/>
          <w:sz w:val="24"/>
        </w:rPr>
        <w:t> </w:t>
      </w:r>
      <w:r>
        <w:rPr>
          <w:sz w:val="24"/>
        </w:rPr>
        <w:t>pagas</w:t>
      </w:r>
      <w:r>
        <w:rPr>
          <w:spacing w:val="-8"/>
          <w:sz w:val="24"/>
        </w:rPr>
        <w:t> </w:t>
      </w:r>
      <w:r>
        <w:rPr>
          <w:sz w:val="24"/>
        </w:rPr>
        <w:t>à</w:t>
      </w:r>
      <w:r>
        <w:rPr>
          <w:spacing w:val="-11"/>
          <w:sz w:val="24"/>
        </w:rPr>
        <w:t> </w:t>
      </w:r>
      <w:r>
        <w:rPr>
          <w:sz w:val="24"/>
        </w:rPr>
        <w:t>vista</w:t>
      </w:r>
      <w:r>
        <w:rPr>
          <w:spacing w:val="-9"/>
          <w:sz w:val="24"/>
        </w:rPr>
        <w:t> </w:t>
      </w:r>
      <w:r>
        <w:rPr>
          <w:sz w:val="24"/>
        </w:rPr>
        <w:t>também</w:t>
      </w:r>
      <w:r>
        <w:rPr>
          <w:spacing w:val="-9"/>
          <w:sz w:val="24"/>
        </w:rPr>
        <w:t> </w:t>
      </w:r>
      <w:r>
        <w:rPr>
          <w:sz w:val="24"/>
        </w:rPr>
        <w:t>são</w:t>
      </w:r>
      <w:r>
        <w:rPr>
          <w:spacing w:val="-8"/>
          <w:sz w:val="24"/>
        </w:rPr>
        <w:t> </w:t>
      </w:r>
      <w:r>
        <w:rPr>
          <w:sz w:val="24"/>
        </w:rPr>
        <w:t>acrescidas do desconto de 20% para profissionais de 3 anos a 4 anos de formados. Sendo que desses 59,3% (</w:t>
      </w:r>
      <w:r>
        <w:rPr>
          <w:b/>
          <w:sz w:val="24"/>
        </w:rPr>
        <w:t>3.165</w:t>
      </w:r>
      <w:r>
        <w:rPr>
          <w:sz w:val="24"/>
        </w:rPr>
        <w:t>) pagam com acréscimos de 10% de desconto em janeiro; 18,3% (</w:t>
      </w:r>
      <w:r>
        <w:rPr>
          <w:b/>
          <w:sz w:val="24"/>
        </w:rPr>
        <w:t>976</w:t>
      </w:r>
      <w:r>
        <w:rPr>
          <w:sz w:val="24"/>
        </w:rPr>
        <w:t>) pagam com acréscimo de 5% desconto em fevereiro e 22,4% (</w:t>
      </w:r>
      <w:r>
        <w:rPr>
          <w:b/>
          <w:sz w:val="24"/>
        </w:rPr>
        <w:t>1.192</w:t>
      </w:r>
      <w:r>
        <w:rPr>
          <w:sz w:val="24"/>
        </w:rPr>
        <w:t>) pagam sem outros acréscimos de descontos em</w:t>
      </w:r>
      <w:r>
        <w:rPr>
          <w:spacing w:val="-8"/>
          <w:sz w:val="24"/>
        </w:rPr>
        <w:t> </w:t>
      </w:r>
      <w:r>
        <w:rPr>
          <w:sz w:val="24"/>
        </w:rPr>
        <w:t>março;</w:t>
      </w:r>
    </w:p>
    <w:p>
      <w:pPr>
        <w:pStyle w:val="ListParagraph"/>
        <w:numPr>
          <w:ilvl w:val="1"/>
          <w:numId w:val="14"/>
        </w:numPr>
        <w:tabs>
          <w:tab w:pos="4537" w:val="left" w:leader="none"/>
        </w:tabs>
        <w:spacing w:line="357" w:lineRule="auto" w:before="11" w:after="0"/>
        <w:ind w:left="4537" w:right="1127" w:hanging="284"/>
        <w:jc w:val="both"/>
        <w:rPr>
          <w:sz w:val="24"/>
        </w:rPr>
      </w:pPr>
      <w:r>
        <w:rPr>
          <w:b/>
          <w:sz w:val="24"/>
        </w:rPr>
        <w:t>4,9%</w:t>
      </w:r>
      <w:r>
        <w:rPr>
          <w:b/>
          <w:spacing w:val="-9"/>
          <w:sz w:val="24"/>
        </w:rPr>
        <w:t> </w:t>
      </w:r>
      <w:r>
        <w:rPr>
          <w:sz w:val="24"/>
        </w:rPr>
        <w:t>(</w:t>
      </w:r>
      <w:r>
        <w:rPr>
          <w:b/>
          <w:sz w:val="24"/>
        </w:rPr>
        <w:t>4.019</w:t>
      </w:r>
      <w:r>
        <w:rPr>
          <w:sz w:val="24"/>
        </w:rPr>
        <w:t>)</w:t>
      </w:r>
      <w:r>
        <w:rPr>
          <w:spacing w:val="-11"/>
          <w:sz w:val="24"/>
        </w:rPr>
        <w:t> </w:t>
      </w:r>
      <w:r>
        <w:rPr>
          <w:sz w:val="24"/>
        </w:rPr>
        <w:t>das</w:t>
      </w:r>
      <w:r>
        <w:rPr>
          <w:spacing w:val="-9"/>
          <w:sz w:val="24"/>
        </w:rPr>
        <w:t> </w:t>
      </w:r>
      <w:r>
        <w:rPr>
          <w:sz w:val="24"/>
        </w:rPr>
        <w:t>anuidades</w:t>
      </w:r>
      <w:r>
        <w:rPr>
          <w:spacing w:val="-7"/>
          <w:sz w:val="24"/>
        </w:rPr>
        <w:t> </w:t>
      </w:r>
      <w:r>
        <w:rPr>
          <w:sz w:val="24"/>
        </w:rPr>
        <w:t>pagas</w:t>
      </w:r>
      <w:r>
        <w:rPr>
          <w:spacing w:val="-9"/>
          <w:sz w:val="24"/>
        </w:rPr>
        <w:t> </w:t>
      </w:r>
      <w:r>
        <w:rPr>
          <w:sz w:val="24"/>
        </w:rPr>
        <w:t>à</w:t>
      </w:r>
      <w:r>
        <w:rPr>
          <w:spacing w:val="-8"/>
          <w:sz w:val="24"/>
        </w:rPr>
        <w:t> </w:t>
      </w:r>
      <w:r>
        <w:rPr>
          <w:sz w:val="24"/>
        </w:rPr>
        <w:t>vista</w:t>
      </w:r>
      <w:r>
        <w:rPr>
          <w:spacing w:val="-8"/>
          <w:sz w:val="24"/>
        </w:rPr>
        <w:t> </w:t>
      </w:r>
      <w:r>
        <w:rPr>
          <w:sz w:val="24"/>
        </w:rPr>
        <w:t>também</w:t>
      </w:r>
      <w:r>
        <w:rPr>
          <w:spacing w:val="-12"/>
          <w:sz w:val="24"/>
        </w:rPr>
        <w:t> </w:t>
      </w:r>
      <w:r>
        <w:rPr>
          <w:sz w:val="24"/>
        </w:rPr>
        <w:t>são</w:t>
      </w:r>
      <w:r>
        <w:rPr>
          <w:spacing w:val="-8"/>
          <w:sz w:val="24"/>
        </w:rPr>
        <w:t> </w:t>
      </w:r>
      <w:r>
        <w:rPr>
          <w:sz w:val="24"/>
        </w:rPr>
        <w:t>acrescidas do desconto de 10% para profissionais de 4 anos a 5 anos de formados. Sendo que desses 60,6% (</w:t>
      </w:r>
      <w:r>
        <w:rPr>
          <w:b/>
          <w:sz w:val="24"/>
        </w:rPr>
        <w:t>2.436</w:t>
      </w:r>
      <w:r>
        <w:rPr>
          <w:sz w:val="24"/>
        </w:rPr>
        <w:t>) pagam com acréscimos de 10% de desconto em janeiro; 18,2% (</w:t>
      </w:r>
      <w:r>
        <w:rPr>
          <w:b/>
          <w:sz w:val="24"/>
        </w:rPr>
        <w:t>730</w:t>
      </w:r>
      <w:r>
        <w:rPr>
          <w:sz w:val="24"/>
        </w:rPr>
        <w:t>) pagam com acréscimo de 5% desconto em fevereiro e 21,2% (</w:t>
      </w:r>
      <w:r>
        <w:rPr>
          <w:b/>
          <w:sz w:val="24"/>
        </w:rPr>
        <w:t>853</w:t>
      </w:r>
      <w:r>
        <w:rPr>
          <w:sz w:val="24"/>
        </w:rPr>
        <w:t>) pagam sem outros acréscimos de descontos em</w:t>
      </w:r>
      <w:r>
        <w:rPr>
          <w:spacing w:val="-9"/>
          <w:sz w:val="24"/>
        </w:rPr>
        <w:t> </w:t>
      </w:r>
      <w:r>
        <w:rPr>
          <w:sz w:val="24"/>
        </w:rPr>
        <w:t>março;</w:t>
      </w:r>
    </w:p>
    <w:p>
      <w:pPr>
        <w:pStyle w:val="BodyText"/>
      </w:pPr>
    </w:p>
    <w:p>
      <w:pPr>
        <w:pStyle w:val="Heading4"/>
        <w:numPr>
          <w:ilvl w:val="0"/>
          <w:numId w:val="11"/>
        </w:numPr>
        <w:tabs>
          <w:tab w:pos="2835" w:val="left" w:leader="none"/>
        </w:tabs>
        <w:spacing w:line="240" w:lineRule="auto" w:before="158" w:after="0"/>
        <w:ind w:left="2834" w:right="0" w:hanging="281"/>
        <w:jc w:val="left"/>
        <w:rPr>
          <w:rFonts w:ascii="Symbol" w:hAnsi="Symbol"/>
          <w:color w:val="006666"/>
        </w:rPr>
      </w:pPr>
      <w:r>
        <w:rPr>
          <w:color w:val="006666"/>
        </w:rPr>
        <w:t>Projeção das receitas de anuidades de pessoa jurídica,</w:t>
      </w:r>
      <w:r>
        <w:rPr>
          <w:color w:val="006666"/>
          <w:spacing w:val="-1"/>
        </w:rPr>
        <w:t> </w:t>
      </w:r>
      <w:r>
        <w:rPr>
          <w:color w:val="006666"/>
        </w:rPr>
        <w:t>considerando:</w:t>
      </w:r>
    </w:p>
    <w:p>
      <w:pPr>
        <w:pStyle w:val="Heading5"/>
        <w:numPr>
          <w:ilvl w:val="1"/>
          <w:numId w:val="11"/>
        </w:numPr>
        <w:tabs>
          <w:tab w:pos="3404" w:val="left" w:leader="none"/>
          <w:tab w:pos="3405" w:val="left" w:leader="none"/>
        </w:tabs>
        <w:spacing w:line="240" w:lineRule="auto" w:before="158" w:after="0"/>
        <w:ind w:left="3404" w:right="0" w:hanging="427"/>
        <w:jc w:val="left"/>
      </w:pPr>
      <w:r>
        <w:rPr/>
        <w:t>Empresas ativas –</w:t>
      </w:r>
      <w:r>
        <w:rPr>
          <w:spacing w:val="-1"/>
        </w:rPr>
        <w:t> </w:t>
      </w:r>
      <w:r>
        <w:rPr/>
        <w:t>28.482</w:t>
      </w:r>
    </w:p>
    <w:p>
      <w:pPr>
        <w:pStyle w:val="ListParagraph"/>
        <w:numPr>
          <w:ilvl w:val="2"/>
          <w:numId w:val="11"/>
        </w:numPr>
        <w:tabs>
          <w:tab w:pos="3828" w:val="left" w:leader="none"/>
          <w:tab w:pos="3829" w:val="left" w:leader="none"/>
        </w:tabs>
        <w:spacing w:line="350" w:lineRule="auto" w:before="139" w:after="0"/>
        <w:ind w:left="3829" w:right="1128" w:hanging="425"/>
        <w:jc w:val="left"/>
        <w:rPr>
          <w:sz w:val="24"/>
        </w:rPr>
      </w:pPr>
      <w:r>
        <w:rPr>
          <w:sz w:val="24"/>
        </w:rPr>
        <w:t>Posição atual das empresas ativas: </w:t>
      </w:r>
      <w:r>
        <w:rPr>
          <w:b/>
          <w:sz w:val="24"/>
        </w:rPr>
        <w:t>26.678 </w:t>
      </w:r>
      <w:r>
        <w:rPr>
          <w:sz w:val="24"/>
        </w:rPr>
        <w:t>(informações até o dia 31/08/20, extraídas do</w:t>
      </w:r>
      <w:r>
        <w:rPr>
          <w:spacing w:val="-4"/>
          <w:sz w:val="24"/>
        </w:rPr>
        <w:t> </w:t>
      </w:r>
      <w:r>
        <w:rPr>
          <w:sz w:val="24"/>
        </w:rPr>
        <w:t>IGEO)</w:t>
      </w:r>
    </w:p>
    <w:p>
      <w:pPr>
        <w:pStyle w:val="ListParagraph"/>
        <w:numPr>
          <w:ilvl w:val="2"/>
          <w:numId w:val="11"/>
        </w:numPr>
        <w:tabs>
          <w:tab w:pos="3828" w:val="left" w:leader="none"/>
          <w:tab w:pos="3829" w:val="left" w:leader="none"/>
        </w:tabs>
        <w:spacing w:line="350" w:lineRule="auto" w:before="15" w:after="0"/>
        <w:ind w:left="3829" w:right="1128" w:hanging="425"/>
        <w:jc w:val="left"/>
        <w:rPr>
          <w:sz w:val="24"/>
        </w:rPr>
      </w:pPr>
      <w:r>
        <w:rPr>
          <w:sz w:val="24"/>
        </w:rPr>
        <w:t>Ativos</w:t>
      </w:r>
      <w:r>
        <w:rPr>
          <w:spacing w:val="-12"/>
          <w:sz w:val="24"/>
        </w:rPr>
        <w:t> </w:t>
      </w:r>
      <w:r>
        <w:rPr>
          <w:sz w:val="24"/>
        </w:rPr>
        <w:t>Projetado</w:t>
      </w:r>
      <w:r>
        <w:rPr>
          <w:spacing w:val="-8"/>
          <w:sz w:val="24"/>
        </w:rPr>
        <w:t> </w:t>
      </w:r>
      <w:r>
        <w:rPr>
          <w:sz w:val="24"/>
        </w:rPr>
        <w:t>até</w:t>
      </w:r>
      <w:r>
        <w:rPr>
          <w:spacing w:val="-11"/>
          <w:sz w:val="24"/>
        </w:rPr>
        <w:t> </w:t>
      </w:r>
      <w:r>
        <w:rPr>
          <w:sz w:val="24"/>
        </w:rPr>
        <w:t>31/12/20:</w:t>
      </w:r>
      <w:r>
        <w:rPr>
          <w:spacing w:val="-11"/>
          <w:sz w:val="24"/>
        </w:rPr>
        <w:t> </w:t>
      </w:r>
      <w:r>
        <w:rPr>
          <w:b/>
          <w:sz w:val="24"/>
        </w:rPr>
        <w:t>27.380</w:t>
      </w:r>
      <w:r>
        <w:rPr>
          <w:sz w:val="24"/>
        </w:rPr>
        <w:t>,</w:t>
      </w:r>
      <w:r>
        <w:rPr>
          <w:spacing w:val="-13"/>
          <w:sz w:val="24"/>
        </w:rPr>
        <w:t> </w:t>
      </w:r>
      <w:r>
        <w:rPr>
          <w:sz w:val="24"/>
        </w:rPr>
        <w:t>foi</w:t>
      </w:r>
      <w:r>
        <w:rPr>
          <w:spacing w:val="-11"/>
          <w:sz w:val="24"/>
        </w:rPr>
        <w:t> </w:t>
      </w:r>
      <w:r>
        <w:rPr>
          <w:sz w:val="24"/>
        </w:rPr>
        <w:t>considerado</w:t>
      </w:r>
      <w:r>
        <w:rPr>
          <w:spacing w:val="-11"/>
          <w:sz w:val="24"/>
        </w:rPr>
        <w:t> </w:t>
      </w:r>
      <w:r>
        <w:rPr>
          <w:sz w:val="24"/>
        </w:rPr>
        <w:t>a</w:t>
      </w:r>
      <w:r>
        <w:rPr>
          <w:spacing w:val="-11"/>
          <w:sz w:val="24"/>
        </w:rPr>
        <w:t> </w:t>
      </w:r>
      <w:r>
        <w:rPr>
          <w:sz w:val="24"/>
        </w:rPr>
        <w:t>quantidade</w:t>
      </w:r>
      <w:r>
        <w:rPr>
          <w:spacing w:val="-11"/>
          <w:sz w:val="24"/>
        </w:rPr>
        <w:t> </w:t>
      </w:r>
      <w:r>
        <w:rPr>
          <w:sz w:val="24"/>
        </w:rPr>
        <w:t>do da Reprogramação</w:t>
      </w:r>
      <w:r>
        <w:rPr>
          <w:spacing w:val="-2"/>
          <w:sz w:val="24"/>
        </w:rPr>
        <w:t> </w:t>
      </w:r>
      <w:r>
        <w:rPr>
          <w:sz w:val="24"/>
        </w:rPr>
        <w:t>2020.</w:t>
      </w:r>
    </w:p>
    <w:p>
      <w:pPr>
        <w:pStyle w:val="ListParagraph"/>
        <w:numPr>
          <w:ilvl w:val="2"/>
          <w:numId w:val="11"/>
        </w:numPr>
        <w:tabs>
          <w:tab w:pos="3828" w:val="left" w:leader="none"/>
          <w:tab w:pos="3829" w:val="left" w:leader="none"/>
        </w:tabs>
        <w:spacing w:line="352" w:lineRule="auto" w:before="15" w:after="0"/>
        <w:ind w:left="3404" w:right="1131" w:firstLine="0"/>
        <w:jc w:val="left"/>
        <w:rPr>
          <w:sz w:val="24"/>
        </w:rPr>
      </w:pPr>
      <w:r>
        <w:rPr>
          <w:sz w:val="24"/>
        </w:rPr>
        <w:t>Novas Empresas: </w:t>
      </w:r>
      <w:r>
        <w:rPr>
          <w:b/>
          <w:sz w:val="24"/>
        </w:rPr>
        <w:t>1.102 </w:t>
      </w:r>
      <w:r>
        <w:rPr>
          <w:sz w:val="24"/>
        </w:rPr>
        <w:t>(acréscimo de 40% da média de crescimento (entre 2017 e 2019), com exceção de CAU/SP (que considerou</w:t>
      </w:r>
      <w:r>
        <w:rPr>
          <w:spacing w:val="-7"/>
          <w:sz w:val="24"/>
        </w:rPr>
        <w:t> </w:t>
      </w:r>
      <w:r>
        <w:rPr>
          <w:sz w:val="24"/>
        </w:rPr>
        <w:t>30%).</w:t>
      </w:r>
    </w:p>
    <w:p>
      <w:pPr>
        <w:spacing w:before="13"/>
        <w:ind w:left="3142" w:right="0" w:firstLine="0"/>
        <w:jc w:val="left"/>
        <w:rPr>
          <w:b/>
          <w:i/>
          <w:sz w:val="24"/>
        </w:rPr>
      </w:pPr>
      <w:r>
        <w:rPr>
          <w:b/>
          <w:i/>
          <w:sz w:val="24"/>
        </w:rPr>
        <w:t>Premissa utilizada = Ativos Projetado até 31/12/20 (+) Novas Empresas</w:t>
      </w:r>
    </w:p>
    <w:p>
      <w:pPr>
        <w:spacing w:after="0"/>
        <w:jc w:val="left"/>
        <w:rPr>
          <w:sz w:val="24"/>
        </w:rPr>
        <w:sectPr>
          <w:pgSz w:w="11910" w:h="16840"/>
          <w:pgMar w:header="590" w:footer="612" w:top="1460" w:bottom="800" w:left="0" w:right="0"/>
        </w:sectPr>
      </w:pPr>
    </w:p>
    <w:p>
      <w:pPr>
        <w:pStyle w:val="BodyText"/>
        <w:spacing w:before="9"/>
        <w:rPr>
          <w:b/>
          <w:i/>
          <w:sz w:val="12"/>
        </w:rPr>
      </w:pPr>
    </w:p>
    <w:p>
      <w:pPr>
        <w:pStyle w:val="Heading5"/>
        <w:numPr>
          <w:ilvl w:val="1"/>
          <w:numId w:val="11"/>
        </w:numPr>
        <w:tabs>
          <w:tab w:pos="3405" w:val="left" w:leader="none"/>
        </w:tabs>
        <w:spacing w:line="240" w:lineRule="auto" w:before="72" w:after="0"/>
        <w:ind w:left="3404" w:right="0" w:hanging="427"/>
        <w:jc w:val="both"/>
      </w:pPr>
      <w:r>
        <w:rPr/>
        <w:t>Empresas pagantes:</w:t>
      </w:r>
      <w:r>
        <w:rPr>
          <w:spacing w:val="1"/>
        </w:rPr>
        <w:t> </w:t>
      </w:r>
      <w:r>
        <w:rPr/>
        <w:t>14.100</w:t>
      </w:r>
    </w:p>
    <w:p>
      <w:pPr>
        <w:pStyle w:val="ListParagraph"/>
        <w:numPr>
          <w:ilvl w:val="0"/>
          <w:numId w:val="15"/>
        </w:numPr>
        <w:tabs>
          <w:tab w:pos="3829" w:val="left" w:leader="none"/>
        </w:tabs>
        <w:spacing w:line="360" w:lineRule="auto" w:before="138" w:after="0"/>
        <w:ind w:left="3829" w:right="1128" w:hanging="425"/>
        <w:jc w:val="both"/>
        <w:rPr>
          <w:sz w:val="24"/>
        </w:rPr>
      </w:pPr>
      <w:r>
        <w:rPr>
          <w:sz w:val="24"/>
        </w:rPr>
        <w:t>Posição de empresas ativas atual: </w:t>
      </w:r>
      <w:r>
        <w:rPr>
          <w:b/>
          <w:sz w:val="24"/>
        </w:rPr>
        <w:t>26.678 </w:t>
      </w:r>
      <w:r>
        <w:rPr>
          <w:sz w:val="24"/>
        </w:rPr>
        <w:t>(informações até o dia 31/08/20, extraídas do</w:t>
      </w:r>
      <w:r>
        <w:rPr>
          <w:spacing w:val="-4"/>
          <w:sz w:val="24"/>
        </w:rPr>
        <w:t> </w:t>
      </w:r>
      <w:r>
        <w:rPr>
          <w:sz w:val="24"/>
        </w:rPr>
        <w:t>IGEO)</w:t>
      </w:r>
    </w:p>
    <w:p>
      <w:pPr>
        <w:pStyle w:val="ListParagraph"/>
        <w:numPr>
          <w:ilvl w:val="0"/>
          <w:numId w:val="15"/>
        </w:numPr>
        <w:tabs>
          <w:tab w:pos="3829" w:val="left" w:leader="none"/>
        </w:tabs>
        <w:spacing w:line="360" w:lineRule="auto" w:before="0" w:after="0"/>
        <w:ind w:left="3829" w:right="1127" w:hanging="425"/>
        <w:jc w:val="both"/>
        <w:rPr>
          <w:sz w:val="24"/>
        </w:rPr>
      </w:pPr>
      <w:r>
        <w:rPr>
          <w:sz w:val="24"/>
        </w:rPr>
        <w:t>Inadimplência</w:t>
      </w:r>
      <w:r>
        <w:rPr>
          <w:spacing w:val="-6"/>
          <w:sz w:val="24"/>
        </w:rPr>
        <w:t> </w:t>
      </w:r>
      <w:r>
        <w:rPr>
          <w:sz w:val="24"/>
        </w:rPr>
        <w:t>média</w:t>
      </w:r>
      <w:r>
        <w:rPr>
          <w:spacing w:val="-4"/>
          <w:sz w:val="24"/>
        </w:rPr>
        <w:t> </w:t>
      </w:r>
      <w:r>
        <w:rPr>
          <w:sz w:val="24"/>
        </w:rPr>
        <w:t>para</w:t>
      </w:r>
      <w:r>
        <w:rPr>
          <w:spacing w:val="-3"/>
          <w:sz w:val="24"/>
        </w:rPr>
        <w:t> </w:t>
      </w:r>
      <w:r>
        <w:rPr>
          <w:sz w:val="24"/>
        </w:rPr>
        <w:t>2021</w:t>
      </w:r>
      <w:r>
        <w:rPr>
          <w:spacing w:val="-4"/>
          <w:sz w:val="24"/>
        </w:rPr>
        <w:t> </w:t>
      </w:r>
      <w:r>
        <w:rPr>
          <w:sz w:val="24"/>
        </w:rPr>
        <w:t>=</w:t>
      </w:r>
      <w:r>
        <w:rPr>
          <w:spacing w:val="-6"/>
          <w:sz w:val="24"/>
        </w:rPr>
        <w:t> </w:t>
      </w:r>
      <w:r>
        <w:rPr>
          <w:b/>
          <w:sz w:val="24"/>
        </w:rPr>
        <w:t>50,5%</w:t>
      </w:r>
      <w:r>
        <w:rPr>
          <w:b/>
          <w:spacing w:val="-5"/>
          <w:sz w:val="24"/>
        </w:rPr>
        <w:t> </w:t>
      </w:r>
      <w:r>
        <w:rPr>
          <w:sz w:val="24"/>
        </w:rPr>
        <w:t>(base</w:t>
      </w:r>
      <w:r>
        <w:rPr>
          <w:spacing w:val="-5"/>
          <w:sz w:val="24"/>
        </w:rPr>
        <w:t> </w:t>
      </w:r>
      <w:r>
        <w:rPr>
          <w:sz w:val="24"/>
        </w:rPr>
        <w:t>na</w:t>
      </w:r>
      <w:r>
        <w:rPr>
          <w:spacing w:val="-8"/>
          <w:sz w:val="24"/>
        </w:rPr>
        <w:t> </w:t>
      </w:r>
      <w:r>
        <w:rPr>
          <w:sz w:val="24"/>
        </w:rPr>
        <w:t>média</w:t>
      </w:r>
      <w:r>
        <w:rPr>
          <w:spacing w:val="-5"/>
          <w:sz w:val="24"/>
        </w:rPr>
        <w:t> </w:t>
      </w:r>
      <w:r>
        <w:rPr>
          <w:sz w:val="24"/>
        </w:rPr>
        <w:t>das</w:t>
      </w:r>
      <w:r>
        <w:rPr>
          <w:spacing w:val="-6"/>
          <w:sz w:val="24"/>
        </w:rPr>
        <w:t> </w:t>
      </w:r>
      <w:r>
        <w:rPr>
          <w:sz w:val="24"/>
        </w:rPr>
        <w:t>médias</w:t>
      </w:r>
      <w:r>
        <w:rPr>
          <w:spacing w:val="-5"/>
          <w:sz w:val="24"/>
        </w:rPr>
        <w:t> </w:t>
      </w:r>
      <w:r>
        <w:rPr>
          <w:sz w:val="24"/>
        </w:rPr>
        <w:t>dos últimos três anos e da inadimplência da Reprogramação, com ajuste de curva para os seguintes CAU/UF: AP (75,6%); AL (60,1%); PB (68,5%) e RN (57,1%), à exceção dos CAU/SP e CAU/PR, cujos percentuais para esses CAU/UF foram de 50,9% e 55,4% respectivamente, na forma de suas</w:t>
      </w:r>
      <w:r>
        <w:rPr>
          <w:spacing w:val="-1"/>
          <w:sz w:val="24"/>
        </w:rPr>
        <w:t> </w:t>
      </w:r>
      <w:r>
        <w:rPr>
          <w:sz w:val="24"/>
        </w:rPr>
        <w:t>solicitações;</w:t>
      </w:r>
    </w:p>
    <w:p>
      <w:pPr>
        <w:pStyle w:val="ListParagraph"/>
        <w:numPr>
          <w:ilvl w:val="0"/>
          <w:numId w:val="15"/>
        </w:numPr>
        <w:tabs>
          <w:tab w:pos="3829" w:val="left" w:leader="none"/>
        </w:tabs>
        <w:spacing w:line="360" w:lineRule="auto" w:before="1" w:after="0"/>
        <w:ind w:left="3829" w:right="1128" w:hanging="425"/>
        <w:jc w:val="both"/>
        <w:rPr>
          <w:sz w:val="24"/>
        </w:rPr>
      </w:pPr>
      <w:r>
        <w:rPr>
          <w:sz w:val="24"/>
        </w:rPr>
        <w:t>Novas Empresas: </w:t>
      </w:r>
      <w:r>
        <w:rPr>
          <w:b/>
          <w:sz w:val="24"/>
        </w:rPr>
        <w:t>1.102 </w:t>
      </w:r>
      <w:r>
        <w:rPr>
          <w:sz w:val="24"/>
        </w:rPr>
        <w:t>(com acréscimo de 40% da média de crescimento (entre 2017 e 2019), com exceção de CAU/SP (que considerou</w:t>
      </w:r>
      <w:r>
        <w:rPr>
          <w:spacing w:val="-2"/>
          <w:sz w:val="24"/>
        </w:rPr>
        <w:t> </w:t>
      </w:r>
      <w:r>
        <w:rPr>
          <w:sz w:val="24"/>
        </w:rPr>
        <w:t>30%));</w:t>
      </w:r>
    </w:p>
    <w:p>
      <w:pPr>
        <w:pStyle w:val="ListParagraph"/>
        <w:numPr>
          <w:ilvl w:val="0"/>
          <w:numId w:val="15"/>
        </w:numPr>
        <w:tabs>
          <w:tab w:pos="3829" w:val="left" w:leader="none"/>
        </w:tabs>
        <w:spacing w:line="360" w:lineRule="auto" w:before="0" w:after="0"/>
        <w:ind w:left="3829" w:right="1127" w:hanging="425"/>
        <w:jc w:val="both"/>
        <w:rPr>
          <w:sz w:val="24"/>
        </w:rPr>
      </w:pPr>
      <w:r>
        <w:rPr>
          <w:sz w:val="24"/>
        </w:rPr>
        <w:t>Pagantes com redução da Inadimplência = </w:t>
      </w:r>
      <w:r>
        <w:rPr>
          <w:b/>
          <w:sz w:val="24"/>
        </w:rPr>
        <w:t>14.100 </w:t>
      </w:r>
      <w:r>
        <w:rPr>
          <w:sz w:val="24"/>
        </w:rPr>
        <w:t>(Ativos Projetado 31/12/20 menos o percentual de Inadimplência (mesmo percentual da Reprogramação</w:t>
      </w:r>
      <w:r>
        <w:rPr>
          <w:spacing w:val="-2"/>
          <w:sz w:val="24"/>
        </w:rPr>
        <w:t> </w:t>
      </w:r>
      <w:r>
        <w:rPr>
          <w:sz w:val="24"/>
        </w:rPr>
        <w:t>2020));</w:t>
      </w:r>
    </w:p>
    <w:p>
      <w:pPr>
        <w:pStyle w:val="ListParagraph"/>
        <w:numPr>
          <w:ilvl w:val="0"/>
          <w:numId w:val="15"/>
        </w:numPr>
        <w:tabs>
          <w:tab w:pos="3829" w:val="left" w:leader="none"/>
        </w:tabs>
        <w:spacing w:line="293" w:lineRule="exact" w:before="0" w:after="0"/>
        <w:ind w:left="3829" w:right="0" w:hanging="425"/>
        <w:jc w:val="both"/>
        <w:rPr>
          <w:b/>
          <w:sz w:val="24"/>
        </w:rPr>
      </w:pPr>
      <w:r>
        <w:rPr>
          <w:sz w:val="24"/>
        </w:rPr>
        <w:t>Inadimplência média:</w:t>
      </w:r>
      <w:r>
        <w:rPr>
          <w:spacing w:val="-1"/>
          <w:sz w:val="24"/>
        </w:rPr>
        <w:t> </w:t>
      </w:r>
      <w:r>
        <w:rPr>
          <w:b/>
          <w:sz w:val="24"/>
        </w:rPr>
        <w:t>46,4%.</w:t>
      </w:r>
    </w:p>
    <w:p>
      <w:pPr>
        <w:spacing w:before="146"/>
        <w:ind w:left="3142" w:right="0" w:firstLine="0"/>
        <w:jc w:val="both"/>
        <w:rPr>
          <w:b/>
          <w:i/>
          <w:sz w:val="24"/>
        </w:rPr>
      </w:pPr>
      <w:r>
        <w:rPr>
          <w:b/>
          <w:i/>
          <w:sz w:val="24"/>
        </w:rPr>
        <w:t>Premissa utilizada = Quantidade de Pagantes com redução da Inadimplência</w:t>
      </w:r>
    </w:p>
    <w:p>
      <w:pPr>
        <w:spacing w:before="24"/>
        <w:ind w:left="3142" w:right="0" w:firstLine="0"/>
        <w:jc w:val="both"/>
        <w:rPr>
          <w:b/>
          <w:i/>
          <w:sz w:val="24"/>
        </w:rPr>
      </w:pPr>
      <w:r>
        <w:rPr>
          <w:b/>
          <w:i/>
          <w:sz w:val="24"/>
        </w:rPr>
        <w:t>+ Novas Empresas*</w:t>
      </w:r>
    </w:p>
    <w:p>
      <w:pPr>
        <w:pStyle w:val="BodyText"/>
        <w:rPr>
          <w:b/>
          <w:i/>
        </w:rPr>
      </w:pPr>
    </w:p>
    <w:p>
      <w:pPr>
        <w:pStyle w:val="Heading5"/>
        <w:numPr>
          <w:ilvl w:val="1"/>
          <w:numId w:val="11"/>
        </w:numPr>
        <w:tabs>
          <w:tab w:pos="3405" w:val="left" w:leader="none"/>
        </w:tabs>
        <w:spacing w:line="240" w:lineRule="auto" w:before="206" w:after="0"/>
        <w:ind w:left="3404" w:right="0" w:hanging="427"/>
        <w:jc w:val="both"/>
      </w:pPr>
      <w:r>
        <w:rPr/>
        <w:t>Projeção das formas de pagamento, conforme a Resolução nº</w:t>
      </w:r>
      <w:r>
        <w:rPr>
          <w:spacing w:val="-12"/>
        </w:rPr>
        <w:t> </w:t>
      </w:r>
      <w:r>
        <w:rPr/>
        <w:t>193/2020:</w:t>
      </w:r>
    </w:p>
    <w:p>
      <w:pPr>
        <w:pStyle w:val="ListParagraph"/>
        <w:numPr>
          <w:ilvl w:val="0"/>
          <w:numId w:val="16"/>
        </w:numPr>
        <w:tabs>
          <w:tab w:pos="3829" w:val="left" w:leader="none"/>
        </w:tabs>
        <w:spacing w:line="362" w:lineRule="auto" w:before="138" w:after="0"/>
        <w:ind w:left="3829" w:right="1127" w:hanging="425"/>
        <w:jc w:val="both"/>
        <w:rPr>
          <w:b/>
          <w:sz w:val="24"/>
        </w:rPr>
      </w:pPr>
      <w:r>
        <w:rPr>
          <w:b/>
          <w:sz w:val="24"/>
        </w:rPr>
        <w:t>43,3% </w:t>
      </w:r>
      <w:r>
        <w:rPr>
          <w:sz w:val="24"/>
        </w:rPr>
        <w:t>(</w:t>
      </w:r>
      <w:r>
        <w:rPr>
          <w:b/>
          <w:sz w:val="24"/>
        </w:rPr>
        <w:t>6.099</w:t>
      </w:r>
      <w:r>
        <w:rPr>
          <w:sz w:val="24"/>
        </w:rPr>
        <w:t>) das anuidades pagas de forma integral (sem desconto à vista) ou</w:t>
      </w:r>
      <w:r>
        <w:rPr>
          <w:spacing w:val="-1"/>
          <w:sz w:val="24"/>
        </w:rPr>
        <w:t> </w:t>
      </w:r>
      <w:r>
        <w:rPr>
          <w:sz w:val="24"/>
        </w:rPr>
        <w:t>parcelado</w:t>
      </w:r>
      <w:r>
        <w:rPr>
          <w:b/>
          <w:sz w:val="24"/>
        </w:rPr>
        <w:t>;</w:t>
      </w:r>
    </w:p>
    <w:p>
      <w:pPr>
        <w:pStyle w:val="ListParagraph"/>
        <w:numPr>
          <w:ilvl w:val="0"/>
          <w:numId w:val="16"/>
        </w:numPr>
        <w:tabs>
          <w:tab w:pos="3829" w:val="left" w:leader="none"/>
        </w:tabs>
        <w:spacing w:line="360" w:lineRule="auto" w:before="0" w:after="0"/>
        <w:ind w:left="3829" w:right="1129" w:hanging="425"/>
        <w:jc w:val="both"/>
        <w:rPr>
          <w:sz w:val="24"/>
        </w:rPr>
      </w:pPr>
      <w:r>
        <w:rPr>
          <w:b/>
          <w:sz w:val="24"/>
        </w:rPr>
        <w:t>56,7% </w:t>
      </w:r>
      <w:r>
        <w:rPr>
          <w:sz w:val="24"/>
        </w:rPr>
        <w:t>(</w:t>
      </w:r>
      <w:r>
        <w:rPr>
          <w:b/>
          <w:sz w:val="24"/>
        </w:rPr>
        <w:t>8.001</w:t>
      </w:r>
      <w:r>
        <w:rPr>
          <w:sz w:val="24"/>
        </w:rPr>
        <w:t>) das anuidades pagas à vista– 73,1% pagam com descontos de 10% (</w:t>
      </w:r>
      <w:r>
        <w:rPr>
          <w:b/>
          <w:sz w:val="24"/>
        </w:rPr>
        <w:t>5.845</w:t>
      </w:r>
      <w:r>
        <w:rPr>
          <w:sz w:val="24"/>
        </w:rPr>
        <w:t>) em julho; e 26,9% pagam com desconto de 5% em agosto (</w:t>
      </w:r>
      <w:r>
        <w:rPr>
          <w:b/>
          <w:sz w:val="24"/>
        </w:rPr>
        <w:t>2.156</w:t>
      </w:r>
      <w:r>
        <w:rPr>
          <w:sz w:val="24"/>
        </w:rPr>
        <w:t>), sendo que:</w:t>
      </w:r>
    </w:p>
    <w:p>
      <w:pPr>
        <w:pStyle w:val="ListParagraph"/>
        <w:numPr>
          <w:ilvl w:val="1"/>
          <w:numId w:val="16"/>
        </w:numPr>
        <w:tabs>
          <w:tab w:pos="4583" w:val="left" w:leader="none"/>
        </w:tabs>
        <w:spacing w:line="355" w:lineRule="auto" w:before="0" w:after="0"/>
        <w:ind w:left="4582" w:right="1125" w:hanging="360"/>
        <w:jc w:val="both"/>
        <w:rPr>
          <w:sz w:val="24"/>
        </w:rPr>
      </w:pPr>
      <w:r>
        <w:rPr>
          <w:b/>
          <w:sz w:val="24"/>
        </w:rPr>
        <w:t>64,1% </w:t>
      </w:r>
      <w:r>
        <w:rPr>
          <w:sz w:val="24"/>
        </w:rPr>
        <w:t>(</w:t>
      </w:r>
      <w:r>
        <w:rPr>
          <w:b/>
          <w:sz w:val="24"/>
        </w:rPr>
        <w:t>5.129</w:t>
      </w:r>
      <w:r>
        <w:rPr>
          <w:sz w:val="24"/>
        </w:rPr>
        <w:t>) das anuidades pagas à vista, sendo 73,0% (</w:t>
      </w:r>
      <w:r>
        <w:rPr>
          <w:b/>
          <w:sz w:val="24"/>
        </w:rPr>
        <w:t>3.745</w:t>
      </w:r>
      <w:r>
        <w:rPr>
          <w:sz w:val="24"/>
        </w:rPr>
        <w:t>) pagam com apenas 10% de desconto em julho; 27,0% (</w:t>
      </w:r>
      <w:r>
        <w:rPr>
          <w:b/>
          <w:sz w:val="24"/>
        </w:rPr>
        <w:t>1.384</w:t>
      </w:r>
      <w:r>
        <w:rPr>
          <w:sz w:val="24"/>
        </w:rPr>
        <w:t>) pagam com apenas 5% desconto em</w:t>
      </w:r>
      <w:r>
        <w:rPr>
          <w:spacing w:val="-6"/>
          <w:sz w:val="24"/>
        </w:rPr>
        <w:t> </w:t>
      </w:r>
      <w:r>
        <w:rPr>
          <w:sz w:val="24"/>
        </w:rPr>
        <w:t>agosto;</w:t>
      </w:r>
    </w:p>
    <w:p>
      <w:pPr>
        <w:pStyle w:val="ListParagraph"/>
        <w:numPr>
          <w:ilvl w:val="1"/>
          <w:numId w:val="16"/>
        </w:numPr>
        <w:tabs>
          <w:tab w:pos="4583" w:val="left" w:leader="none"/>
        </w:tabs>
        <w:spacing w:line="357" w:lineRule="auto" w:before="6" w:after="0"/>
        <w:ind w:left="4582" w:right="1126" w:hanging="360"/>
        <w:jc w:val="both"/>
        <w:rPr>
          <w:sz w:val="24"/>
        </w:rPr>
      </w:pPr>
      <w:r>
        <w:rPr>
          <w:b/>
          <w:sz w:val="24"/>
        </w:rPr>
        <w:t>25,6% </w:t>
      </w:r>
      <w:r>
        <w:rPr>
          <w:sz w:val="24"/>
        </w:rPr>
        <w:t>(</w:t>
      </w:r>
      <w:r>
        <w:rPr>
          <w:b/>
          <w:sz w:val="24"/>
        </w:rPr>
        <w:t>2.047</w:t>
      </w:r>
      <w:r>
        <w:rPr>
          <w:sz w:val="24"/>
        </w:rPr>
        <w:t>) das anuidades pagas à vista também são acrescidas do desconto de 50% para pessoas jurídicas cujo quadro social seja composto por até 3 (três) sócios arquitetos e urbanistas,</w:t>
      </w:r>
      <w:r>
        <w:rPr>
          <w:spacing w:val="40"/>
          <w:sz w:val="24"/>
        </w:rPr>
        <w:t> </w:t>
      </w:r>
      <w:r>
        <w:rPr>
          <w:sz w:val="24"/>
        </w:rPr>
        <w:t>ou</w:t>
      </w:r>
      <w:r>
        <w:rPr>
          <w:spacing w:val="41"/>
          <w:sz w:val="24"/>
        </w:rPr>
        <w:t> </w:t>
      </w:r>
      <w:r>
        <w:rPr>
          <w:sz w:val="24"/>
        </w:rPr>
        <w:t>que</w:t>
      </w:r>
      <w:r>
        <w:rPr>
          <w:spacing w:val="43"/>
          <w:sz w:val="24"/>
        </w:rPr>
        <w:t> </w:t>
      </w:r>
      <w:r>
        <w:rPr>
          <w:sz w:val="24"/>
        </w:rPr>
        <w:t>conte</w:t>
      </w:r>
      <w:r>
        <w:rPr>
          <w:spacing w:val="43"/>
          <w:sz w:val="24"/>
        </w:rPr>
        <w:t> </w:t>
      </w:r>
      <w:r>
        <w:rPr>
          <w:sz w:val="24"/>
        </w:rPr>
        <w:t>até</w:t>
      </w:r>
      <w:r>
        <w:rPr>
          <w:spacing w:val="41"/>
          <w:sz w:val="24"/>
        </w:rPr>
        <w:t> </w:t>
      </w:r>
      <w:r>
        <w:rPr>
          <w:sz w:val="24"/>
        </w:rPr>
        <w:t>5</w:t>
      </w:r>
      <w:r>
        <w:rPr>
          <w:spacing w:val="42"/>
          <w:sz w:val="24"/>
        </w:rPr>
        <w:t> </w:t>
      </w:r>
      <w:r>
        <w:rPr>
          <w:sz w:val="24"/>
        </w:rPr>
        <w:t>(cinco)</w:t>
      </w:r>
      <w:r>
        <w:rPr>
          <w:spacing w:val="42"/>
          <w:sz w:val="24"/>
        </w:rPr>
        <w:t> </w:t>
      </w:r>
      <w:r>
        <w:rPr>
          <w:sz w:val="24"/>
        </w:rPr>
        <w:t>anos</w:t>
      </w:r>
      <w:r>
        <w:rPr>
          <w:spacing w:val="41"/>
          <w:sz w:val="24"/>
        </w:rPr>
        <w:t> </w:t>
      </w:r>
      <w:r>
        <w:rPr>
          <w:sz w:val="24"/>
        </w:rPr>
        <w:t>de</w:t>
      </w:r>
      <w:r>
        <w:rPr>
          <w:spacing w:val="41"/>
          <w:sz w:val="24"/>
        </w:rPr>
        <w:t> </w:t>
      </w:r>
      <w:r>
        <w:rPr>
          <w:sz w:val="24"/>
        </w:rPr>
        <w:t>constituição,</w:t>
      </w:r>
    </w:p>
    <w:p>
      <w:pPr>
        <w:spacing w:after="0" w:line="357" w:lineRule="auto"/>
        <w:jc w:val="both"/>
        <w:rPr>
          <w:sz w:val="24"/>
        </w:rPr>
        <w:sectPr>
          <w:pgSz w:w="11910" w:h="16840"/>
          <w:pgMar w:header="590" w:footer="612" w:top="1460" w:bottom="800" w:left="0" w:right="0"/>
        </w:sectPr>
      </w:pPr>
    </w:p>
    <w:p>
      <w:pPr>
        <w:pStyle w:val="BodyText"/>
        <w:spacing w:before="5"/>
        <w:rPr>
          <w:sz w:val="14"/>
        </w:rPr>
      </w:pPr>
    </w:p>
    <w:p>
      <w:pPr>
        <w:pStyle w:val="BodyText"/>
        <w:spacing w:line="360" w:lineRule="auto" w:before="51"/>
        <w:ind w:left="4582" w:right="1125"/>
        <w:jc w:val="both"/>
      </w:pPr>
      <w:r>
        <w:rPr/>
        <w:t>sendo</w:t>
      </w:r>
      <w:r>
        <w:rPr>
          <w:spacing w:val="-13"/>
        </w:rPr>
        <w:t> </w:t>
      </w:r>
      <w:r>
        <w:rPr/>
        <w:t>que</w:t>
      </w:r>
      <w:r>
        <w:rPr>
          <w:spacing w:val="-9"/>
        </w:rPr>
        <w:t> </w:t>
      </w:r>
      <w:r>
        <w:rPr/>
        <w:t>desses,</w:t>
      </w:r>
      <w:r>
        <w:rPr>
          <w:spacing w:val="-11"/>
        </w:rPr>
        <w:t> </w:t>
      </w:r>
      <w:r>
        <w:rPr/>
        <w:t>73,1%</w:t>
      </w:r>
      <w:r>
        <w:rPr>
          <w:spacing w:val="-12"/>
        </w:rPr>
        <w:t> </w:t>
      </w:r>
      <w:r>
        <w:rPr/>
        <w:t>(</w:t>
      </w:r>
      <w:r>
        <w:rPr>
          <w:b/>
        </w:rPr>
        <w:t>1.497</w:t>
      </w:r>
      <w:r>
        <w:rPr/>
        <w:t>)</w:t>
      </w:r>
      <w:r>
        <w:rPr>
          <w:spacing w:val="-13"/>
        </w:rPr>
        <w:t> </w:t>
      </w:r>
      <w:r>
        <w:rPr/>
        <w:t>pagam</w:t>
      </w:r>
      <w:r>
        <w:rPr>
          <w:spacing w:val="-11"/>
        </w:rPr>
        <w:t> </w:t>
      </w:r>
      <w:r>
        <w:rPr/>
        <w:t>com</w:t>
      </w:r>
      <w:r>
        <w:rPr>
          <w:spacing w:val="-10"/>
        </w:rPr>
        <w:t> </w:t>
      </w:r>
      <w:r>
        <w:rPr/>
        <w:t>acréscimos</w:t>
      </w:r>
      <w:r>
        <w:rPr>
          <w:spacing w:val="-10"/>
        </w:rPr>
        <w:t> </w:t>
      </w:r>
      <w:r>
        <w:rPr/>
        <w:t>de</w:t>
      </w:r>
      <w:r>
        <w:rPr>
          <w:spacing w:val="-10"/>
        </w:rPr>
        <w:t> </w:t>
      </w:r>
      <w:r>
        <w:rPr/>
        <w:t>10% de desconto em julho e 26,9% (</w:t>
      </w:r>
      <w:r>
        <w:rPr>
          <w:b/>
        </w:rPr>
        <w:t>550</w:t>
      </w:r>
      <w:r>
        <w:rPr/>
        <w:t>) pagam com acréscimo de 5% desconto em</w:t>
      </w:r>
      <w:r>
        <w:rPr>
          <w:spacing w:val="-1"/>
        </w:rPr>
        <w:t> </w:t>
      </w:r>
      <w:r>
        <w:rPr/>
        <w:t>agosto;</w:t>
      </w:r>
    </w:p>
    <w:p>
      <w:pPr>
        <w:pStyle w:val="ListParagraph"/>
        <w:numPr>
          <w:ilvl w:val="1"/>
          <w:numId w:val="16"/>
        </w:numPr>
        <w:tabs>
          <w:tab w:pos="4583" w:val="left" w:leader="none"/>
        </w:tabs>
        <w:spacing w:line="357" w:lineRule="auto" w:before="0" w:after="0"/>
        <w:ind w:left="4582" w:right="1125" w:hanging="360"/>
        <w:jc w:val="both"/>
        <w:rPr>
          <w:sz w:val="24"/>
        </w:rPr>
      </w:pPr>
      <w:r>
        <w:rPr>
          <w:b/>
          <w:sz w:val="24"/>
        </w:rPr>
        <w:t>10,3%</w:t>
      </w:r>
      <w:r>
        <w:rPr>
          <w:b/>
          <w:spacing w:val="-8"/>
          <w:sz w:val="24"/>
        </w:rPr>
        <w:t> </w:t>
      </w:r>
      <w:r>
        <w:rPr>
          <w:sz w:val="24"/>
        </w:rPr>
        <w:t>(825)</w:t>
      </w:r>
      <w:r>
        <w:rPr>
          <w:spacing w:val="-9"/>
          <w:sz w:val="24"/>
        </w:rPr>
        <w:t> </w:t>
      </w:r>
      <w:r>
        <w:rPr>
          <w:sz w:val="24"/>
        </w:rPr>
        <w:t>das</w:t>
      </w:r>
      <w:r>
        <w:rPr>
          <w:spacing w:val="-5"/>
          <w:sz w:val="24"/>
        </w:rPr>
        <w:t> </w:t>
      </w:r>
      <w:r>
        <w:rPr>
          <w:sz w:val="24"/>
        </w:rPr>
        <w:t>anuidades</w:t>
      </w:r>
      <w:r>
        <w:rPr>
          <w:spacing w:val="-5"/>
          <w:sz w:val="24"/>
        </w:rPr>
        <w:t> </w:t>
      </w:r>
      <w:r>
        <w:rPr>
          <w:sz w:val="24"/>
        </w:rPr>
        <w:t>pagas</w:t>
      </w:r>
      <w:r>
        <w:rPr>
          <w:spacing w:val="-5"/>
          <w:sz w:val="24"/>
        </w:rPr>
        <w:t> </w:t>
      </w:r>
      <w:r>
        <w:rPr>
          <w:sz w:val="24"/>
        </w:rPr>
        <w:t>à</w:t>
      </w:r>
      <w:r>
        <w:rPr>
          <w:spacing w:val="-7"/>
          <w:sz w:val="24"/>
        </w:rPr>
        <w:t> </w:t>
      </w:r>
      <w:r>
        <w:rPr>
          <w:sz w:val="24"/>
        </w:rPr>
        <w:t>vista</w:t>
      </w:r>
      <w:r>
        <w:rPr>
          <w:spacing w:val="-8"/>
          <w:sz w:val="24"/>
        </w:rPr>
        <w:t> </w:t>
      </w:r>
      <w:r>
        <w:rPr>
          <w:sz w:val="24"/>
        </w:rPr>
        <w:t>também</w:t>
      </w:r>
      <w:r>
        <w:rPr>
          <w:spacing w:val="-7"/>
          <w:sz w:val="24"/>
        </w:rPr>
        <w:t> </w:t>
      </w:r>
      <w:r>
        <w:rPr>
          <w:sz w:val="24"/>
        </w:rPr>
        <w:t>são</w:t>
      </w:r>
      <w:r>
        <w:rPr>
          <w:spacing w:val="-5"/>
          <w:sz w:val="24"/>
        </w:rPr>
        <w:t> </w:t>
      </w:r>
      <w:r>
        <w:rPr>
          <w:sz w:val="24"/>
        </w:rPr>
        <w:t>acrescidas do</w:t>
      </w:r>
      <w:r>
        <w:rPr>
          <w:spacing w:val="-6"/>
          <w:sz w:val="24"/>
        </w:rPr>
        <w:t> </w:t>
      </w:r>
      <w:r>
        <w:rPr>
          <w:sz w:val="24"/>
        </w:rPr>
        <w:t>desconto</w:t>
      </w:r>
      <w:r>
        <w:rPr>
          <w:spacing w:val="-6"/>
          <w:sz w:val="24"/>
        </w:rPr>
        <w:t> </w:t>
      </w:r>
      <w:r>
        <w:rPr>
          <w:sz w:val="24"/>
        </w:rPr>
        <w:t>de</w:t>
      </w:r>
      <w:r>
        <w:rPr>
          <w:spacing w:val="-4"/>
          <w:sz w:val="24"/>
        </w:rPr>
        <w:t> </w:t>
      </w:r>
      <w:r>
        <w:rPr>
          <w:sz w:val="24"/>
        </w:rPr>
        <w:t>90%</w:t>
      </w:r>
      <w:r>
        <w:rPr>
          <w:spacing w:val="-3"/>
          <w:sz w:val="24"/>
        </w:rPr>
        <w:t> </w:t>
      </w:r>
      <w:r>
        <w:rPr>
          <w:sz w:val="24"/>
        </w:rPr>
        <w:t>para</w:t>
      </w:r>
      <w:r>
        <w:rPr>
          <w:spacing w:val="-3"/>
          <w:sz w:val="24"/>
        </w:rPr>
        <w:t> </w:t>
      </w:r>
      <w:r>
        <w:rPr>
          <w:sz w:val="24"/>
        </w:rPr>
        <w:t>)</w:t>
      </w:r>
      <w:r>
        <w:rPr>
          <w:spacing w:val="-4"/>
          <w:sz w:val="24"/>
        </w:rPr>
        <w:t> </w:t>
      </w:r>
      <w:r>
        <w:rPr>
          <w:sz w:val="24"/>
        </w:rPr>
        <w:t>para</w:t>
      </w:r>
      <w:r>
        <w:rPr>
          <w:spacing w:val="-6"/>
          <w:sz w:val="24"/>
        </w:rPr>
        <w:t> </w:t>
      </w:r>
      <w:r>
        <w:rPr>
          <w:sz w:val="24"/>
        </w:rPr>
        <w:t>pessoas</w:t>
      </w:r>
      <w:r>
        <w:rPr>
          <w:spacing w:val="-4"/>
          <w:sz w:val="24"/>
        </w:rPr>
        <w:t> </w:t>
      </w:r>
      <w:r>
        <w:rPr>
          <w:sz w:val="24"/>
        </w:rPr>
        <w:t>jurídicas</w:t>
      </w:r>
      <w:r>
        <w:rPr>
          <w:spacing w:val="-5"/>
          <w:sz w:val="24"/>
        </w:rPr>
        <w:t> </w:t>
      </w:r>
      <w:r>
        <w:rPr>
          <w:sz w:val="24"/>
        </w:rPr>
        <w:t>com</w:t>
      </w:r>
      <w:r>
        <w:rPr>
          <w:spacing w:val="-3"/>
          <w:sz w:val="24"/>
        </w:rPr>
        <w:t> </w:t>
      </w:r>
      <w:r>
        <w:rPr>
          <w:sz w:val="24"/>
        </w:rPr>
        <w:t>um</w:t>
      </w:r>
      <w:r>
        <w:rPr>
          <w:spacing w:val="-5"/>
          <w:sz w:val="24"/>
        </w:rPr>
        <w:t> </w:t>
      </w:r>
      <w:r>
        <w:rPr>
          <w:sz w:val="24"/>
        </w:rPr>
        <w:t>único proprietário e que este seja arquiteto e urbanista, sendo que desses,</w:t>
      </w:r>
      <w:r>
        <w:rPr>
          <w:spacing w:val="-11"/>
          <w:sz w:val="24"/>
        </w:rPr>
        <w:t> </w:t>
      </w:r>
      <w:r>
        <w:rPr>
          <w:sz w:val="24"/>
        </w:rPr>
        <w:t>73,1%</w:t>
      </w:r>
      <w:r>
        <w:rPr>
          <w:spacing w:val="-9"/>
          <w:sz w:val="24"/>
        </w:rPr>
        <w:t> </w:t>
      </w:r>
      <w:r>
        <w:rPr>
          <w:sz w:val="24"/>
        </w:rPr>
        <w:t>(</w:t>
      </w:r>
      <w:r>
        <w:rPr>
          <w:b/>
          <w:sz w:val="24"/>
        </w:rPr>
        <w:t>603</w:t>
      </w:r>
      <w:r>
        <w:rPr>
          <w:sz w:val="24"/>
        </w:rPr>
        <w:t>)</w:t>
      </w:r>
      <w:r>
        <w:rPr>
          <w:spacing w:val="-11"/>
          <w:sz w:val="24"/>
        </w:rPr>
        <w:t> </w:t>
      </w:r>
      <w:r>
        <w:rPr>
          <w:sz w:val="24"/>
        </w:rPr>
        <w:t>pagam</w:t>
      </w:r>
      <w:r>
        <w:rPr>
          <w:spacing w:val="-11"/>
          <w:sz w:val="24"/>
        </w:rPr>
        <w:t> </w:t>
      </w:r>
      <w:r>
        <w:rPr>
          <w:sz w:val="24"/>
        </w:rPr>
        <w:t>com</w:t>
      </w:r>
      <w:r>
        <w:rPr>
          <w:spacing w:val="-10"/>
          <w:sz w:val="24"/>
        </w:rPr>
        <w:t> </w:t>
      </w:r>
      <w:r>
        <w:rPr>
          <w:sz w:val="24"/>
        </w:rPr>
        <w:t>acréscimos</w:t>
      </w:r>
      <w:r>
        <w:rPr>
          <w:spacing w:val="-10"/>
          <w:sz w:val="24"/>
        </w:rPr>
        <w:t> </w:t>
      </w:r>
      <w:r>
        <w:rPr>
          <w:sz w:val="24"/>
        </w:rPr>
        <w:t>de</w:t>
      </w:r>
      <w:r>
        <w:rPr>
          <w:spacing w:val="-12"/>
          <w:sz w:val="24"/>
        </w:rPr>
        <w:t> </w:t>
      </w:r>
      <w:r>
        <w:rPr>
          <w:sz w:val="24"/>
        </w:rPr>
        <w:t>10%</w:t>
      </w:r>
      <w:r>
        <w:rPr>
          <w:spacing w:val="-9"/>
          <w:sz w:val="24"/>
        </w:rPr>
        <w:t> </w:t>
      </w:r>
      <w:r>
        <w:rPr>
          <w:sz w:val="24"/>
        </w:rPr>
        <w:t>de</w:t>
      </w:r>
      <w:r>
        <w:rPr>
          <w:spacing w:val="-13"/>
          <w:sz w:val="24"/>
        </w:rPr>
        <w:t> </w:t>
      </w:r>
      <w:r>
        <w:rPr>
          <w:sz w:val="24"/>
        </w:rPr>
        <w:t>desconto em julho; e 26,9% (</w:t>
      </w:r>
      <w:r>
        <w:rPr>
          <w:b/>
          <w:sz w:val="24"/>
        </w:rPr>
        <w:t>222</w:t>
      </w:r>
      <w:r>
        <w:rPr>
          <w:sz w:val="24"/>
        </w:rPr>
        <w:t>) pagam com acréscimo de 5% desconto em agosto.</w:t>
      </w:r>
    </w:p>
    <w:p>
      <w:pPr>
        <w:pStyle w:val="BodyText"/>
      </w:pPr>
    </w:p>
    <w:p>
      <w:pPr>
        <w:pStyle w:val="Heading4"/>
        <w:numPr>
          <w:ilvl w:val="0"/>
          <w:numId w:val="11"/>
        </w:numPr>
        <w:tabs>
          <w:tab w:pos="2835" w:val="left" w:leader="none"/>
        </w:tabs>
        <w:spacing w:line="240" w:lineRule="auto" w:before="157" w:after="0"/>
        <w:ind w:left="2834" w:right="0" w:hanging="281"/>
        <w:jc w:val="both"/>
        <w:rPr>
          <w:rFonts w:ascii="Symbol" w:hAnsi="Symbol"/>
          <w:color w:val="006666"/>
          <w:sz w:val="24"/>
        </w:rPr>
      </w:pPr>
      <w:r>
        <w:rPr>
          <w:color w:val="006666"/>
        </w:rPr>
        <w:t>Projeção das receitas de RRT,</w:t>
      </w:r>
      <w:r>
        <w:rPr>
          <w:color w:val="006666"/>
          <w:spacing w:val="-3"/>
        </w:rPr>
        <w:t> </w:t>
      </w:r>
      <w:r>
        <w:rPr>
          <w:color w:val="006666"/>
        </w:rPr>
        <w:t>considerando:</w:t>
      </w:r>
    </w:p>
    <w:p>
      <w:pPr>
        <w:pStyle w:val="Heading5"/>
        <w:spacing w:before="158"/>
        <w:ind w:left="2978"/>
        <w:jc w:val="both"/>
      </w:pPr>
      <w:r>
        <w:rPr>
          <w:rFonts w:ascii="Courier New"/>
          <w:b w:val="0"/>
        </w:rPr>
        <w:t>o </w:t>
      </w:r>
      <w:r>
        <w:rPr/>
        <w:t>RRT: 889.979</w:t>
      </w:r>
    </w:p>
    <w:p>
      <w:pPr>
        <w:pStyle w:val="ListParagraph"/>
        <w:numPr>
          <w:ilvl w:val="0"/>
          <w:numId w:val="17"/>
        </w:numPr>
        <w:tabs>
          <w:tab w:pos="3829" w:val="left" w:leader="none"/>
        </w:tabs>
        <w:spacing w:line="360" w:lineRule="auto" w:before="139" w:after="0"/>
        <w:ind w:left="3829" w:right="1127" w:hanging="425"/>
        <w:jc w:val="both"/>
        <w:rPr>
          <w:sz w:val="24"/>
        </w:rPr>
      </w:pPr>
      <w:r>
        <w:rPr>
          <w:sz w:val="24"/>
        </w:rPr>
        <w:t>Dos profissionais entrantes previstos considerando o percentual de 50%: </w:t>
      </w:r>
      <w:r>
        <w:rPr>
          <w:b/>
          <w:sz w:val="24"/>
        </w:rPr>
        <w:t>5.899 </w:t>
      </w:r>
      <w:r>
        <w:rPr>
          <w:sz w:val="24"/>
        </w:rPr>
        <w:t>(ativo PF 2021 com redução de 50% dos entrantes, com exceção</w:t>
      </w:r>
      <w:r>
        <w:rPr>
          <w:spacing w:val="-5"/>
          <w:sz w:val="24"/>
        </w:rPr>
        <w:t> </w:t>
      </w:r>
      <w:r>
        <w:rPr>
          <w:sz w:val="24"/>
        </w:rPr>
        <w:t>do</w:t>
      </w:r>
      <w:r>
        <w:rPr>
          <w:spacing w:val="-8"/>
          <w:sz w:val="24"/>
        </w:rPr>
        <w:t> </w:t>
      </w:r>
      <w:r>
        <w:rPr>
          <w:sz w:val="24"/>
        </w:rPr>
        <w:t>CAU/PR</w:t>
      </w:r>
      <w:r>
        <w:rPr>
          <w:spacing w:val="-8"/>
          <w:sz w:val="24"/>
        </w:rPr>
        <w:t> </w:t>
      </w:r>
      <w:r>
        <w:rPr>
          <w:sz w:val="24"/>
        </w:rPr>
        <w:t>que</w:t>
      </w:r>
      <w:r>
        <w:rPr>
          <w:spacing w:val="-11"/>
          <w:sz w:val="24"/>
        </w:rPr>
        <w:t> </w:t>
      </w:r>
      <w:r>
        <w:rPr>
          <w:sz w:val="24"/>
        </w:rPr>
        <w:t>considerou</w:t>
      </w:r>
      <w:r>
        <w:rPr>
          <w:spacing w:val="-7"/>
          <w:sz w:val="24"/>
        </w:rPr>
        <w:t> </w:t>
      </w:r>
      <w:r>
        <w:rPr>
          <w:sz w:val="24"/>
        </w:rPr>
        <w:t>a</w:t>
      </w:r>
      <w:r>
        <w:rPr>
          <w:spacing w:val="-9"/>
          <w:sz w:val="24"/>
        </w:rPr>
        <w:t> </w:t>
      </w:r>
      <w:r>
        <w:rPr>
          <w:sz w:val="24"/>
        </w:rPr>
        <w:t>redução</w:t>
      </w:r>
      <w:r>
        <w:rPr>
          <w:spacing w:val="-8"/>
          <w:sz w:val="24"/>
        </w:rPr>
        <w:t> </w:t>
      </w:r>
      <w:r>
        <w:rPr>
          <w:sz w:val="24"/>
        </w:rPr>
        <w:t>dos</w:t>
      </w:r>
      <w:r>
        <w:rPr>
          <w:spacing w:val="-6"/>
          <w:sz w:val="24"/>
        </w:rPr>
        <w:t> </w:t>
      </w:r>
      <w:r>
        <w:rPr>
          <w:sz w:val="24"/>
        </w:rPr>
        <w:t>entrantes</w:t>
      </w:r>
      <w:r>
        <w:rPr>
          <w:spacing w:val="-11"/>
          <w:sz w:val="24"/>
        </w:rPr>
        <w:t> </w:t>
      </w:r>
      <w:r>
        <w:rPr>
          <w:sz w:val="24"/>
        </w:rPr>
        <w:t>para</w:t>
      </w:r>
      <w:r>
        <w:rPr>
          <w:spacing w:val="-7"/>
          <w:sz w:val="24"/>
        </w:rPr>
        <w:t> </w:t>
      </w:r>
      <w:r>
        <w:rPr>
          <w:sz w:val="24"/>
        </w:rPr>
        <w:t>30%);</w:t>
      </w:r>
    </w:p>
    <w:p>
      <w:pPr>
        <w:pStyle w:val="ListParagraph"/>
        <w:numPr>
          <w:ilvl w:val="0"/>
          <w:numId w:val="17"/>
        </w:numPr>
        <w:tabs>
          <w:tab w:pos="3829" w:val="left" w:leader="none"/>
        </w:tabs>
        <w:spacing w:line="240" w:lineRule="auto" w:before="2" w:after="0"/>
        <w:ind w:left="3829" w:right="0" w:hanging="425"/>
        <w:jc w:val="both"/>
        <w:rPr>
          <w:b/>
          <w:sz w:val="24"/>
        </w:rPr>
      </w:pPr>
      <w:r>
        <w:rPr>
          <w:sz w:val="24"/>
        </w:rPr>
        <w:t>Quantidade total de Ativos considerados para RRT:</w:t>
      </w:r>
      <w:r>
        <w:rPr>
          <w:spacing w:val="37"/>
          <w:sz w:val="24"/>
        </w:rPr>
        <w:t> </w:t>
      </w:r>
      <w:r>
        <w:rPr>
          <w:b/>
          <w:sz w:val="24"/>
        </w:rPr>
        <w:t>196.331</w:t>
      </w:r>
    </w:p>
    <w:p>
      <w:pPr>
        <w:pStyle w:val="BodyText"/>
        <w:spacing w:before="146"/>
        <w:ind w:left="3829"/>
        <w:jc w:val="both"/>
      </w:pPr>
      <w:r>
        <w:rPr/>
        <w:t>(Quantidade de ativos PF 2020 com 50% dos entrantes);</w:t>
      </w:r>
    </w:p>
    <w:p>
      <w:pPr>
        <w:pStyle w:val="ListParagraph"/>
        <w:numPr>
          <w:ilvl w:val="0"/>
          <w:numId w:val="17"/>
        </w:numPr>
        <w:tabs>
          <w:tab w:pos="3829" w:val="left" w:leader="none"/>
        </w:tabs>
        <w:spacing w:line="360" w:lineRule="auto" w:before="146" w:after="0"/>
        <w:ind w:left="3829" w:right="1126" w:hanging="425"/>
        <w:jc w:val="both"/>
        <w:rPr>
          <w:sz w:val="24"/>
        </w:rPr>
      </w:pPr>
      <w:r>
        <w:rPr>
          <w:sz w:val="24"/>
        </w:rPr>
        <w:t>Média de RRT por PF: 4,4 (um acréscimo de 10% da média prevista na reprogramação 2020, em decorrência do cenário de recessão previsto para</w:t>
      </w:r>
      <w:r>
        <w:rPr>
          <w:spacing w:val="-15"/>
          <w:sz w:val="24"/>
        </w:rPr>
        <w:t> </w:t>
      </w:r>
      <w:r>
        <w:rPr>
          <w:sz w:val="24"/>
        </w:rPr>
        <w:t>2021,</w:t>
      </w:r>
      <w:r>
        <w:rPr>
          <w:spacing w:val="-15"/>
          <w:sz w:val="24"/>
        </w:rPr>
        <w:t> </w:t>
      </w:r>
      <w:r>
        <w:rPr>
          <w:sz w:val="24"/>
        </w:rPr>
        <w:t>e</w:t>
      </w:r>
      <w:r>
        <w:rPr>
          <w:spacing w:val="-15"/>
          <w:sz w:val="24"/>
        </w:rPr>
        <w:t> </w:t>
      </w:r>
      <w:r>
        <w:rPr>
          <w:sz w:val="24"/>
        </w:rPr>
        <w:t>que</w:t>
      </w:r>
      <w:r>
        <w:rPr>
          <w:spacing w:val="-14"/>
          <w:sz w:val="24"/>
        </w:rPr>
        <w:t> </w:t>
      </w:r>
      <w:r>
        <w:rPr>
          <w:sz w:val="24"/>
        </w:rPr>
        <w:t>as</w:t>
      </w:r>
      <w:r>
        <w:rPr>
          <w:spacing w:val="-15"/>
          <w:sz w:val="24"/>
        </w:rPr>
        <w:t> </w:t>
      </w:r>
      <w:r>
        <w:rPr>
          <w:sz w:val="24"/>
        </w:rPr>
        <w:t>médias</w:t>
      </w:r>
      <w:r>
        <w:rPr>
          <w:spacing w:val="-13"/>
          <w:sz w:val="24"/>
        </w:rPr>
        <w:t> </w:t>
      </w:r>
      <w:r>
        <w:rPr>
          <w:sz w:val="24"/>
        </w:rPr>
        <w:t>da</w:t>
      </w:r>
      <w:r>
        <w:rPr>
          <w:spacing w:val="-15"/>
          <w:sz w:val="24"/>
        </w:rPr>
        <w:t> </w:t>
      </w:r>
      <w:r>
        <w:rPr>
          <w:sz w:val="24"/>
        </w:rPr>
        <w:t>série</w:t>
      </w:r>
      <w:r>
        <w:rPr>
          <w:spacing w:val="-15"/>
          <w:sz w:val="24"/>
        </w:rPr>
        <w:t> </w:t>
      </w:r>
      <w:r>
        <w:rPr>
          <w:sz w:val="24"/>
        </w:rPr>
        <w:t>histórica</w:t>
      </w:r>
      <w:r>
        <w:rPr>
          <w:spacing w:val="-15"/>
          <w:sz w:val="24"/>
        </w:rPr>
        <w:t> </w:t>
      </w:r>
      <w:r>
        <w:rPr>
          <w:sz w:val="24"/>
        </w:rPr>
        <w:t>2017</w:t>
      </w:r>
      <w:r>
        <w:rPr>
          <w:spacing w:val="-17"/>
          <w:sz w:val="24"/>
        </w:rPr>
        <w:t> </w:t>
      </w:r>
      <w:r>
        <w:rPr>
          <w:sz w:val="24"/>
        </w:rPr>
        <w:t>a</w:t>
      </w:r>
      <w:r>
        <w:rPr>
          <w:spacing w:val="-13"/>
          <w:sz w:val="24"/>
        </w:rPr>
        <w:t> </w:t>
      </w:r>
      <w:r>
        <w:rPr>
          <w:sz w:val="24"/>
        </w:rPr>
        <w:t>2019</w:t>
      </w:r>
      <w:r>
        <w:rPr>
          <w:spacing w:val="-14"/>
          <w:sz w:val="24"/>
        </w:rPr>
        <w:t> </w:t>
      </w:r>
      <w:r>
        <w:rPr>
          <w:sz w:val="24"/>
        </w:rPr>
        <w:t>se</w:t>
      </w:r>
      <w:r>
        <w:rPr>
          <w:spacing w:val="-15"/>
          <w:sz w:val="24"/>
        </w:rPr>
        <w:t> </w:t>
      </w:r>
      <w:r>
        <w:rPr>
          <w:sz w:val="24"/>
        </w:rPr>
        <w:t>apresentam em</w:t>
      </w:r>
      <w:r>
        <w:rPr>
          <w:spacing w:val="-3"/>
          <w:sz w:val="24"/>
        </w:rPr>
        <w:t> </w:t>
      </w:r>
      <w:r>
        <w:rPr>
          <w:sz w:val="24"/>
        </w:rPr>
        <w:t>patamares</w:t>
      </w:r>
      <w:r>
        <w:rPr>
          <w:spacing w:val="-3"/>
          <w:sz w:val="24"/>
        </w:rPr>
        <w:t> </w:t>
      </w:r>
      <w:r>
        <w:rPr>
          <w:sz w:val="24"/>
        </w:rPr>
        <w:t>similares.</w:t>
      </w:r>
      <w:r>
        <w:rPr>
          <w:spacing w:val="-5"/>
          <w:sz w:val="24"/>
        </w:rPr>
        <w:t> </w:t>
      </w:r>
      <w:r>
        <w:rPr>
          <w:sz w:val="24"/>
        </w:rPr>
        <w:t>A</w:t>
      </w:r>
      <w:r>
        <w:rPr>
          <w:spacing w:val="-4"/>
          <w:sz w:val="24"/>
        </w:rPr>
        <w:t> </w:t>
      </w:r>
      <w:r>
        <w:rPr>
          <w:sz w:val="24"/>
        </w:rPr>
        <w:t>exceção</w:t>
      </w:r>
      <w:r>
        <w:rPr>
          <w:spacing w:val="-3"/>
          <w:sz w:val="24"/>
        </w:rPr>
        <w:t> </w:t>
      </w:r>
      <w:r>
        <w:rPr>
          <w:sz w:val="24"/>
        </w:rPr>
        <w:t>dos</w:t>
      </w:r>
      <w:r>
        <w:rPr>
          <w:spacing w:val="-4"/>
          <w:sz w:val="24"/>
        </w:rPr>
        <w:t> </w:t>
      </w:r>
      <w:r>
        <w:rPr>
          <w:sz w:val="24"/>
        </w:rPr>
        <w:t>CAU/UF:</w:t>
      </w:r>
      <w:r>
        <w:rPr>
          <w:spacing w:val="-4"/>
          <w:sz w:val="24"/>
        </w:rPr>
        <w:t> </w:t>
      </w:r>
      <w:r>
        <w:rPr>
          <w:sz w:val="24"/>
        </w:rPr>
        <w:t>PA</w:t>
      </w:r>
      <w:r>
        <w:rPr>
          <w:spacing w:val="-4"/>
          <w:sz w:val="24"/>
        </w:rPr>
        <w:t> </w:t>
      </w:r>
      <w:r>
        <w:rPr>
          <w:sz w:val="24"/>
        </w:rPr>
        <w:t>(20%);</w:t>
      </w:r>
      <w:r>
        <w:rPr>
          <w:spacing w:val="-2"/>
          <w:sz w:val="24"/>
        </w:rPr>
        <w:t> </w:t>
      </w:r>
      <w:r>
        <w:rPr>
          <w:sz w:val="24"/>
        </w:rPr>
        <w:t>RJ</w:t>
      </w:r>
      <w:r>
        <w:rPr>
          <w:spacing w:val="-3"/>
          <w:sz w:val="24"/>
        </w:rPr>
        <w:t> </w:t>
      </w:r>
      <w:r>
        <w:rPr>
          <w:sz w:val="24"/>
        </w:rPr>
        <w:t>(25%);</w:t>
      </w:r>
      <w:r>
        <w:rPr>
          <w:spacing w:val="-6"/>
          <w:sz w:val="24"/>
        </w:rPr>
        <w:t> </w:t>
      </w:r>
      <w:r>
        <w:rPr>
          <w:sz w:val="24"/>
        </w:rPr>
        <w:t>PR (5%); e SP (44%) cujas reduções para os três últimos CAU/UF foram, na forma</w:t>
      </w:r>
      <w:r>
        <w:rPr>
          <w:spacing w:val="-8"/>
          <w:sz w:val="24"/>
        </w:rPr>
        <w:t> </w:t>
      </w:r>
      <w:r>
        <w:rPr>
          <w:sz w:val="24"/>
        </w:rPr>
        <w:t>de</w:t>
      </w:r>
      <w:r>
        <w:rPr>
          <w:spacing w:val="-6"/>
          <w:sz w:val="24"/>
        </w:rPr>
        <w:t> </w:t>
      </w:r>
      <w:r>
        <w:rPr>
          <w:sz w:val="24"/>
        </w:rPr>
        <w:t>suas</w:t>
      </w:r>
      <w:r>
        <w:rPr>
          <w:spacing w:val="-6"/>
          <w:sz w:val="24"/>
        </w:rPr>
        <w:t> </w:t>
      </w:r>
      <w:r>
        <w:rPr>
          <w:sz w:val="24"/>
        </w:rPr>
        <w:t>solicitações,</w:t>
      </w:r>
      <w:r>
        <w:rPr>
          <w:spacing w:val="-5"/>
          <w:sz w:val="24"/>
        </w:rPr>
        <w:t> </w:t>
      </w:r>
      <w:r>
        <w:rPr>
          <w:sz w:val="24"/>
        </w:rPr>
        <w:t>resultando</w:t>
      </w:r>
      <w:r>
        <w:rPr>
          <w:spacing w:val="-6"/>
          <w:sz w:val="24"/>
        </w:rPr>
        <w:t> </w:t>
      </w:r>
      <w:r>
        <w:rPr>
          <w:sz w:val="24"/>
        </w:rPr>
        <w:t>nas</w:t>
      </w:r>
      <w:r>
        <w:rPr>
          <w:spacing w:val="-9"/>
          <w:sz w:val="24"/>
        </w:rPr>
        <w:t> </w:t>
      </w:r>
      <w:r>
        <w:rPr>
          <w:sz w:val="24"/>
        </w:rPr>
        <w:t>médias</w:t>
      </w:r>
      <w:r>
        <w:rPr>
          <w:spacing w:val="-8"/>
          <w:sz w:val="24"/>
        </w:rPr>
        <w:t> </w:t>
      </w:r>
      <w:r>
        <w:rPr>
          <w:sz w:val="24"/>
        </w:rPr>
        <w:t>finais</w:t>
      </w:r>
      <w:r>
        <w:rPr>
          <w:spacing w:val="-9"/>
          <w:sz w:val="24"/>
        </w:rPr>
        <w:t> </w:t>
      </w:r>
      <w:r>
        <w:rPr>
          <w:sz w:val="24"/>
        </w:rPr>
        <w:t>de</w:t>
      </w:r>
      <w:r>
        <w:rPr>
          <w:spacing w:val="-6"/>
          <w:sz w:val="24"/>
        </w:rPr>
        <w:t> </w:t>
      </w:r>
      <w:r>
        <w:rPr>
          <w:sz w:val="24"/>
        </w:rPr>
        <w:t>RRT/PF</w:t>
      </w:r>
      <w:r>
        <w:rPr>
          <w:spacing w:val="-6"/>
          <w:sz w:val="24"/>
        </w:rPr>
        <w:t> </w:t>
      </w:r>
      <w:r>
        <w:rPr>
          <w:sz w:val="24"/>
        </w:rPr>
        <w:t>para 2,6; 2,4; 5,1; e 5,5,</w:t>
      </w:r>
      <w:r>
        <w:rPr>
          <w:spacing w:val="-5"/>
          <w:sz w:val="24"/>
        </w:rPr>
        <w:t> </w:t>
      </w:r>
      <w:r>
        <w:rPr>
          <w:sz w:val="24"/>
        </w:rPr>
        <w:t>respectivamente.</w:t>
      </w:r>
    </w:p>
    <w:p>
      <w:pPr>
        <w:spacing w:line="259" w:lineRule="auto" w:before="1"/>
        <w:ind w:left="3142" w:right="1123" w:firstLine="0"/>
        <w:jc w:val="both"/>
        <w:rPr>
          <w:b/>
          <w:i/>
          <w:sz w:val="24"/>
        </w:rPr>
      </w:pPr>
      <w:r>
        <w:rPr>
          <w:b/>
          <w:i/>
          <w:sz w:val="24"/>
        </w:rPr>
        <w:t>Premissa utilizada = a média de RRT/profissional da reprogramação 2020 </w:t>
      </w:r>
      <w:r>
        <w:rPr>
          <w:b/>
          <w:i/>
          <w:sz w:val="24"/>
        </w:rPr>
        <w:t>(média geral: 4,1) frente à quantidade dos profissionais ativos programados, considerando 50% dos</w:t>
      </w:r>
      <w:r>
        <w:rPr>
          <w:b/>
          <w:i/>
          <w:spacing w:val="-3"/>
          <w:sz w:val="24"/>
        </w:rPr>
        <w:t> </w:t>
      </w:r>
      <w:r>
        <w:rPr>
          <w:b/>
          <w:i/>
          <w:sz w:val="24"/>
        </w:rPr>
        <w:t>entrantes).</w:t>
      </w:r>
    </w:p>
    <w:p>
      <w:pPr>
        <w:pStyle w:val="ListParagraph"/>
        <w:numPr>
          <w:ilvl w:val="0"/>
          <w:numId w:val="18"/>
        </w:numPr>
        <w:tabs>
          <w:tab w:pos="2655" w:val="left" w:leader="none"/>
        </w:tabs>
        <w:spacing w:line="259" w:lineRule="auto" w:before="158" w:after="0"/>
        <w:ind w:left="1702" w:right="1127" w:firstLine="707"/>
        <w:jc w:val="both"/>
        <w:rPr>
          <w:i/>
          <w:sz w:val="24"/>
        </w:rPr>
      </w:pPr>
      <w:r>
        <w:rPr>
          <w:i/>
          <w:sz w:val="24"/>
        </w:rPr>
        <w:t>Posição atual dos profissionais ativos: frente ao cenário previsto de recessão </w:t>
      </w:r>
      <w:r>
        <w:rPr>
          <w:i/>
          <w:sz w:val="24"/>
        </w:rPr>
        <w:t>econômica, de forma conservadora, no cálculo das quantidades de RRT, dos profissionais ativos foram considerados apenas 50% dos entrantes (Total de Ativos: 202.230 (-) 5.899 (50% dos</w:t>
      </w:r>
      <w:r>
        <w:rPr>
          <w:i/>
          <w:spacing w:val="-1"/>
          <w:sz w:val="24"/>
        </w:rPr>
        <w:t> </w:t>
      </w:r>
      <w:r>
        <w:rPr>
          <w:i/>
          <w:sz w:val="24"/>
        </w:rPr>
        <w:t>Entrantes).</w:t>
      </w:r>
    </w:p>
    <w:p>
      <w:pPr>
        <w:pStyle w:val="ListParagraph"/>
        <w:numPr>
          <w:ilvl w:val="0"/>
          <w:numId w:val="18"/>
        </w:numPr>
        <w:tabs>
          <w:tab w:pos="2585" w:val="left" w:leader="none"/>
        </w:tabs>
        <w:spacing w:line="240" w:lineRule="auto" w:before="160" w:after="0"/>
        <w:ind w:left="2584" w:right="0" w:hanging="175"/>
        <w:jc w:val="left"/>
        <w:rPr>
          <w:i/>
          <w:sz w:val="24"/>
        </w:rPr>
      </w:pPr>
      <w:r>
        <w:rPr>
          <w:i/>
          <w:sz w:val="24"/>
        </w:rPr>
        <w:t>Utilizou-se o estudo de impacto da Resolução nº</w:t>
      </w:r>
      <w:r>
        <w:rPr>
          <w:i/>
          <w:spacing w:val="1"/>
          <w:sz w:val="24"/>
        </w:rPr>
        <w:t> </w:t>
      </w:r>
      <w:r>
        <w:rPr>
          <w:i/>
          <w:sz w:val="24"/>
        </w:rPr>
        <w:t>184/2019.</w:t>
      </w:r>
    </w:p>
    <w:p>
      <w:pPr>
        <w:spacing w:after="0" w:line="240" w:lineRule="auto"/>
        <w:jc w:val="left"/>
        <w:rPr>
          <w:sz w:val="24"/>
        </w:rPr>
        <w:sectPr>
          <w:pgSz w:w="11910" w:h="16840"/>
          <w:pgMar w:header="590" w:footer="612" w:top="1460" w:bottom="800" w:left="0" w:right="0"/>
        </w:sectPr>
      </w:pPr>
    </w:p>
    <w:p>
      <w:pPr>
        <w:pStyle w:val="BodyText"/>
        <w:spacing w:before="6"/>
        <w:rPr>
          <w:i/>
          <w:sz w:val="10"/>
        </w:rPr>
      </w:pPr>
    </w:p>
    <w:p>
      <w:pPr>
        <w:pStyle w:val="Heading4"/>
        <w:numPr>
          <w:ilvl w:val="1"/>
          <w:numId w:val="18"/>
        </w:numPr>
        <w:tabs>
          <w:tab w:pos="2835" w:val="left" w:leader="none"/>
        </w:tabs>
        <w:spacing w:line="240" w:lineRule="auto" w:before="100" w:after="0"/>
        <w:ind w:left="2834" w:right="0" w:hanging="281"/>
        <w:jc w:val="left"/>
      </w:pPr>
      <w:r>
        <w:rPr>
          <w:color w:val="006666"/>
        </w:rPr>
        <w:t>Projeção das receitas de taxas e multas,</w:t>
      </w:r>
      <w:r>
        <w:rPr>
          <w:color w:val="006666"/>
          <w:spacing w:val="-4"/>
        </w:rPr>
        <w:t> </w:t>
      </w:r>
      <w:r>
        <w:rPr>
          <w:color w:val="006666"/>
        </w:rPr>
        <w:t>considerando:</w:t>
      </w:r>
    </w:p>
    <w:p>
      <w:pPr>
        <w:pStyle w:val="BodyText"/>
        <w:spacing w:line="360" w:lineRule="auto" w:before="157"/>
        <w:ind w:left="3194" w:right="1128" w:hanging="360"/>
        <w:jc w:val="both"/>
      </w:pPr>
      <w:r>
        <w:rPr>
          <w:b/>
          <w:sz w:val="22"/>
        </w:rPr>
        <w:t>a. </w:t>
      </w:r>
      <w:r>
        <w:rPr/>
        <w:t>Projeção para 2021 – taxa de 4,5 % sobre o total das receitas de arrecadação: anuidades</w:t>
      </w:r>
      <w:r>
        <w:rPr>
          <w:spacing w:val="-12"/>
        </w:rPr>
        <w:t> </w:t>
      </w:r>
      <w:r>
        <w:rPr/>
        <w:t>e</w:t>
      </w:r>
      <w:r>
        <w:rPr>
          <w:spacing w:val="-9"/>
        </w:rPr>
        <w:t> </w:t>
      </w:r>
      <w:r>
        <w:rPr/>
        <w:t>RRT</w:t>
      </w:r>
      <w:r>
        <w:rPr>
          <w:spacing w:val="-11"/>
        </w:rPr>
        <w:t> </w:t>
      </w:r>
      <w:r>
        <w:rPr/>
        <w:t>(índice</w:t>
      </w:r>
      <w:r>
        <w:rPr>
          <w:spacing w:val="-14"/>
        </w:rPr>
        <w:t> </w:t>
      </w:r>
      <w:r>
        <w:rPr/>
        <w:t>médio</w:t>
      </w:r>
      <w:r>
        <w:rPr>
          <w:spacing w:val="-11"/>
        </w:rPr>
        <w:t> </w:t>
      </w:r>
      <w:r>
        <w:rPr/>
        <w:t>das</w:t>
      </w:r>
      <w:r>
        <w:rPr>
          <w:spacing w:val="-13"/>
        </w:rPr>
        <w:t> </w:t>
      </w:r>
      <w:r>
        <w:rPr/>
        <w:t>realizações</w:t>
      </w:r>
      <w:r>
        <w:rPr>
          <w:spacing w:val="-10"/>
        </w:rPr>
        <w:t> </w:t>
      </w:r>
      <w:r>
        <w:rPr/>
        <w:t>de</w:t>
      </w:r>
      <w:r>
        <w:rPr>
          <w:spacing w:val="-12"/>
        </w:rPr>
        <w:t> </w:t>
      </w:r>
      <w:r>
        <w:rPr/>
        <w:t>2017</w:t>
      </w:r>
      <w:r>
        <w:rPr>
          <w:spacing w:val="-9"/>
        </w:rPr>
        <w:t> </w:t>
      </w:r>
      <w:r>
        <w:rPr/>
        <w:t>a</w:t>
      </w:r>
      <w:r>
        <w:rPr>
          <w:spacing w:val="-12"/>
        </w:rPr>
        <w:t> </w:t>
      </w:r>
      <w:r>
        <w:rPr/>
        <w:t>2019</w:t>
      </w:r>
      <w:r>
        <w:rPr>
          <w:spacing w:val="-9"/>
        </w:rPr>
        <w:t> </w:t>
      </w:r>
      <w:r>
        <w:rPr/>
        <w:t>com,</w:t>
      </w:r>
      <w:r>
        <w:rPr>
          <w:spacing w:val="-12"/>
        </w:rPr>
        <w:t> </w:t>
      </w:r>
      <w:r>
        <w:rPr/>
        <w:t>devido</w:t>
      </w:r>
      <w:r>
        <w:rPr>
          <w:spacing w:val="-12"/>
        </w:rPr>
        <w:t> </w:t>
      </w:r>
      <w:r>
        <w:rPr/>
        <w:t>aos esforços do CAU para recuperação de anuidades de exercícios anteriores), à exceção dos CAU/UF: RR; GO; MT; e SC, com ajuste de curva de 3,5 % e SP (3,36%), na forma de sua</w:t>
      </w:r>
      <w:r>
        <w:rPr>
          <w:spacing w:val="-11"/>
        </w:rPr>
        <w:t> </w:t>
      </w:r>
      <w:r>
        <w:rPr/>
        <w:t>solicitação.</w:t>
      </w:r>
    </w:p>
    <w:p>
      <w:pPr>
        <w:pStyle w:val="BodyText"/>
        <w:spacing w:before="2"/>
        <w:rPr>
          <w:sz w:val="16"/>
        </w:rPr>
      </w:pPr>
      <w:r>
        <w:rPr/>
        <w:pict>
          <v:group style="position:absolute;margin-left:77.550003pt;margin-top:11.832168pt;width:477.1pt;height:196.9pt;mso-position-horizontal-relative:page;mso-position-vertical-relative:paragraph;z-index:-15724032;mso-wrap-distance-left:0;mso-wrap-distance-right:0" coordorigin="1551,237" coordsize="9542,3938">
            <v:rect style="position:absolute;left:1556;top:241;width:9532;height:3928" filled="true" fillcolor="#d9d9d9" stroked="false">
              <v:fill type="solid"/>
            </v:rect>
            <v:rect style="position:absolute;left:1556;top:241;width:9532;height:3928" filled="false" stroked="true" strokeweight=".5pt" strokecolor="#000000">
              <v:stroke dashstyle="solid"/>
            </v:rect>
            <v:shape style="position:absolute;left:1675;top:319;width:9293;height:3774" type="#_x0000_t202" filled="true" fillcolor="#f7c9ac" stroked="false">
              <v:textbox inset="0,0,0,0">
                <w:txbxContent>
                  <w:p>
                    <w:pPr>
                      <w:spacing w:line="360" w:lineRule="auto" w:before="0"/>
                      <w:ind w:left="28" w:right="23" w:firstLine="0"/>
                      <w:jc w:val="both"/>
                      <w:rPr>
                        <w:b/>
                        <w:sz w:val="24"/>
                      </w:rPr>
                    </w:pPr>
                    <w:r>
                      <w:rPr>
                        <w:b/>
                        <w:sz w:val="24"/>
                      </w:rPr>
                      <w:t>Nota 3: A proposta de receitas de arrecadação contempla projeções para anuidades de exercícios anteriores (2012 a 2019) de acordo com a súmula nª 92/2020 (CPFI/CAU-BR) e considerando as informações disponíveis nos sistemas informatizados, utilizados pelo CAU, permitiram</w:t>
                    </w:r>
                    <w:r>
                      <w:rPr>
                        <w:b/>
                        <w:spacing w:val="-17"/>
                        <w:sz w:val="24"/>
                      </w:rPr>
                      <w:t> </w:t>
                    </w:r>
                    <w:r>
                      <w:rPr>
                        <w:b/>
                        <w:sz w:val="24"/>
                      </w:rPr>
                      <w:t>uma</w:t>
                    </w:r>
                    <w:r>
                      <w:rPr>
                        <w:b/>
                        <w:spacing w:val="-17"/>
                        <w:sz w:val="24"/>
                      </w:rPr>
                      <w:t> </w:t>
                    </w:r>
                    <w:r>
                      <w:rPr>
                        <w:b/>
                        <w:sz w:val="24"/>
                      </w:rPr>
                      <w:t>análise</w:t>
                    </w:r>
                    <w:r>
                      <w:rPr>
                        <w:b/>
                        <w:spacing w:val="-15"/>
                        <w:sz w:val="24"/>
                      </w:rPr>
                      <w:t> </w:t>
                    </w:r>
                    <w:r>
                      <w:rPr>
                        <w:b/>
                        <w:sz w:val="24"/>
                      </w:rPr>
                      <w:t>e</w:t>
                    </w:r>
                    <w:r>
                      <w:rPr>
                        <w:b/>
                        <w:spacing w:val="-17"/>
                        <w:sz w:val="24"/>
                      </w:rPr>
                      <w:t> </w:t>
                    </w:r>
                    <w:r>
                      <w:rPr>
                        <w:b/>
                        <w:sz w:val="24"/>
                      </w:rPr>
                      <w:t>projeções</w:t>
                    </w:r>
                    <w:r>
                      <w:rPr>
                        <w:b/>
                        <w:spacing w:val="-16"/>
                        <w:sz w:val="24"/>
                      </w:rPr>
                      <w:t> </w:t>
                    </w:r>
                    <w:r>
                      <w:rPr>
                        <w:b/>
                        <w:sz w:val="24"/>
                      </w:rPr>
                      <w:t>mais</w:t>
                    </w:r>
                    <w:r>
                      <w:rPr>
                        <w:b/>
                        <w:spacing w:val="-15"/>
                        <w:sz w:val="24"/>
                      </w:rPr>
                      <w:t> </w:t>
                    </w:r>
                    <w:r>
                      <w:rPr>
                        <w:b/>
                        <w:sz w:val="24"/>
                      </w:rPr>
                      <w:t>consistentes.</w:t>
                    </w:r>
                    <w:r>
                      <w:rPr>
                        <w:b/>
                        <w:spacing w:val="-15"/>
                        <w:sz w:val="24"/>
                      </w:rPr>
                      <w:t> </w:t>
                    </w:r>
                    <w:r>
                      <w:rPr>
                        <w:b/>
                        <w:sz w:val="24"/>
                      </w:rPr>
                      <w:t>Nesse</w:t>
                    </w:r>
                    <w:r>
                      <w:rPr>
                        <w:b/>
                        <w:spacing w:val="-16"/>
                        <w:sz w:val="24"/>
                      </w:rPr>
                      <w:t> </w:t>
                    </w:r>
                    <w:r>
                      <w:rPr>
                        <w:b/>
                        <w:sz w:val="24"/>
                      </w:rPr>
                      <w:t>contexto,</w:t>
                    </w:r>
                    <w:r>
                      <w:rPr>
                        <w:b/>
                        <w:spacing w:val="-15"/>
                        <w:sz w:val="24"/>
                      </w:rPr>
                      <w:t> </w:t>
                    </w:r>
                    <w:r>
                      <w:rPr>
                        <w:b/>
                        <w:sz w:val="24"/>
                      </w:rPr>
                      <w:t>as</w:t>
                    </w:r>
                    <w:r>
                      <w:rPr>
                        <w:b/>
                        <w:spacing w:val="-16"/>
                        <w:sz w:val="24"/>
                      </w:rPr>
                      <w:t> </w:t>
                    </w:r>
                    <w:r>
                      <w:rPr>
                        <w:b/>
                        <w:sz w:val="24"/>
                      </w:rPr>
                      <w:t>projeções</w:t>
                    </w:r>
                    <w:r>
                      <w:rPr>
                        <w:b/>
                        <w:spacing w:val="-15"/>
                        <w:sz w:val="24"/>
                      </w:rPr>
                      <w:t> </w:t>
                    </w:r>
                    <w:r>
                      <w:rPr>
                        <w:b/>
                        <w:sz w:val="24"/>
                      </w:rPr>
                      <w:t>para</w:t>
                    </w:r>
                    <w:r>
                      <w:rPr>
                        <w:b/>
                        <w:spacing w:val="-17"/>
                        <w:sz w:val="24"/>
                      </w:rPr>
                      <w:t> </w:t>
                    </w:r>
                    <w:r>
                      <w:rPr>
                        <w:b/>
                        <w:sz w:val="24"/>
                      </w:rPr>
                      <w:t>essa fonte de recursos ficam estabelecidas em 10% para a arrecadação de receitas das anuidades de exercícios anteriores, sendo previsto uma recuperação. em 2021, no patamar de R$ 11,71 milhões, distribuído em 12,3% (PF) e 5,1% (PJ), como forma recuperação dos valores de anuidades de exercícios</w:t>
                    </w:r>
                    <w:r>
                      <w:rPr>
                        <w:b/>
                        <w:spacing w:val="-5"/>
                        <w:sz w:val="24"/>
                      </w:rPr>
                      <w:t> </w:t>
                    </w:r>
                    <w:r>
                      <w:rPr>
                        <w:b/>
                        <w:sz w:val="24"/>
                      </w:rPr>
                      <w:t>anteriores.</w:t>
                    </w:r>
                  </w:p>
                </w:txbxContent>
              </v:textbox>
              <v:fill type="solid"/>
              <w10:wrap type="none"/>
            </v:shape>
            <w10:wrap type="topAndBottom"/>
          </v:group>
        </w:pict>
      </w:r>
    </w:p>
    <w:p>
      <w:pPr>
        <w:pStyle w:val="BodyText"/>
        <w:spacing w:before="9"/>
        <w:rPr>
          <w:sz w:val="21"/>
        </w:rPr>
      </w:pPr>
    </w:p>
    <w:p>
      <w:pPr>
        <w:pStyle w:val="BodyText"/>
        <w:spacing w:line="360" w:lineRule="auto"/>
        <w:ind w:left="1702" w:firstLine="851"/>
      </w:pPr>
      <w:r>
        <w:rPr/>
        <w:t>Com base nas premissas detalhadas acima, as estimativas das Receitas do CAU são demonstradas nos quadros 4 e 5, e nos Anexos X.I a X.V:</w:t>
      </w:r>
    </w:p>
    <w:p>
      <w:pPr>
        <w:spacing w:before="160"/>
        <w:ind w:left="2890" w:right="0" w:firstLine="0"/>
        <w:jc w:val="left"/>
        <w:rPr>
          <w:rFonts w:ascii="Calibri Light" w:hAnsi="Calibri Light"/>
          <w:b w:val="0"/>
          <w:sz w:val="22"/>
        </w:rPr>
      </w:pPr>
      <w:bookmarkStart w:name="_bookmark26" w:id="45"/>
      <w:bookmarkEnd w:id="45"/>
      <w:r>
        <w:rPr/>
      </w:r>
      <w:r>
        <w:rPr>
          <w:rFonts w:ascii="Calibri Light" w:hAnsi="Calibri Light"/>
          <w:b w:val="0"/>
          <w:color w:val="1F3863"/>
          <w:sz w:val="22"/>
        </w:rPr>
        <w:t>Quadro 4 – Estimativas das Receitas do CAU – Reprogramação 2020 X Programação</w:t>
      </w:r>
      <w:r>
        <w:rPr>
          <w:rFonts w:ascii="Calibri Light" w:hAnsi="Calibri Light"/>
          <w:b w:val="0"/>
          <w:color w:val="1F3863"/>
          <w:spacing w:val="-19"/>
          <w:sz w:val="22"/>
        </w:rPr>
        <w:t> </w:t>
      </w:r>
      <w:r>
        <w:rPr>
          <w:rFonts w:ascii="Calibri Light" w:hAnsi="Calibri Light"/>
          <w:b w:val="0"/>
          <w:color w:val="1F3863"/>
          <w:sz w:val="22"/>
        </w:rPr>
        <w:t>2021</w:t>
      </w:r>
    </w:p>
    <w:p>
      <w:pPr>
        <w:spacing w:before="24"/>
        <w:ind w:left="0" w:right="1129" w:firstLine="0"/>
        <w:jc w:val="right"/>
        <w:rPr>
          <w:b/>
          <w:sz w:val="20"/>
        </w:rPr>
      </w:pPr>
      <w:r>
        <w:rPr/>
        <w:drawing>
          <wp:anchor distT="0" distB="0" distL="0" distR="0" allowOverlap="1" layoutInCell="1" locked="0" behindDoc="0" simplePos="0" relativeHeight="10">
            <wp:simplePos x="0" y="0"/>
            <wp:positionH relativeFrom="page">
              <wp:posOffset>1083957</wp:posOffset>
            </wp:positionH>
            <wp:positionV relativeFrom="paragraph">
              <wp:posOffset>189604</wp:posOffset>
            </wp:positionV>
            <wp:extent cx="5829375" cy="2828925"/>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8" cstate="print"/>
                    <a:stretch>
                      <a:fillRect/>
                    </a:stretch>
                  </pic:blipFill>
                  <pic:spPr>
                    <a:xfrm>
                      <a:off x="0" y="0"/>
                      <a:ext cx="5829375" cy="2828925"/>
                    </a:xfrm>
                    <a:prstGeom prst="rect">
                      <a:avLst/>
                    </a:prstGeom>
                  </pic:spPr>
                </pic:pic>
              </a:graphicData>
            </a:graphic>
          </wp:anchor>
        </w:drawing>
      </w:r>
      <w:r>
        <w:rPr>
          <w:b/>
          <w:color w:val="1F3863"/>
          <w:sz w:val="20"/>
        </w:rPr>
        <w:t>(Valores em R$</w:t>
      </w:r>
      <w:r>
        <w:rPr>
          <w:b/>
          <w:color w:val="1F3863"/>
          <w:spacing w:val="-10"/>
          <w:sz w:val="20"/>
        </w:rPr>
        <w:t> </w:t>
      </w:r>
      <w:r>
        <w:rPr>
          <w:b/>
          <w:color w:val="1F3863"/>
          <w:sz w:val="20"/>
        </w:rPr>
        <w:t>1,00)</w:t>
      </w:r>
    </w:p>
    <w:p>
      <w:pPr>
        <w:spacing w:after="0"/>
        <w:jc w:val="right"/>
        <w:rPr>
          <w:sz w:val="20"/>
        </w:rPr>
        <w:sectPr>
          <w:pgSz w:w="11910" w:h="16840"/>
          <w:pgMar w:header="590" w:footer="612" w:top="1460" w:bottom="800" w:left="0" w:right="0"/>
        </w:sectPr>
      </w:pPr>
    </w:p>
    <w:p>
      <w:pPr>
        <w:pStyle w:val="BodyText"/>
        <w:rPr>
          <w:b/>
          <w:sz w:val="14"/>
        </w:rPr>
      </w:pPr>
    </w:p>
    <w:p>
      <w:pPr>
        <w:spacing w:before="56" w:after="23"/>
        <w:ind w:left="7424" w:right="0" w:firstLine="0"/>
        <w:jc w:val="left"/>
        <w:rPr>
          <w:rFonts w:ascii="Calibri Light" w:hAnsi="Calibri Light"/>
          <w:b w:val="0"/>
          <w:sz w:val="22"/>
        </w:rPr>
      </w:pPr>
      <w:bookmarkStart w:name="_bookmark27" w:id="46"/>
      <w:bookmarkEnd w:id="46"/>
      <w:r>
        <w:rPr/>
      </w:r>
      <w:r>
        <w:rPr>
          <w:rFonts w:ascii="Calibri Light" w:hAnsi="Calibri Light"/>
          <w:b w:val="0"/>
          <w:color w:val="1F3863"/>
          <w:sz w:val="22"/>
        </w:rPr>
        <w:t>Quadro 5 – Receita do CAU para 2021</w:t>
      </w:r>
    </w:p>
    <w:p>
      <w:pPr>
        <w:pStyle w:val="BodyText"/>
        <w:ind w:left="1721"/>
        <w:rPr>
          <w:rFonts w:ascii="Calibri Light"/>
          <w:sz w:val="20"/>
        </w:rPr>
      </w:pPr>
      <w:r>
        <w:rPr>
          <w:rFonts w:ascii="Calibri Light"/>
          <w:sz w:val="20"/>
        </w:rPr>
        <w:drawing>
          <wp:inline distT="0" distB="0" distL="0" distR="0">
            <wp:extent cx="5815555" cy="8566404"/>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9" cstate="print"/>
                    <a:stretch>
                      <a:fillRect/>
                    </a:stretch>
                  </pic:blipFill>
                  <pic:spPr>
                    <a:xfrm>
                      <a:off x="0" y="0"/>
                      <a:ext cx="5815555" cy="8566404"/>
                    </a:xfrm>
                    <a:prstGeom prst="rect">
                      <a:avLst/>
                    </a:prstGeom>
                  </pic:spPr>
                </pic:pic>
              </a:graphicData>
            </a:graphic>
          </wp:inline>
        </w:drawing>
      </w:r>
      <w:r>
        <w:rPr>
          <w:rFonts w:ascii="Calibri Light"/>
          <w:sz w:val="20"/>
        </w:rPr>
      </w:r>
    </w:p>
    <w:p>
      <w:pPr>
        <w:spacing w:after="0"/>
        <w:rPr>
          <w:rFonts w:ascii="Calibri Light"/>
          <w:sz w:val="20"/>
        </w:rPr>
        <w:sectPr>
          <w:pgSz w:w="11910" w:h="16840"/>
          <w:pgMar w:header="590" w:footer="612" w:top="1460" w:bottom="800" w:left="0" w:right="0"/>
        </w:sectPr>
      </w:pPr>
    </w:p>
    <w:p>
      <w:pPr>
        <w:pStyle w:val="BodyText"/>
        <w:rPr>
          <w:rFonts w:ascii="Calibri Light"/>
          <w:b w:val="0"/>
          <w:sz w:val="14"/>
        </w:rPr>
      </w:pPr>
    </w:p>
    <w:p>
      <w:pPr>
        <w:spacing w:before="56" w:after="23"/>
        <w:ind w:left="7177" w:right="0" w:firstLine="0"/>
        <w:jc w:val="left"/>
        <w:rPr>
          <w:b/>
          <w:sz w:val="22"/>
        </w:rPr>
      </w:pPr>
      <w:r>
        <w:rPr>
          <w:b/>
          <w:color w:val="1F3863"/>
          <w:sz w:val="22"/>
        </w:rPr>
        <w:t>Quadro 5.a – Receita do CAU para 2021</w:t>
      </w:r>
    </w:p>
    <w:p>
      <w:pPr>
        <w:pStyle w:val="BodyText"/>
        <w:ind w:left="1701"/>
        <w:rPr>
          <w:sz w:val="20"/>
        </w:rPr>
      </w:pPr>
      <w:r>
        <w:rPr>
          <w:sz w:val="20"/>
        </w:rPr>
        <w:drawing>
          <wp:inline distT="0" distB="0" distL="0" distR="0">
            <wp:extent cx="5819283" cy="8447627"/>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20" cstate="print"/>
                    <a:stretch>
                      <a:fillRect/>
                    </a:stretch>
                  </pic:blipFill>
                  <pic:spPr>
                    <a:xfrm>
                      <a:off x="0" y="0"/>
                      <a:ext cx="5819283" cy="8447627"/>
                    </a:xfrm>
                    <a:prstGeom prst="rect">
                      <a:avLst/>
                    </a:prstGeom>
                  </pic:spPr>
                </pic:pic>
              </a:graphicData>
            </a:graphic>
          </wp:inline>
        </w:drawing>
      </w:r>
      <w:r>
        <w:rPr>
          <w:sz w:val="20"/>
        </w:rPr>
      </w:r>
    </w:p>
    <w:p>
      <w:pPr>
        <w:spacing w:after="0"/>
        <w:rPr>
          <w:sz w:val="20"/>
        </w:rPr>
        <w:sectPr>
          <w:pgSz w:w="11910" w:h="16840"/>
          <w:pgMar w:header="590" w:footer="612" w:top="1460" w:bottom="800" w:left="0" w:right="0"/>
        </w:sectPr>
      </w:pPr>
    </w:p>
    <w:p>
      <w:pPr>
        <w:pStyle w:val="BodyText"/>
        <w:rPr>
          <w:b/>
          <w:sz w:val="14"/>
        </w:rPr>
      </w:pPr>
    </w:p>
    <w:p>
      <w:pPr>
        <w:spacing w:before="56"/>
        <w:ind w:left="7167" w:right="0" w:firstLine="0"/>
        <w:jc w:val="left"/>
        <w:rPr>
          <w:b/>
          <w:sz w:val="22"/>
        </w:rPr>
      </w:pPr>
      <w:r>
        <w:rPr/>
        <w:drawing>
          <wp:anchor distT="0" distB="0" distL="0" distR="0" allowOverlap="1" layoutInCell="1" locked="0" behindDoc="0" simplePos="0" relativeHeight="11">
            <wp:simplePos x="0" y="0"/>
            <wp:positionH relativeFrom="page">
              <wp:posOffset>1080135</wp:posOffset>
            </wp:positionH>
            <wp:positionV relativeFrom="paragraph">
              <wp:posOffset>233144</wp:posOffset>
            </wp:positionV>
            <wp:extent cx="5861639" cy="1761648"/>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21" cstate="print"/>
                    <a:stretch>
                      <a:fillRect/>
                    </a:stretch>
                  </pic:blipFill>
                  <pic:spPr>
                    <a:xfrm>
                      <a:off x="0" y="0"/>
                      <a:ext cx="5861639" cy="1761648"/>
                    </a:xfrm>
                    <a:prstGeom prst="rect">
                      <a:avLst/>
                    </a:prstGeom>
                  </pic:spPr>
                </pic:pic>
              </a:graphicData>
            </a:graphic>
          </wp:anchor>
        </w:drawing>
      </w:r>
      <w:r>
        <w:rPr>
          <w:b/>
          <w:color w:val="1F3863"/>
          <w:sz w:val="22"/>
        </w:rPr>
        <w:t>Quadro 5.b – Receita do CAU para 2021</w:t>
      </w:r>
    </w:p>
    <w:p>
      <w:pPr>
        <w:pStyle w:val="BodyText"/>
        <w:spacing w:line="360" w:lineRule="auto" w:before="184"/>
        <w:ind w:left="1702" w:right="1126" w:firstLine="851"/>
        <w:jc w:val="both"/>
      </w:pPr>
      <w:r>
        <w:rPr/>
        <w:t>Considerando as premissas que norteiam a Programação do Plano de Ação e Orçamento</w:t>
      </w:r>
      <w:r>
        <w:rPr>
          <w:spacing w:val="-8"/>
        </w:rPr>
        <w:t> </w:t>
      </w:r>
      <w:r>
        <w:rPr/>
        <w:t>do</w:t>
      </w:r>
      <w:r>
        <w:rPr>
          <w:spacing w:val="-5"/>
        </w:rPr>
        <w:t> </w:t>
      </w:r>
      <w:r>
        <w:rPr/>
        <w:t>CAU,</w:t>
      </w:r>
      <w:r>
        <w:rPr>
          <w:spacing w:val="-5"/>
        </w:rPr>
        <w:t> </w:t>
      </w:r>
      <w:r>
        <w:rPr/>
        <w:t>as</w:t>
      </w:r>
      <w:r>
        <w:rPr>
          <w:spacing w:val="-6"/>
        </w:rPr>
        <w:t> </w:t>
      </w:r>
      <w:r>
        <w:rPr/>
        <w:t>projeções</w:t>
      </w:r>
      <w:r>
        <w:rPr>
          <w:spacing w:val="-6"/>
        </w:rPr>
        <w:t> </w:t>
      </w:r>
      <w:r>
        <w:rPr/>
        <w:t>para</w:t>
      </w:r>
      <w:r>
        <w:rPr>
          <w:spacing w:val="-5"/>
        </w:rPr>
        <w:t> </w:t>
      </w:r>
      <w:r>
        <w:rPr/>
        <w:t>as</w:t>
      </w:r>
      <w:r>
        <w:rPr>
          <w:spacing w:val="-6"/>
        </w:rPr>
        <w:t> </w:t>
      </w:r>
      <w:r>
        <w:rPr/>
        <w:t>receitas</w:t>
      </w:r>
      <w:r>
        <w:rPr>
          <w:spacing w:val="-8"/>
        </w:rPr>
        <w:t> </w:t>
      </w:r>
      <w:r>
        <w:rPr/>
        <w:t>de</w:t>
      </w:r>
      <w:r>
        <w:rPr>
          <w:spacing w:val="-5"/>
        </w:rPr>
        <w:t> </w:t>
      </w:r>
      <w:r>
        <w:rPr/>
        <w:t>arrecadação</w:t>
      </w:r>
      <w:r>
        <w:rPr>
          <w:spacing w:val="-6"/>
        </w:rPr>
        <w:t> </w:t>
      </w:r>
      <w:r>
        <w:rPr/>
        <w:t>do</w:t>
      </w:r>
      <w:r>
        <w:rPr>
          <w:spacing w:val="-5"/>
        </w:rPr>
        <w:t> </w:t>
      </w:r>
      <w:r>
        <w:rPr/>
        <w:t>CAU,</w:t>
      </w:r>
      <w:r>
        <w:rPr>
          <w:spacing w:val="-8"/>
        </w:rPr>
        <w:t> </w:t>
      </w:r>
      <w:r>
        <w:rPr/>
        <w:t>no</w:t>
      </w:r>
      <w:r>
        <w:rPr>
          <w:spacing w:val="-6"/>
        </w:rPr>
        <w:t> </w:t>
      </w:r>
      <w:r>
        <w:rPr/>
        <w:t>montante</w:t>
      </w:r>
      <w:r>
        <w:rPr>
          <w:spacing w:val="-7"/>
        </w:rPr>
        <w:t> </w:t>
      </w:r>
      <w:r>
        <w:rPr/>
        <w:t>de</w:t>
      </w:r>
      <w:r>
        <w:rPr>
          <w:spacing w:val="2"/>
        </w:rPr>
        <w:t> </w:t>
      </w:r>
      <w:r>
        <w:rPr/>
        <w:t>R$ 168,7 milhões, apresentam um incremento de 15,5% frente às metas previstas para 2020 (R$ 146,1 milhões na reprogramação 2020), ou 13,4% de crescimento real, considerando a correção do índice do INPC previsto de 2,09% na correção dos valores aplicados para anuidades, RRT e demais taxas e multas. Do total dos recursos projetados, 80% são direcionados a suportar a programação dos CAU/UF e 20% à programação do CAU/BR, conforme Quadro 6 a seguir.</w:t>
      </w:r>
    </w:p>
    <w:p>
      <w:pPr>
        <w:spacing w:after="0" w:line="360" w:lineRule="auto"/>
        <w:jc w:val="both"/>
        <w:sectPr>
          <w:pgSz w:w="11910" w:h="16840"/>
          <w:pgMar w:header="590" w:footer="612" w:top="1460" w:bottom="800" w:left="0" w:right="0"/>
        </w:sectPr>
      </w:pPr>
    </w:p>
    <w:p>
      <w:pPr>
        <w:pStyle w:val="BodyText"/>
        <w:rPr>
          <w:sz w:val="14"/>
        </w:rPr>
      </w:pPr>
    </w:p>
    <w:p>
      <w:pPr>
        <w:spacing w:before="56" w:after="23"/>
        <w:ind w:left="5273" w:right="0" w:firstLine="0"/>
        <w:jc w:val="left"/>
        <w:rPr>
          <w:rFonts w:ascii="Calibri Light" w:hAnsi="Calibri Light"/>
          <w:b w:val="0"/>
          <w:sz w:val="22"/>
        </w:rPr>
      </w:pPr>
      <w:bookmarkStart w:name="_bookmark28" w:id="47"/>
      <w:bookmarkEnd w:id="47"/>
      <w:r>
        <w:rPr/>
      </w:r>
      <w:r>
        <w:rPr>
          <w:rFonts w:ascii="Calibri Light" w:hAnsi="Calibri Light"/>
          <w:b w:val="0"/>
          <w:color w:val="1F3863"/>
          <w:sz w:val="22"/>
        </w:rPr>
        <w:t>Quadro 6 - Receitas dos CAU/UF e CAU/BR – Programação 2021</w:t>
      </w:r>
    </w:p>
    <w:p>
      <w:pPr>
        <w:pStyle w:val="BodyText"/>
        <w:ind w:left="1741"/>
        <w:rPr>
          <w:rFonts w:ascii="Calibri Light"/>
          <w:sz w:val="20"/>
        </w:rPr>
      </w:pPr>
      <w:r>
        <w:rPr>
          <w:rFonts w:ascii="Calibri Light"/>
          <w:sz w:val="20"/>
        </w:rPr>
        <w:drawing>
          <wp:inline distT="0" distB="0" distL="0" distR="0">
            <wp:extent cx="5804180" cy="4457700"/>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2" cstate="print"/>
                    <a:stretch>
                      <a:fillRect/>
                    </a:stretch>
                  </pic:blipFill>
                  <pic:spPr>
                    <a:xfrm>
                      <a:off x="0" y="0"/>
                      <a:ext cx="5804180" cy="4457700"/>
                    </a:xfrm>
                    <a:prstGeom prst="rect">
                      <a:avLst/>
                    </a:prstGeom>
                  </pic:spPr>
                </pic:pic>
              </a:graphicData>
            </a:graphic>
          </wp:inline>
        </w:drawing>
      </w:r>
      <w:r>
        <w:rPr>
          <w:rFonts w:ascii="Calibri Light"/>
          <w:sz w:val="20"/>
        </w:rPr>
      </w:r>
    </w:p>
    <w:p>
      <w:pPr>
        <w:pStyle w:val="BodyText"/>
        <w:rPr>
          <w:rFonts w:ascii="Calibri Light"/>
          <w:b w:val="0"/>
          <w:sz w:val="22"/>
        </w:rPr>
      </w:pPr>
    </w:p>
    <w:p>
      <w:pPr>
        <w:pStyle w:val="BodyText"/>
        <w:spacing w:before="5"/>
        <w:rPr>
          <w:rFonts w:ascii="Calibri Light"/>
          <w:b w:val="0"/>
          <w:sz w:val="27"/>
        </w:rPr>
      </w:pPr>
    </w:p>
    <w:p>
      <w:pPr>
        <w:pStyle w:val="BodyText"/>
        <w:spacing w:line="360" w:lineRule="auto"/>
        <w:ind w:left="1702" w:right="1131" w:firstLine="851"/>
      </w:pPr>
      <w:r>
        <w:rPr/>
        <w:t>Do valor destinado aos CAU/UF, a posição por região apresenta-se na forma do Quadro 7 a seguir. Os detalhamentos por CAU/UF consta do Anexo X.I.</w:t>
      </w:r>
    </w:p>
    <w:p>
      <w:pPr>
        <w:spacing w:before="161" w:after="19"/>
        <w:ind w:left="1513" w:right="1118" w:firstLine="0"/>
        <w:jc w:val="center"/>
        <w:rPr>
          <w:rFonts w:ascii="Calibri Light" w:hAnsi="Calibri Light"/>
          <w:b w:val="0"/>
          <w:sz w:val="22"/>
        </w:rPr>
      </w:pPr>
      <w:bookmarkStart w:name="_bookmark29" w:id="48"/>
      <w:bookmarkEnd w:id="48"/>
      <w:r>
        <w:rPr/>
      </w:r>
      <w:r>
        <w:rPr>
          <w:rFonts w:ascii="Calibri Light" w:hAnsi="Calibri Light"/>
          <w:b w:val="0"/>
          <w:color w:val="1F3863"/>
          <w:sz w:val="22"/>
        </w:rPr>
        <w:t>Quadro 7 - Estimativas das Receitas dos CAU/UF por Região – Reprogramação 2020 X Programação 2021</w:t>
      </w:r>
    </w:p>
    <w:p>
      <w:pPr>
        <w:pStyle w:val="BodyText"/>
        <w:ind w:left="1449"/>
        <w:rPr>
          <w:rFonts w:ascii="Calibri Light"/>
          <w:sz w:val="20"/>
        </w:rPr>
      </w:pPr>
      <w:r>
        <w:rPr>
          <w:rFonts w:ascii="Calibri Light"/>
          <w:sz w:val="20"/>
        </w:rPr>
        <w:drawing>
          <wp:inline distT="0" distB="0" distL="0" distR="0">
            <wp:extent cx="5939690" cy="2843783"/>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3" cstate="print"/>
                    <a:stretch>
                      <a:fillRect/>
                    </a:stretch>
                  </pic:blipFill>
                  <pic:spPr>
                    <a:xfrm>
                      <a:off x="0" y="0"/>
                      <a:ext cx="5939690" cy="2843783"/>
                    </a:xfrm>
                    <a:prstGeom prst="rect">
                      <a:avLst/>
                    </a:prstGeom>
                  </pic:spPr>
                </pic:pic>
              </a:graphicData>
            </a:graphic>
          </wp:inline>
        </w:drawing>
      </w:r>
      <w:r>
        <w:rPr>
          <w:rFonts w:ascii="Calibri Light"/>
          <w:sz w:val="20"/>
        </w:rPr>
      </w:r>
    </w:p>
    <w:p>
      <w:pPr>
        <w:spacing w:after="0"/>
        <w:rPr>
          <w:rFonts w:ascii="Calibri Light"/>
          <w:sz w:val="20"/>
        </w:rPr>
        <w:sectPr>
          <w:pgSz w:w="11910" w:h="16840"/>
          <w:pgMar w:header="590" w:footer="612" w:top="1460" w:bottom="800" w:left="0" w:right="0"/>
        </w:sectPr>
      </w:pPr>
    </w:p>
    <w:p>
      <w:pPr>
        <w:pStyle w:val="BodyText"/>
        <w:spacing w:before="5"/>
        <w:rPr>
          <w:rFonts w:ascii="Calibri Light"/>
          <w:b w:val="0"/>
          <w:sz w:val="14"/>
        </w:rPr>
      </w:pPr>
    </w:p>
    <w:p>
      <w:pPr>
        <w:pStyle w:val="BodyText"/>
        <w:spacing w:line="360" w:lineRule="auto" w:before="51"/>
        <w:ind w:left="1702" w:right="1131" w:firstLine="566"/>
      </w:pPr>
      <w:r>
        <w:rPr/>
        <w:t>Os detalhamentos das projeções das receitas totais e por anuidade de pessoa física e pessoa jurídica, RRT e taxas e multas, encontra-se nos Anexos X.I ao X.V.</w:t>
      </w:r>
    </w:p>
    <w:p>
      <w:pPr>
        <w:pStyle w:val="BodyText"/>
        <w:spacing w:line="360" w:lineRule="auto"/>
        <w:ind w:left="1702" w:right="1132" w:firstLine="566"/>
      </w:pPr>
      <w:r>
        <w:rPr/>
        <w:t>As projeções das receitas, por CAU/UF, a serem consideradas no plano de ação encontram-se no Anexo V.</w:t>
      </w:r>
    </w:p>
    <w:p>
      <w:pPr>
        <w:pStyle w:val="BodyText"/>
      </w:pPr>
    </w:p>
    <w:p>
      <w:pPr>
        <w:pStyle w:val="Heading2"/>
        <w:numPr>
          <w:ilvl w:val="0"/>
          <w:numId w:val="2"/>
        </w:numPr>
        <w:tabs>
          <w:tab w:pos="2268" w:val="left" w:leader="none"/>
          <w:tab w:pos="2269" w:val="left" w:leader="none"/>
        </w:tabs>
        <w:spacing w:line="360" w:lineRule="auto" w:before="161" w:after="0"/>
        <w:ind w:left="2268" w:right="1134" w:hanging="567"/>
        <w:jc w:val="left"/>
      </w:pPr>
      <w:bookmarkStart w:name="_bookmark30" w:id="49"/>
      <w:bookmarkEnd w:id="49"/>
      <w:r>
        <w:rPr>
          <w:b w:val="0"/>
        </w:rPr>
      </w:r>
      <w:bookmarkStart w:name="_bookmark30" w:id="50"/>
      <w:bookmarkEnd w:id="50"/>
      <w:r>
        <w:rPr>
          <w:color w:val="006666"/>
        </w:rPr>
        <w:t>S</w:t>
      </w:r>
      <w:r>
        <w:rPr>
          <w:color w:val="006666"/>
        </w:rPr>
        <w:t>ISTEMÁTICA DE ELABORAÇÃO DO PLANO DE AÇÃO E DO ORÇAMENTO</w:t>
      </w:r>
      <w:r>
        <w:rPr>
          <w:color w:val="006666"/>
          <w:spacing w:val="3"/>
        </w:rPr>
        <w:t> </w:t>
      </w:r>
      <w:r>
        <w:rPr>
          <w:color w:val="006666"/>
        </w:rPr>
        <w:t>2021</w:t>
      </w:r>
    </w:p>
    <w:p>
      <w:pPr>
        <w:pStyle w:val="BodyText"/>
        <w:spacing w:line="360" w:lineRule="auto" w:before="200"/>
        <w:ind w:left="1702" w:right="1131" w:firstLine="851"/>
        <w:jc w:val="both"/>
      </w:pPr>
      <w:r>
        <w:rPr/>
        <w:t>O CAU/BR e os CAU/UF elaborarão a proposta de seus Planos de Ação e Orçamento, contendo as seguintes peças:</w:t>
      </w:r>
    </w:p>
    <w:p>
      <w:pPr>
        <w:pStyle w:val="ListParagraph"/>
        <w:numPr>
          <w:ilvl w:val="0"/>
          <w:numId w:val="19"/>
        </w:numPr>
        <w:tabs>
          <w:tab w:pos="3121" w:val="left" w:leader="none"/>
        </w:tabs>
        <w:spacing w:line="360" w:lineRule="auto" w:before="158" w:after="0"/>
        <w:ind w:left="3120" w:right="1130" w:hanging="406"/>
        <w:jc w:val="both"/>
        <w:rPr>
          <w:sz w:val="24"/>
        </w:rPr>
      </w:pPr>
      <w:r>
        <w:rPr>
          <w:sz w:val="24"/>
        </w:rPr>
        <w:t>Mapa estratégico do CAU/UF com os objetivos estratégicos priorizados para a programação 2021 (</w:t>
      </w:r>
      <w:r>
        <w:rPr>
          <w:b/>
          <w:sz w:val="24"/>
        </w:rPr>
        <w:t>os três nacionais </w:t>
      </w:r>
      <w:r>
        <w:rPr>
          <w:sz w:val="24"/>
        </w:rPr>
        <w:t>e os locais, sendo 2 a 3 definidos pelo CAU/UF).</w:t>
      </w:r>
    </w:p>
    <w:p>
      <w:pPr>
        <w:pStyle w:val="ListParagraph"/>
        <w:numPr>
          <w:ilvl w:val="0"/>
          <w:numId w:val="19"/>
        </w:numPr>
        <w:tabs>
          <w:tab w:pos="3120" w:val="left" w:leader="none"/>
          <w:tab w:pos="3121" w:val="left" w:leader="none"/>
        </w:tabs>
        <w:spacing w:line="360" w:lineRule="auto" w:before="2" w:after="0"/>
        <w:ind w:left="3120" w:right="1126" w:hanging="466"/>
        <w:jc w:val="left"/>
        <w:rPr>
          <w:sz w:val="24"/>
        </w:rPr>
      </w:pPr>
      <w:r>
        <w:rPr>
          <w:sz w:val="24"/>
        </w:rPr>
        <w:t>Indicadores</w:t>
      </w:r>
      <w:r>
        <w:rPr>
          <w:spacing w:val="-15"/>
          <w:sz w:val="24"/>
        </w:rPr>
        <w:t> </w:t>
      </w:r>
      <w:r>
        <w:rPr>
          <w:sz w:val="24"/>
        </w:rPr>
        <w:t>institucionais</w:t>
      </w:r>
      <w:r>
        <w:rPr>
          <w:spacing w:val="-15"/>
          <w:sz w:val="24"/>
        </w:rPr>
        <w:t> </w:t>
      </w:r>
      <w:r>
        <w:rPr>
          <w:sz w:val="24"/>
        </w:rPr>
        <w:t>e</w:t>
      </w:r>
      <w:r>
        <w:rPr>
          <w:spacing w:val="-16"/>
          <w:sz w:val="24"/>
        </w:rPr>
        <w:t> </w:t>
      </w:r>
      <w:r>
        <w:rPr>
          <w:sz w:val="24"/>
        </w:rPr>
        <w:t>de</w:t>
      </w:r>
      <w:r>
        <w:rPr>
          <w:spacing w:val="-16"/>
          <w:sz w:val="24"/>
        </w:rPr>
        <w:t> </w:t>
      </w:r>
      <w:r>
        <w:rPr>
          <w:sz w:val="24"/>
        </w:rPr>
        <w:t>resultados</w:t>
      </w:r>
      <w:r>
        <w:rPr>
          <w:spacing w:val="-15"/>
          <w:sz w:val="24"/>
        </w:rPr>
        <w:t> </w:t>
      </w:r>
      <w:r>
        <w:rPr>
          <w:sz w:val="24"/>
        </w:rPr>
        <w:t>dos</w:t>
      </w:r>
      <w:r>
        <w:rPr>
          <w:spacing w:val="-14"/>
          <w:sz w:val="24"/>
        </w:rPr>
        <w:t> </w:t>
      </w:r>
      <w:r>
        <w:rPr>
          <w:sz w:val="24"/>
        </w:rPr>
        <w:t>objetivos</w:t>
      </w:r>
      <w:r>
        <w:rPr>
          <w:spacing w:val="-17"/>
          <w:sz w:val="24"/>
        </w:rPr>
        <w:t> </w:t>
      </w:r>
      <w:r>
        <w:rPr>
          <w:sz w:val="24"/>
        </w:rPr>
        <w:t>estratégicos</w:t>
      </w:r>
      <w:r>
        <w:rPr>
          <w:spacing w:val="-17"/>
          <w:sz w:val="24"/>
        </w:rPr>
        <w:t> </w:t>
      </w:r>
      <w:r>
        <w:rPr>
          <w:sz w:val="24"/>
        </w:rPr>
        <w:t>priorizados com indicação das metas para</w:t>
      </w:r>
      <w:r>
        <w:rPr>
          <w:spacing w:val="-3"/>
          <w:sz w:val="24"/>
        </w:rPr>
        <w:t> </w:t>
      </w:r>
      <w:r>
        <w:rPr>
          <w:sz w:val="24"/>
        </w:rPr>
        <w:t>2021.</w:t>
      </w:r>
    </w:p>
    <w:p>
      <w:pPr>
        <w:pStyle w:val="ListParagraph"/>
        <w:numPr>
          <w:ilvl w:val="0"/>
          <w:numId w:val="19"/>
        </w:numPr>
        <w:tabs>
          <w:tab w:pos="3120" w:val="left" w:leader="none"/>
          <w:tab w:pos="3121" w:val="left" w:leader="none"/>
        </w:tabs>
        <w:spacing w:line="292" w:lineRule="exact" w:before="0" w:after="0"/>
        <w:ind w:left="3120" w:right="0" w:hanging="527"/>
        <w:jc w:val="left"/>
        <w:rPr>
          <w:sz w:val="24"/>
        </w:rPr>
      </w:pPr>
      <w:r>
        <w:rPr>
          <w:sz w:val="24"/>
        </w:rPr>
        <w:t>Plano de ação por projeto e atividade – na forma do Anexo</w:t>
      </w:r>
      <w:r>
        <w:rPr>
          <w:spacing w:val="-5"/>
          <w:sz w:val="24"/>
        </w:rPr>
        <w:t> </w:t>
      </w:r>
      <w:r>
        <w:rPr>
          <w:sz w:val="24"/>
        </w:rPr>
        <w:t>IX.</w:t>
      </w:r>
    </w:p>
    <w:p>
      <w:pPr>
        <w:pStyle w:val="ListParagraph"/>
        <w:numPr>
          <w:ilvl w:val="0"/>
          <w:numId w:val="19"/>
        </w:numPr>
        <w:tabs>
          <w:tab w:pos="3120" w:val="left" w:leader="none"/>
          <w:tab w:pos="3121" w:val="left" w:leader="none"/>
        </w:tabs>
        <w:spacing w:line="240" w:lineRule="auto" w:before="147" w:after="0"/>
        <w:ind w:left="3120" w:right="0" w:hanging="543"/>
        <w:jc w:val="left"/>
        <w:rPr>
          <w:sz w:val="24"/>
        </w:rPr>
      </w:pPr>
      <w:r>
        <w:rPr>
          <w:sz w:val="24"/>
        </w:rPr>
        <w:t>Limites de Aplicações dos Recursos</w:t>
      </w:r>
      <w:r>
        <w:rPr>
          <w:spacing w:val="-1"/>
          <w:sz w:val="24"/>
        </w:rPr>
        <w:t> </w:t>
      </w:r>
      <w:r>
        <w:rPr>
          <w:sz w:val="24"/>
        </w:rPr>
        <w:t>Estratégicos.</w:t>
      </w:r>
    </w:p>
    <w:p>
      <w:pPr>
        <w:pStyle w:val="ListParagraph"/>
        <w:numPr>
          <w:ilvl w:val="0"/>
          <w:numId w:val="19"/>
        </w:numPr>
        <w:tabs>
          <w:tab w:pos="3120" w:val="left" w:leader="none"/>
          <w:tab w:pos="3121" w:val="left" w:leader="none"/>
        </w:tabs>
        <w:spacing w:line="240" w:lineRule="auto" w:before="146" w:after="0"/>
        <w:ind w:left="3120" w:right="0" w:hanging="481"/>
        <w:jc w:val="left"/>
        <w:rPr>
          <w:sz w:val="24"/>
        </w:rPr>
      </w:pPr>
      <w:r>
        <w:rPr>
          <w:sz w:val="24"/>
        </w:rPr>
        <w:t>Ações Estratégicas Prioritárias</w:t>
      </w:r>
      <w:r>
        <w:rPr>
          <w:spacing w:val="-3"/>
          <w:sz w:val="24"/>
        </w:rPr>
        <w:t> </w:t>
      </w:r>
      <w:r>
        <w:rPr>
          <w:sz w:val="24"/>
        </w:rPr>
        <w:t>2021.</w:t>
      </w:r>
    </w:p>
    <w:p>
      <w:pPr>
        <w:pStyle w:val="ListParagraph"/>
        <w:numPr>
          <w:ilvl w:val="0"/>
          <w:numId w:val="19"/>
        </w:numPr>
        <w:tabs>
          <w:tab w:pos="3120" w:val="left" w:leader="none"/>
          <w:tab w:pos="3121" w:val="left" w:leader="none"/>
        </w:tabs>
        <w:spacing w:line="360" w:lineRule="auto" w:before="146" w:after="0"/>
        <w:ind w:left="3120" w:right="1127" w:hanging="543"/>
        <w:jc w:val="left"/>
        <w:rPr>
          <w:sz w:val="24"/>
        </w:rPr>
      </w:pPr>
      <w:r>
        <w:rPr>
          <w:sz w:val="24"/>
        </w:rPr>
        <w:t>Cenários de receitas – valores e critérios de projeção. As receitas de arrecadação devem observar as metas contempladas nessas</w:t>
      </w:r>
      <w:r>
        <w:rPr>
          <w:spacing w:val="-7"/>
          <w:sz w:val="24"/>
        </w:rPr>
        <w:t> </w:t>
      </w:r>
      <w:r>
        <w:rPr>
          <w:sz w:val="24"/>
        </w:rPr>
        <w:t>Diretrizes.</w:t>
      </w:r>
    </w:p>
    <w:p>
      <w:pPr>
        <w:pStyle w:val="ListParagraph"/>
        <w:numPr>
          <w:ilvl w:val="0"/>
          <w:numId w:val="19"/>
        </w:numPr>
        <w:tabs>
          <w:tab w:pos="3120" w:val="left" w:leader="none"/>
          <w:tab w:pos="3121" w:val="left" w:leader="none"/>
        </w:tabs>
        <w:spacing w:line="240" w:lineRule="auto" w:before="0" w:after="0"/>
        <w:ind w:left="3120" w:right="0" w:hanging="603"/>
        <w:jc w:val="left"/>
        <w:rPr>
          <w:sz w:val="24"/>
        </w:rPr>
      </w:pPr>
      <w:r>
        <w:rPr>
          <w:sz w:val="24"/>
        </w:rPr>
        <w:t>Orçamento – na forma dos centros de custos do Plano de</w:t>
      </w:r>
      <w:r>
        <w:rPr>
          <w:spacing w:val="-15"/>
          <w:sz w:val="24"/>
        </w:rPr>
        <w:t> </w:t>
      </w:r>
      <w:r>
        <w:rPr>
          <w:sz w:val="24"/>
        </w:rPr>
        <w:t>Ação.</w:t>
      </w:r>
    </w:p>
    <w:p>
      <w:pPr>
        <w:pStyle w:val="ListParagraph"/>
        <w:numPr>
          <w:ilvl w:val="0"/>
          <w:numId w:val="19"/>
        </w:numPr>
        <w:tabs>
          <w:tab w:pos="3120" w:val="left" w:leader="none"/>
          <w:tab w:pos="3121" w:val="left" w:leader="none"/>
        </w:tabs>
        <w:spacing w:line="240" w:lineRule="auto" w:before="149" w:after="0"/>
        <w:ind w:left="3120" w:right="0" w:hanging="663"/>
        <w:jc w:val="left"/>
        <w:rPr>
          <w:sz w:val="24"/>
        </w:rPr>
      </w:pPr>
      <w:r>
        <w:rPr>
          <w:sz w:val="24"/>
        </w:rPr>
        <w:t>Aprovação pela Comissão de Planejamento e Finanças do respectivo</w:t>
      </w:r>
      <w:r>
        <w:rPr>
          <w:spacing w:val="-11"/>
          <w:sz w:val="24"/>
        </w:rPr>
        <w:t> </w:t>
      </w:r>
      <w:r>
        <w:rPr>
          <w:sz w:val="24"/>
        </w:rPr>
        <w:t>CAU/UF.</w:t>
      </w:r>
    </w:p>
    <w:p>
      <w:pPr>
        <w:pStyle w:val="ListParagraph"/>
        <w:numPr>
          <w:ilvl w:val="0"/>
          <w:numId w:val="19"/>
        </w:numPr>
        <w:tabs>
          <w:tab w:pos="3120" w:val="left" w:leader="none"/>
          <w:tab w:pos="3121" w:val="left" w:leader="none"/>
        </w:tabs>
        <w:spacing w:line="360" w:lineRule="auto" w:before="146" w:after="0"/>
        <w:ind w:left="3120" w:right="1130" w:hanging="531"/>
        <w:jc w:val="left"/>
        <w:rPr>
          <w:sz w:val="24"/>
        </w:rPr>
      </w:pPr>
      <w:r>
        <w:rPr>
          <w:sz w:val="24"/>
        </w:rPr>
        <w:t>Aprovação da proposta da Programação do Plano de Ação e Orçamento, pelo Plenário do respectivo</w:t>
      </w:r>
      <w:r>
        <w:rPr>
          <w:spacing w:val="2"/>
          <w:sz w:val="24"/>
        </w:rPr>
        <w:t> </w:t>
      </w:r>
      <w:r>
        <w:rPr>
          <w:sz w:val="24"/>
        </w:rPr>
        <w:t>CAU/UF.</w:t>
      </w:r>
    </w:p>
    <w:p>
      <w:pPr>
        <w:pStyle w:val="BodyText"/>
      </w:pPr>
    </w:p>
    <w:p>
      <w:pPr>
        <w:pStyle w:val="BodyText"/>
        <w:spacing w:before="3"/>
        <w:rPr>
          <w:sz w:val="28"/>
        </w:rPr>
      </w:pPr>
    </w:p>
    <w:p>
      <w:pPr>
        <w:pStyle w:val="Heading3"/>
        <w:numPr>
          <w:ilvl w:val="1"/>
          <w:numId w:val="2"/>
        </w:numPr>
        <w:tabs>
          <w:tab w:pos="3042" w:val="left" w:leader="none"/>
        </w:tabs>
        <w:spacing w:line="240" w:lineRule="auto" w:before="0" w:after="0"/>
        <w:ind w:left="3041" w:right="0" w:hanging="488"/>
        <w:jc w:val="left"/>
      </w:pPr>
      <w:bookmarkStart w:name="_bookmark31" w:id="51"/>
      <w:bookmarkEnd w:id="51"/>
      <w:r>
        <w:rPr>
          <w:color w:val="006666"/>
        </w:rPr>
        <w:t>D</w:t>
      </w:r>
      <w:r>
        <w:rPr>
          <w:color w:val="006666"/>
        </w:rPr>
        <w:t>a Disponibilização e da</w:t>
      </w:r>
      <w:r>
        <w:rPr>
          <w:color w:val="006666"/>
          <w:spacing w:val="-6"/>
        </w:rPr>
        <w:t> </w:t>
      </w:r>
      <w:r>
        <w:rPr>
          <w:color w:val="006666"/>
        </w:rPr>
        <w:t>Aprovação</w:t>
      </w:r>
    </w:p>
    <w:p>
      <w:pPr>
        <w:pStyle w:val="BodyText"/>
        <w:spacing w:before="5"/>
        <w:rPr>
          <w:b/>
          <w:sz w:val="30"/>
        </w:rPr>
      </w:pPr>
    </w:p>
    <w:p>
      <w:pPr>
        <w:pStyle w:val="BodyText"/>
        <w:spacing w:line="360" w:lineRule="auto"/>
        <w:ind w:left="1702" w:right="1124" w:firstLine="851"/>
        <w:jc w:val="both"/>
      </w:pPr>
      <w:r>
        <w:rPr/>
        <w:t>A</w:t>
      </w:r>
      <w:r>
        <w:rPr>
          <w:spacing w:val="-4"/>
        </w:rPr>
        <w:t> </w:t>
      </w:r>
      <w:r>
        <w:rPr/>
        <w:t>Programação</w:t>
      </w:r>
      <w:r>
        <w:rPr>
          <w:spacing w:val="-5"/>
        </w:rPr>
        <w:t> </w:t>
      </w:r>
      <w:r>
        <w:rPr/>
        <w:t>do</w:t>
      </w:r>
      <w:r>
        <w:rPr>
          <w:spacing w:val="-2"/>
        </w:rPr>
        <w:t> </w:t>
      </w:r>
      <w:r>
        <w:rPr/>
        <w:t>Plano</w:t>
      </w:r>
      <w:r>
        <w:rPr>
          <w:spacing w:val="-6"/>
        </w:rPr>
        <w:t> </w:t>
      </w:r>
      <w:r>
        <w:rPr/>
        <w:t>de</w:t>
      </w:r>
      <w:r>
        <w:rPr>
          <w:spacing w:val="-2"/>
        </w:rPr>
        <w:t> </w:t>
      </w:r>
      <w:r>
        <w:rPr/>
        <w:t>Ação</w:t>
      </w:r>
      <w:r>
        <w:rPr>
          <w:spacing w:val="-2"/>
        </w:rPr>
        <w:t> </w:t>
      </w:r>
      <w:r>
        <w:rPr/>
        <w:t>e</w:t>
      </w:r>
      <w:r>
        <w:rPr>
          <w:spacing w:val="-3"/>
        </w:rPr>
        <w:t> </w:t>
      </w:r>
      <w:r>
        <w:rPr/>
        <w:t>Orçamento</w:t>
      </w:r>
      <w:r>
        <w:rPr>
          <w:spacing w:val="-2"/>
        </w:rPr>
        <w:t> </w:t>
      </w:r>
      <w:r>
        <w:rPr/>
        <w:t>e</w:t>
      </w:r>
      <w:r>
        <w:rPr>
          <w:spacing w:val="-5"/>
        </w:rPr>
        <w:t> </w:t>
      </w:r>
      <w:r>
        <w:rPr/>
        <w:t>os</w:t>
      </w:r>
      <w:r>
        <w:rPr>
          <w:spacing w:val="-4"/>
        </w:rPr>
        <w:t> </w:t>
      </w:r>
      <w:r>
        <w:rPr/>
        <w:t>critérios</w:t>
      </w:r>
      <w:r>
        <w:rPr>
          <w:spacing w:val="-5"/>
        </w:rPr>
        <w:t> </w:t>
      </w:r>
      <w:r>
        <w:rPr/>
        <w:t>utilizados</w:t>
      </w:r>
      <w:r>
        <w:rPr>
          <w:spacing w:val="-3"/>
        </w:rPr>
        <w:t> </w:t>
      </w:r>
      <w:r>
        <w:rPr/>
        <w:t>para</w:t>
      </w:r>
      <w:r>
        <w:rPr>
          <w:spacing w:val="-3"/>
        </w:rPr>
        <w:t> </w:t>
      </w:r>
      <w:r>
        <w:rPr/>
        <w:t>embasar a estimativa das receitas próprias (aplicações financeiras e outras receitas), deverão ser formalmente remetidos ao CAU/BR, para o endereço eletrônico</w:t>
      </w:r>
      <w:r>
        <w:rPr>
          <w:spacing w:val="-29"/>
        </w:rPr>
        <w:t> </w:t>
      </w:r>
      <w:hyperlink r:id="rId24">
        <w:r>
          <w:rPr>
            <w:color w:val="0462C1"/>
            <w:u w:val="single" w:color="0462C1"/>
          </w:rPr>
          <w:t>planejamento@caubr.gov.br</w:t>
        </w:r>
      </w:hyperlink>
    </w:p>
    <w:p>
      <w:pPr>
        <w:spacing w:after="0" w:line="360" w:lineRule="auto"/>
        <w:jc w:val="both"/>
        <w:sectPr>
          <w:pgSz w:w="11910" w:h="16840"/>
          <w:pgMar w:header="590" w:footer="612" w:top="1460" w:bottom="800" w:left="0" w:right="0"/>
        </w:sectPr>
      </w:pPr>
    </w:p>
    <w:p>
      <w:pPr>
        <w:pStyle w:val="BodyText"/>
        <w:spacing w:before="5"/>
        <w:rPr>
          <w:sz w:val="14"/>
        </w:rPr>
      </w:pPr>
    </w:p>
    <w:p>
      <w:pPr>
        <w:spacing w:line="360" w:lineRule="auto" w:before="51"/>
        <w:ind w:left="1702" w:right="1131" w:firstLine="0"/>
        <w:jc w:val="left"/>
        <w:rPr>
          <w:sz w:val="24"/>
        </w:rPr>
      </w:pPr>
      <w:r>
        <w:rPr>
          <w:sz w:val="24"/>
        </w:rPr>
        <w:t>e para os e-mails dos respectivos analistas responsáveis, </w:t>
      </w:r>
      <w:r>
        <w:rPr>
          <w:b/>
          <w:sz w:val="24"/>
          <w:shd w:fill="D2D2D2" w:color="auto" w:val="clear"/>
        </w:rPr>
        <w:t>até 30 de Outubro/20</w:t>
      </w:r>
      <w:r>
        <w:rPr>
          <w:sz w:val="24"/>
          <w:shd w:fill="D2D2D2" w:color="auto" w:val="clear"/>
        </w:rPr>
        <w:t>, </w:t>
      </w:r>
      <w:r>
        <w:rPr>
          <w:sz w:val="24"/>
        </w:rPr>
        <w:t>com as deliberações de aprovação da proposta </w:t>
      </w:r>
      <w:r>
        <w:rPr>
          <w:b/>
          <w:sz w:val="24"/>
        </w:rPr>
        <w:t>até 27 de novembro/20</w:t>
      </w:r>
      <w:r>
        <w:rPr>
          <w:sz w:val="24"/>
        </w:rPr>
        <w:t>.</w:t>
      </w:r>
    </w:p>
    <w:p>
      <w:pPr>
        <w:pStyle w:val="BodyText"/>
      </w:pPr>
    </w:p>
    <w:p>
      <w:pPr>
        <w:pStyle w:val="BodyText"/>
        <w:spacing w:before="2"/>
        <w:rPr>
          <w:sz w:val="25"/>
        </w:rPr>
      </w:pPr>
    </w:p>
    <w:p>
      <w:pPr>
        <w:pStyle w:val="Heading3"/>
        <w:numPr>
          <w:ilvl w:val="1"/>
          <w:numId w:val="2"/>
        </w:numPr>
        <w:tabs>
          <w:tab w:pos="3042" w:val="left" w:leader="none"/>
        </w:tabs>
        <w:spacing w:line="240" w:lineRule="auto" w:before="0" w:after="0"/>
        <w:ind w:left="3041" w:right="0" w:hanging="488"/>
        <w:jc w:val="left"/>
      </w:pPr>
      <w:bookmarkStart w:name="_bookmark32" w:id="52"/>
      <w:bookmarkEnd w:id="52"/>
      <w:r>
        <w:rPr>
          <w:color w:val="006666"/>
        </w:rPr>
        <w:t>D</w:t>
      </w:r>
      <w:r>
        <w:rPr>
          <w:color w:val="006666"/>
        </w:rPr>
        <w:t>a Consolidação do Plano de Ação e Orçamento</w:t>
      </w:r>
      <w:r>
        <w:rPr>
          <w:color w:val="006666"/>
          <w:spacing w:val="-10"/>
        </w:rPr>
        <w:t> </w:t>
      </w:r>
      <w:r>
        <w:rPr>
          <w:color w:val="006666"/>
        </w:rPr>
        <w:t>2021</w:t>
      </w:r>
    </w:p>
    <w:p>
      <w:pPr>
        <w:pStyle w:val="BodyText"/>
        <w:spacing w:before="4"/>
        <w:rPr>
          <w:b/>
          <w:sz w:val="30"/>
        </w:rPr>
      </w:pPr>
    </w:p>
    <w:p>
      <w:pPr>
        <w:pStyle w:val="BodyText"/>
        <w:spacing w:line="360" w:lineRule="auto"/>
        <w:ind w:left="1702" w:right="1132" w:firstLine="851"/>
        <w:jc w:val="both"/>
      </w:pPr>
      <w:r>
        <w:rPr/>
        <w:t>O CAU/BR elaborará a Programação do Plano de Ação e Orçamento do CAU considerando as propostas de cada CAU/UF e as do CAU/BR, apreciadas pela Comissão de Planejamento e Finanças, submetendo à aprovação do seu Plenário, na reunião ordinária, de </w:t>
      </w:r>
      <w:r>
        <w:rPr>
          <w:b/>
        </w:rPr>
        <w:t>15 e 16 de dezembro/20</w:t>
      </w:r>
      <w:r>
        <w:rPr/>
        <w:t>.</w:t>
      </w:r>
    </w:p>
    <w:p>
      <w:pPr>
        <w:pStyle w:val="BodyText"/>
        <w:spacing w:line="360" w:lineRule="auto" w:before="161"/>
        <w:ind w:left="1702" w:right="1127" w:firstLine="851"/>
        <w:jc w:val="both"/>
      </w:pPr>
      <w:r>
        <w:rPr/>
        <w:t>Após</w:t>
      </w:r>
      <w:r>
        <w:rPr>
          <w:spacing w:val="-6"/>
        </w:rPr>
        <w:t> </w:t>
      </w:r>
      <w:r>
        <w:rPr/>
        <w:t>a</w:t>
      </w:r>
      <w:r>
        <w:rPr>
          <w:spacing w:val="-5"/>
        </w:rPr>
        <w:t> </w:t>
      </w:r>
      <w:r>
        <w:rPr/>
        <w:t>aprovação,</w:t>
      </w:r>
      <w:r>
        <w:rPr>
          <w:spacing w:val="-6"/>
        </w:rPr>
        <w:t> </w:t>
      </w:r>
      <w:r>
        <w:rPr/>
        <w:t>o</w:t>
      </w:r>
      <w:r>
        <w:rPr>
          <w:spacing w:val="-5"/>
        </w:rPr>
        <w:t> </w:t>
      </w:r>
      <w:r>
        <w:rPr/>
        <w:t>CAU/BR</w:t>
      </w:r>
      <w:r>
        <w:rPr>
          <w:spacing w:val="-5"/>
        </w:rPr>
        <w:t> </w:t>
      </w:r>
      <w:r>
        <w:rPr/>
        <w:t>comunicará</w:t>
      </w:r>
      <w:r>
        <w:rPr>
          <w:spacing w:val="-6"/>
        </w:rPr>
        <w:t> </w:t>
      </w:r>
      <w:r>
        <w:rPr/>
        <w:t>aos</w:t>
      </w:r>
      <w:r>
        <w:rPr>
          <w:spacing w:val="-6"/>
        </w:rPr>
        <w:t> </w:t>
      </w:r>
      <w:r>
        <w:rPr/>
        <w:t>respectivos</w:t>
      </w:r>
      <w:r>
        <w:rPr>
          <w:spacing w:val="-4"/>
        </w:rPr>
        <w:t> </w:t>
      </w:r>
      <w:r>
        <w:rPr/>
        <w:t>CAU/UF</w:t>
      </w:r>
      <w:r>
        <w:rPr>
          <w:spacing w:val="-5"/>
        </w:rPr>
        <w:t> </w:t>
      </w:r>
      <w:r>
        <w:rPr/>
        <w:t>e</w:t>
      </w:r>
      <w:r>
        <w:rPr>
          <w:spacing w:val="-7"/>
        </w:rPr>
        <w:t> </w:t>
      </w:r>
      <w:r>
        <w:rPr/>
        <w:t>fará</w:t>
      </w:r>
      <w:r>
        <w:rPr>
          <w:spacing w:val="-6"/>
        </w:rPr>
        <w:t> </w:t>
      </w:r>
      <w:r>
        <w:rPr/>
        <w:t>a</w:t>
      </w:r>
      <w:r>
        <w:rPr>
          <w:spacing w:val="-8"/>
        </w:rPr>
        <w:t> </w:t>
      </w:r>
      <w:r>
        <w:rPr/>
        <w:t>publicação no Diário Oficial da União da programação orçamentária aprovada, </w:t>
      </w:r>
      <w:r>
        <w:rPr>
          <w:b/>
        </w:rPr>
        <w:t>até 30 de</w:t>
      </w:r>
      <w:r>
        <w:rPr>
          <w:b/>
          <w:spacing w:val="-27"/>
        </w:rPr>
        <w:t> </w:t>
      </w:r>
      <w:r>
        <w:rPr>
          <w:b/>
        </w:rPr>
        <w:t>dezembro/20</w:t>
      </w:r>
      <w:r>
        <w:rPr/>
        <w:t>.</w:t>
      </w:r>
    </w:p>
    <w:p>
      <w:pPr>
        <w:spacing w:after="0" w:line="360" w:lineRule="auto"/>
        <w:jc w:val="both"/>
        <w:sectPr>
          <w:pgSz w:w="11910" w:h="16840"/>
          <w:pgMar w:header="590" w:footer="612" w:top="1460" w:bottom="800" w:left="0" w:right="0"/>
        </w:sectPr>
      </w:pPr>
    </w:p>
    <w:p>
      <w:pPr>
        <w:pStyle w:val="BodyText"/>
        <w:spacing w:before="10"/>
        <w:rPr>
          <w:sz w:val="15"/>
        </w:rPr>
      </w:pPr>
    </w:p>
    <w:p>
      <w:pPr>
        <w:pStyle w:val="Heading2"/>
        <w:numPr>
          <w:ilvl w:val="0"/>
          <w:numId w:val="2"/>
        </w:numPr>
        <w:tabs>
          <w:tab w:pos="2409" w:val="left" w:leader="none"/>
          <w:tab w:pos="2410" w:val="left" w:leader="none"/>
          <w:tab w:pos="4409" w:val="left" w:leader="none"/>
          <w:tab w:pos="5063" w:val="left" w:leader="none"/>
          <w:tab w:pos="7519" w:val="left" w:leader="none"/>
          <w:tab w:pos="8195" w:val="left" w:leader="none"/>
          <w:tab w:pos="9385" w:val="left" w:leader="none"/>
          <w:tab w:pos="10001" w:val="left" w:leader="none"/>
          <w:tab w:pos="11034" w:val="left" w:leader="none"/>
        </w:tabs>
        <w:spacing w:line="360" w:lineRule="auto" w:before="35" w:after="0"/>
        <w:ind w:left="1702" w:right="714" w:firstLine="0"/>
        <w:jc w:val="left"/>
      </w:pPr>
      <w:bookmarkStart w:name="_bookmark33" w:id="53"/>
      <w:bookmarkEnd w:id="53"/>
      <w:r>
        <w:rPr>
          <w:b w:val="0"/>
        </w:rPr>
      </w:r>
      <w:bookmarkStart w:name="_bookmark33" w:id="54"/>
      <w:bookmarkEnd w:id="54"/>
      <w:r>
        <w:rPr>
          <w:color w:val="006666"/>
        </w:rPr>
        <w:t>CALEN</w:t>
      </w:r>
      <w:r>
        <w:rPr>
          <w:color w:val="006666"/>
        </w:rPr>
        <w:t>DÁRIO</w:t>
        <w:tab/>
        <w:t>DA</w:t>
        <w:tab/>
        <w:t>PROGRAMAÇÃO</w:t>
        <w:tab/>
        <w:t>DO</w:t>
        <w:tab/>
        <w:t>PLANO</w:t>
        <w:tab/>
        <w:t>DE</w:t>
        <w:tab/>
        <w:t>AÇÃO</w:t>
        <w:tab/>
      </w:r>
      <w:r>
        <w:rPr>
          <w:color w:val="006666"/>
          <w:spacing w:val="-18"/>
        </w:rPr>
        <w:t>E </w:t>
      </w:r>
      <w:r>
        <w:rPr>
          <w:color w:val="006666"/>
        </w:rPr>
        <w:t>ORÇAMENTO DO CAU – EXERCÍCIO</w:t>
      </w:r>
      <w:r>
        <w:rPr>
          <w:color w:val="006666"/>
          <w:spacing w:val="2"/>
        </w:rPr>
        <w:t> </w:t>
      </w:r>
      <w:r>
        <w:rPr>
          <w:color w:val="006666"/>
        </w:rPr>
        <w:t>2021</w:t>
      </w:r>
    </w:p>
    <w:p>
      <w:pPr>
        <w:pStyle w:val="BodyText"/>
        <w:spacing w:before="6" w:after="1"/>
        <w:rPr>
          <w:b/>
          <w:sz w:val="21"/>
        </w:rPr>
      </w:pPr>
    </w:p>
    <w:tbl>
      <w:tblPr>
        <w:tblCellSpacing w:w="5" w:type="dxa"/>
        <w:tblW w:w="0" w:type="auto"/>
        <w:jc w:val="left"/>
        <w:tblInd w:w="1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26"/>
        <w:gridCol w:w="2815"/>
      </w:tblGrid>
      <w:tr>
        <w:trPr>
          <w:trHeight w:val="412" w:hRule="atLeast"/>
        </w:trPr>
        <w:tc>
          <w:tcPr>
            <w:tcW w:w="6426" w:type="dxa"/>
            <w:tcBorders>
              <w:top w:val="nil"/>
              <w:left w:val="nil"/>
            </w:tcBorders>
            <w:shd w:val="clear" w:color="auto" w:fill="006666"/>
          </w:tcPr>
          <w:p>
            <w:pPr>
              <w:pStyle w:val="TableParagraph"/>
              <w:spacing w:line="280" w:lineRule="exact"/>
              <w:ind w:left="2772" w:right="2130"/>
              <w:jc w:val="center"/>
              <w:rPr>
                <w:b/>
                <w:sz w:val="23"/>
              </w:rPr>
            </w:pPr>
            <w:r>
              <w:rPr>
                <w:b/>
                <w:color w:val="FFFFFF"/>
                <w:sz w:val="23"/>
              </w:rPr>
              <w:t>ESPECIFICAÇÃO</w:t>
            </w:r>
          </w:p>
        </w:tc>
        <w:tc>
          <w:tcPr>
            <w:tcW w:w="2815" w:type="dxa"/>
            <w:tcBorders>
              <w:top w:val="nil"/>
              <w:right w:val="nil"/>
            </w:tcBorders>
            <w:shd w:val="clear" w:color="auto" w:fill="006666"/>
          </w:tcPr>
          <w:p>
            <w:pPr>
              <w:pStyle w:val="TableParagraph"/>
              <w:spacing w:line="280" w:lineRule="exact"/>
              <w:ind w:left="1121" w:right="1116"/>
              <w:jc w:val="center"/>
              <w:rPr>
                <w:b/>
                <w:sz w:val="23"/>
              </w:rPr>
            </w:pPr>
            <w:r>
              <w:rPr>
                <w:b/>
                <w:color w:val="FFFFFF"/>
                <w:sz w:val="23"/>
              </w:rPr>
              <w:t>DATA</w:t>
            </w:r>
          </w:p>
        </w:tc>
      </w:tr>
      <w:tr>
        <w:trPr>
          <w:trHeight w:val="832" w:hRule="atLeast"/>
        </w:trPr>
        <w:tc>
          <w:tcPr>
            <w:tcW w:w="6426" w:type="dxa"/>
            <w:tcBorders>
              <w:left w:val="nil"/>
            </w:tcBorders>
            <w:shd w:val="clear" w:color="auto" w:fill="E7E6E6"/>
          </w:tcPr>
          <w:p>
            <w:pPr>
              <w:pStyle w:val="TableParagraph"/>
              <w:spacing w:line="280" w:lineRule="exact"/>
              <w:ind w:left="103"/>
              <w:rPr>
                <w:sz w:val="23"/>
              </w:rPr>
            </w:pPr>
            <w:r>
              <w:rPr>
                <w:sz w:val="23"/>
              </w:rPr>
              <w:t>Aprovação das Diretrizes para Elaboração do Plano de Ação e</w:t>
            </w:r>
          </w:p>
          <w:p>
            <w:pPr>
              <w:pStyle w:val="TableParagraph"/>
              <w:spacing w:before="139"/>
              <w:ind w:left="103"/>
              <w:rPr>
                <w:sz w:val="23"/>
              </w:rPr>
            </w:pPr>
            <w:r>
              <w:rPr>
                <w:sz w:val="23"/>
              </w:rPr>
              <w:t>Orçamento CAU – exercício 2021, pelo CPFI do CAU/BR</w:t>
            </w:r>
          </w:p>
        </w:tc>
        <w:tc>
          <w:tcPr>
            <w:tcW w:w="2815" w:type="dxa"/>
            <w:tcBorders>
              <w:right w:val="nil"/>
            </w:tcBorders>
            <w:shd w:val="clear" w:color="auto" w:fill="E7E6E6"/>
          </w:tcPr>
          <w:p>
            <w:pPr>
              <w:pStyle w:val="TableParagraph"/>
              <w:rPr>
                <w:b/>
                <w:sz w:val="17"/>
              </w:rPr>
            </w:pPr>
          </w:p>
          <w:p>
            <w:pPr>
              <w:pStyle w:val="TableParagraph"/>
              <w:ind w:right="97"/>
              <w:jc w:val="right"/>
              <w:rPr>
                <w:b/>
                <w:sz w:val="23"/>
              </w:rPr>
            </w:pPr>
            <w:r>
              <w:rPr>
                <w:b/>
                <w:sz w:val="23"/>
              </w:rPr>
              <w:t>16 de setembro/20</w:t>
            </w:r>
          </w:p>
        </w:tc>
      </w:tr>
      <w:tr>
        <w:trPr>
          <w:trHeight w:val="819" w:hRule="atLeast"/>
        </w:trPr>
        <w:tc>
          <w:tcPr>
            <w:tcW w:w="6426" w:type="dxa"/>
            <w:tcBorders>
              <w:left w:val="nil"/>
              <w:bottom w:val="nil"/>
            </w:tcBorders>
            <w:shd w:val="clear" w:color="auto" w:fill="E7E6E6"/>
          </w:tcPr>
          <w:p>
            <w:pPr>
              <w:pStyle w:val="TableParagraph"/>
              <w:spacing w:before="8"/>
              <w:rPr>
                <w:b/>
                <w:sz w:val="16"/>
              </w:rPr>
            </w:pPr>
          </w:p>
          <w:p>
            <w:pPr>
              <w:pStyle w:val="TableParagraph"/>
              <w:ind w:left="103"/>
              <w:rPr>
                <w:sz w:val="23"/>
              </w:rPr>
            </w:pPr>
            <w:r>
              <w:rPr>
                <w:sz w:val="23"/>
              </w:rPr>
              <w:t>Aprovação das Diretrizes 2021, pelo Plenário do CAU/BR</w:t>
            </w:r>
          </w:p>
        </w:tc>
        <w:tc>
          <w:tcPr>
            <w:tcW w:w="2815" w:type="dxa"/>
            <w:tcBorders>
              <w:bottom w:val="nil"/>
              <w:right w:val="nil"/>
            </w:tcBorders>
            <w:shd w:val="clear" w:color="auto" w:fill="E7E6E6"/>
          </w:tcPr>
          <w:p>
            <w:pPr>
              <w:pStyle w:val="TableParagraph"/>
              <w:spacing w:before="8"/>
              <w:rPr>
                <w:b/>
                <w:sz w:val="16"/>
              </w:rPr>
            </w:pPr>
          </w:p>
          <w:p>
            <w:pPr>
              <w:pStyle w:val="TableParagraph"/>
              <w:ind w:right="97"/>
              <w:jc w:val="right"/>
              <w:rPr>
                <w:b/>
                <w:sz w:val="23"/>
              </w:rPr>
            </w:pPr>
            <w:r>
              <w:rPr>
                <w:b/>
                <w:sz w:val="23"/>
              </w:rPr>
              <w:t>24 e 25 de setembro/20</w:t>
            </w:r>
          </w:p>
        </w:tc>
      </w:tr>
      <w:tr>
        <w:trPr>
          <w:trHeight w:val="830" w:hRule="atLeast"/>
        </w:trPr>
        <w:tc>
          <w:tcPr>
            <w:tcW w:w="6426" w:type="dxa"/>
            <w:tcBorders>
              <w:top w:val="nil"/>
              <w:left w:val="nil"/>
            </w:tcBorders>
            <w:shd w:val="clear" w:color="auto" w:fill="E7E6E6"/>
          </w:tcPr>
          <w:p>
            <w:pPr>
              <w:pStyle w:val="TableParagraph"/>
              <w:spacing w:before="1"/>
              <w:rPr>
                <w:b/>
                <w:sz w:val="17"/>
              </w:rPr>
            </w:pPr>
          </w:p>
          <w:p>
            <w:pPr>
              <w:pStyle w:val="TableParagraph"/>
              <w:ind w:left="103"/>
              <w:rPr>
                <w:sz w:val="23"/>
              </w:rPr>
            </w:pPr>
            <w:r>
              <w:rPr>
                <w:sz w:val="23"/>
              </w:rPr>
              <w:t>Envio das Diretrizes 2021 aos CAU/UF e às unidades do CAU/BR</w:t>
            </w:r>
          </w:p>
        </w:tc>
        <w:tc>
          <w:tcPr>
            <w:tcW w:w="2815" w:type="dxa"/>
            <w:tcBorders>
              <w:top w:val="nil"/>
              <w:right w:val="nil"/>
            </w:tcBorders>
            <w:shd w:val="clear" w:color="auto" w:fill="E7E6E6"/>
          </w:tcPr>
          <w:p>
            <w:pPr>
              <w:pStyle w:val="TableParagraph"/>
              <w:spacing w:before="1"/>
              <w:rPr>
                <w:b/>
                <w:sz w:val="17"/>
              </w:rPr>
            </w:pPr>
          </w:p>
          <w:p>
            <w:pPr>
              <w:pStyle w:val="TableParagraph"/>
              <w:ind w:right="95"/>
              <w:jc w:val="right"/>
              <w:rPr>
                <w:b/>
                <w:sz w:val="23"/>
              </w:rPr>
            </w:pPr>
            <w:r>
              <w:rPr>
                <w:b/>
                <w:sz w:val="23"/>
              </w:rPr>
              <w:t>Até 28 de setembro/20</w:t>
            </w:r>
          </w:p>
        </w:tc>
      </w:tr>
      <w:tr>
        <w:trPr>
          <w:trHeight w:val="959" w:hRule="atLeast"/>
        </w:trPr>
        <w:tc>
          <w:tcPr>
            <w:tcW w:w="6426" w:type="dxa"/>
            <w:tcBorders>
              <w:left w:val="nil"/>
            </w:tcBorders>
            <w:shd w:val="clear" w:color="auto" w:fill="E7E6E6"/>
          </w:tcPr>
          <w:p>
            <w:pPr>
              <w:pStyle w:val="TableParagraph"/>
              <w:spacing w:line="360" w:lineRule="auto" w:before="64"/>
              <w:ind w:left="103" w:right="1122"/>
              <w:rPr>
                <w:sz w:val="23"/>
              </w:rPr>
            </w:pPr>
            <w:r>
              <w:rPr>
                <w:sz w:val="23"/>
              </w:rPr>
              <w:t>Elaboração e Envio da Programação do Plano de Ação e Orçamento 2021 pelos CAU/UF e pelo CAU/BR</w:t>
            </w:r>
          </w:p>
        </w:tc>
        <w:tc>
          <w:tcPr>
            <w:tcW w:w="2815" w:type="dxa"/>
            <w:tcBorders>
              <w:right w:val="nil"/>
            </w:tcBorders>
            <w:shd w:val="clear" w:color="auto" w:fill="E7E6E6"/>
          </w:tcPr>
          <w:p>
            <w:pPr>
              <w:pStyle w:val="TableParagraph"/>
              <w:spacing w:line="360" w:lineRule="auto" w:before="64"/>
              <w:ind w:left="1022" w:right="85" w:firstLine="24"/>
              <w:rPr>
                <w:b/>
                <w:sz w:val="23"/>
              </w:rPr>
            </w:pPr>
            <w:r>
              <w:rPr>
                <w:b/>
                <w:sz w:val="23"/>
              </w:rPr>
              <w:t>28 de setembro a 30 de outubro/20</w:t>
            </w:r>
          </w:p>
        </w:tc>
      </w:tr>
      <w:tr>
        <w:trPr>
          <w:trHeight w:val="1254" w:hRule="atLeast"/>
        </w:trPr>
        <w:tc>
          <w:tcPr>
            <w:tcW w:w="6426" w:type="dxa"/>
            <w:tcBorders>
              <w:left w:val="nil"/>
            </w:tcBorders>
            <w:shd w:val="clear" w:color="auto" w:fill="E7E6E6"/>
          </w:tcPr>
          <w:p>
            <w:pPr>
              <w:pStyle w:val="TableParagraph"/>
              <w:spacing w:line="280" w:lineRule="exact"/>
              <w:ind w:left="103"/>
              <w:rPr>
                <w:sz w:val="23"/>
              </w:rPr>
            </w:pPr>
            <w:r>
              <w:rPr>
                <w:sz w:val="23"/>
              </w:rPr>
              <w:t>Prazo </w:t>
            </w:r>
            <w:r>
              <w:rPr>
                <w:b/>
                <w:sz w:val="23"/>
              </w:rPr>
              <w:t>FINAL </w:t>
            </w:r>
            <w:r>
              <w:rPr>
                <w:sz w:val="23"/>
              </w:rPr>
              <w:t>para envio da Programação dos Planos de Ação e</w:t>
            </w:r>
          </w:p>
          <w:p>
            <w:pPr>
              <w:pStyle w:val="TableParagraph"/>
              <w:spacing w:line="420" w:lineRule="atLeast" w:before="3"/>
              <w:ind w:left="103" w:right="589"/>
              <w:rPr>
                <w:sz w:val="23"/>
              </w:rPr>
            </w:pPr>
            <w:r>
              <w:rPr>
                <w:sz w:val="23"/>
              </w:rPr>
              <w:t>Orçamento 2021 e o envio das Deliberações de aprovação da Proposta pelo Plenário do CAU/UF</w:t>
            </w:r>
          </w:p>
        </w:tc>
        <w:tc>
          <w:tcPr>
            <w:tcW w:w="2815" w:type="dxa"/>
            <w:tcBorders>
              <w:right w:val="nil"/>
            </w:tcBorders>
            <w:shd w:val="clear" w:color="auto" w:fill="E7E6E6"/>
          </w:tcPr>
          <w:p>
            <w:pPr>
              <w:pStyle w:val="TableParagraph"/>
              <w:rPr>
                <w:b/>
                <w:sz w:val="22"/>
              </w:rPr>
            </w:pPr>
          </w:p>
          <w:p>
            <w:pPr>
              <w:pStyle w:val="TableParagraph"/>
              <w:spacing w:before="153"/>
              <w:ind w:right="97"/>
              <w:jc w:val="right"/>
              <w:rPr>
                <w:b/>
                <w:sz w:val="23"/>
              </w:rPr>
            </w:pPr>
            <w:r>
              <w:rPr>
                <w:b/>
                <w:sz w:val="23"/>
              </w:rPr>
              <w:t>Até 27 de novembro/20</w:t>
            </w:r>
          </w:p>
        </w:tc>
      </w:tr>
      <w:tr>
        <w:trPr>
          <w:trHeight w:val="1250" w:hRule="atLeast"/>
        </w:trPr>
        <w:tc>
          <w:tcPr>
            <w:tcW w:w="6426" w:type="dxa"/>
            <w:tcBorders>
              <w:left w:val="nil"/>
              <w:bottom w:val="nil"/>
            </w:tcBorders>
            <w:shd w:val="clear" w:color="auto" w:fill="E7E6E6"/>
          </w:tcPr>
          <w:p>
            <w:pPr>
              <w:pStyle w:val="TableParagraph"/>
              <w:spacing w:line="360" w:lineRule="auto"/>
              <w:ind w:left="103" w:right="287"/>
              <w:rPr>
                <w:sz w:val="23"/>
              </w:rPr>
            </w:pPr>
            <w:r>
              <w:rPr>
                <w:sz w:val="23"/>
              </w:rPr>
              <w:t>Assessoramento técnico aos CAU/UF e às unidades do CAU/BR e Análise das propostas da Programação dos Planos de Ação e</w:t>
            </w:r>
          </w:p>
          <w:p>
            <w:pPr>
              <w:pStyle w:val="TableParagraph"/>
              <w:ind w:left="103"/>
              <w:rPr>
                <w:sz w:val="23"/>
              </w:rPr>
            </w:pPr>
            <w:r>
              <w:rPr>
                <w:sz w:val="23"/>
              </w:rPr>
              <w:t>Orçamento 2021, pela GERPLAN</w:t>
            </w:r>
          </w:p>
        </w:tc>
        <w:tc>
          <w:tcPr>
            <w:tcW w:w="2815" w:type="dxa"/>
            <w:tcBorders>
              <w:bottom w:val="nil"/>
              <w:right w:val="nil"/>
            </w:tcBorders>
            <w:shd w:val="clear" w:color="auto" w:fill="E7E6E6"/>
          </w:tcPr>
          <w:p>
            <w:pPr>
              <w:pStyle w:val="TableParagraph"/>
              <w:spacing w:before="2"/>
              <w:rPr>
                <w:b/>
                <w:sz w:val="17"/>
              </w:rPr>
            </w:pPr>
          </w:p>
          <w:p>
            <w:pPr>
              <w:pStyle w:val="TableParagraph"/>
              <w:spacing w:line="360" w:lineRule="auto" w:before="1"/>
              <w:ind w:left="813" w:right="86" w:firstLine="232"/>
              <w:rPr>
                <w:b/>
                <w:sz w:val="23"/>
              </w:rPr>
            </w:pPr>
            <w:r>
              <w:rPr>
                <w:b/>
                <w:sz w:val="23"/>
              </w:rPr>
              <w:t>28 de setembro a 27 de novembro/20</w:t>
            </w:r>
          </w:p>
        </w:tc>
      </w:tr>
      <w:tr>
        <w:trPr>
          <w:trHeight w:val="1251" w:hRule="atLeast"/>
        </w:trPr>
        <w:tc>
          <w:tcPr>
            <w:tcW w:w="6426" w:type="dxa"/>
            <w:tcBorders>
              <w:top w:val="nil"/>
              <w:left w:val="nil"/>
            </w:tcBorders>
            <w:shd w:val="clear" w:color="auto" w:fill="E7E6E6"/>
          </w:tcPr>
          <w:p>
            <w:pPr>
              <w:pStyle w:val="TableParagraph"/>
              <w:spacing w:line="360" w:lineRule="auto"/>
              <w:ind w:left="103" w:right="264"/>
              <w:rPr>
                <w:sz w:val="23"/>
              </w:rPr>
            </w:pPr>
            <w:r>
              <w:rPr>
                <w:sz w:val="23"/>
              </w:rPr>
              <w:t>Elaboração da minuta de consolidação da Programação do Plano de Ação e Orçamento do CAU – exercício 2021 e envio para CFPI</w:t>
            </w:r>
          </w:p>
          <w:p>
            <w:pPr>
              <w:pStyle w:val="TableParagraph"/>
              <w:ind w:left="103"/>
              <w:rPr>
                <w:sz w:val="23"/>
              </w:rPr>
            </w:pPr>
            <w:r>
              <w:rPr>
                <w:sz w:val="23"/>
              </w:rPr>
              <w:t>do CAU- BR</w:t>
            </w:r>
          </w:p>
        </w:tc>
        <w:tc>
          <w:tcPr>
            <w:tcW w:w="2815" w:type="dxa"/>
            <w:tcBorders>
              <w:top w:val="nil"/>
              <w:right w:val="nil"/>
            </w:tcBorders>
            <w:shd w:val="clear" w:color="auto" w:fill="E7E6E6"/>
          </w:tcPr>
          <w:p>
            <w:pPr>
              <w:pStyle w:val="TableParagraph"/>
              <w:rPr>
                <w:b/>
                <w:sz w:val="22"/>
              </w:rPr>
            </w:pPr>
          </w:p>
          <w:p>
            <w:pPr>
              <w:pStyle w:val="TableParagraph"/>
              <w:spacing w:before="149"/>
              <w:ind w:right="97"/>
              <w:jc w:val="right"/>
              <w:rPr>
                <w:b/>
                <w:sz w:val="23"/>
              </w:rPr>
            </w:pPr>
            <w:r>
              <w:rPr>
                <w:b/>
                <w:sz w:val="23"/>
              </w:rPr>
              <w:t>Até 30 de novembro/20</w:t>
            </w:r>
          </w:p>
        </w:tc>
      </w:tr>
      <w:tr>
        <w:trPr>
          <w:trHeight w:val="1009" w:hRule="atLeast"/>
        </w:trPr>
        <w:tc>
          <w:tcPr>
            <w:tcW w:w="6426" w:type="dxa"/>
            <w:tcBorders>
              <w:left w:val="nil"/>
            </w:tcBorders>
            <w:shd w:val="clear" w:color="auto" w:fill="E7E6E6"/>
          </w:tcPr>
          <w:p>
            <w:pPr>
              <w:pStyle w:val="TableParagraph"/>
              <w:spacing w:line="360" w:lineRule="auto" w:before="88"/>
              <w:ind w:left="103" w:right="487"/>
              <w:rPr>
                <w:sz w:val="23"/>
              </w:rPr>
            </w:pPr>
            <w:r>
              <w:rPr>
                <w:sz w:val="23"/>
              </w:rPr>
              <w:t>Aprovação da Programação do Plano de Ação e Orçamento do CAU – exercício 2021, pela CPFI do CAU/BR</w:t>
            </w:r>
          </w:p>
        </w:tc>
        <w:tc>
          <w:tcPr>
            <w:tcW w:w="2815" w:type="dxa"/>
            <w:tcBorders>
              <w:right w:val="nil"/>
            </w:tcBorders>
            <w:shd w:val="clear" w:color="auto" w:fill="E7E6E6"/>
          </w:tcPr>
          <w:p>
            <w:pPr>
              <w:pStyle w:val="TableParagraph"/>
              <w:spacing w:before="6"/>
              <w:rPr>
                <w:b/>
                <w:sz w:val="24"/>
              </w:rPr>
            </w:pPr>
          </w:p>
          <w:p>
            <w:pPr>
              <w:pStyle w:val="TableParagraph"/>
              <w:ind w:right="95"/>
              <w:jc w:val="right"/>
              <w:rPr>
                <w:b/>
                <w:sz w:val="23"/>
              </w:rPr>
            </w:pPr>
            <w:r>
              <w:rPr>
                <w:b/>
                <w:sz w:val="23"/>
              </w:rPr>
              <w:t>03-04 de dezembro/20</w:t>
            </w:r>
          </w:p>
        </w:tc>
      </w:tr>
      <w:tr>
        <w:trPr>
          <w:trHeight w:val="1009" w:hRule="atLeast"/>
        </w:trPr>
        <w:tc>
          <w:tcPr>
            <w:tcW w:w="6426" w:type="dxa"/>
            <w:tcBorders>
              <w:left w:val="nil"/>
            </w:tcBorders>
            <w:shd w:val="clear" w:color="auto" w:fill="E7E6E6"/>
          </w:tcPr>
          <w:p>
            <w:pPr>
              <w:pStyle w:val="TableParagraph"/>
              <w:spacing w:before="88"/>
              <w:ind w:left="103"/>
              <w:rPr>
                <w:sz w:val="23"/>
              </w:rPr>
            </w:pPr>
            <w:r>
              <w:rPr>
                <w:sz w:val="23"/>
              </w:rPr>
              <w:t>Aprovação da Programação do Plano e Orçamento do CAU –</w:t>
            </w:r>
          </w:p>
          <w:p>
            <w:pPr>
              <w:pStyle w:val="TableParagraph"/>
              <w:spacing w:before="141"/>
              <w:ind w:left="103"/>
              <w:rPr>
                <w:sz w:val="23"/>
              </w:rPr>
            </w:pPr>
            <w:r>
              <w:rPr>
                <w:sz w:val="23"/>
              </w:rPr>
              <w:t>exercício 2021, pelo Plenário do CAU/BR</w:t>
            </w:r>
          </w:p>
        </w:tc>
        <w:tc>
          <w:tcPr>
            <w:tcW w:w="2815" w:type="dxa"/>
            <w:tcBorders>
              <w:right w:val="nil"/>
            </w:tcBorders>
            <w:shd w:val="clear" w:color="auto" w:fill="E7E6E6"/>
          </w:tcPr>
          <w:p>
            <w:pPr>
              <w:pStyle w:val="TableParagraph"/>
              <w:spacing w:before="6"/>
              <w:rPr>
                <w:b/>
                <w:sz w:val="24"/>
              </w:rPr>
            </w:pPr>
          </w:p>
          <w:p>
            <w:pPr>
              <w:pStyle w:val="TableParagraph"/>
              <w:ind w:right="95"/>
              <w:jc w:val="right"/>
              <w:rPr>
                <w:b/>
                <w:sz w:val="23"/>
              </w:rPr>
            </w:pPr>
            <w:r>
              <w:rPr>
                <w:b/>
                <w:sz w:val="23"/>
              </w:rPr>
              <w:t>15-16 de dezembro/20</w:t>
            </w:r>
          </w:p>
        </w:tc>
      </w:tr>
      <w:tr>
        <w:trPr>
          <w:trHeight w:val="1008" w:hRule="atLeast"/>
        </w:trPr>
        <w:tc>
          <w:tcPr>
            <w:tcW w:w="6426" w:type="dxa"/>
            <w:tcBorders>
              <w:left w:val="nil"/>
              <w:bottom w:val="nil"/>
            </w:tcBorders>
            <w:shd w:val="clear" w:color="auto" w:fill="E7E6E6"/>
          </w:tcPr>
          <w:p>
            <w:pPr>
              <w:pStyle w:val="TableParagraph"/>
              <w:spacing w:before="90"/>
              <w:ind w:left="103"/>
              <w:rPr>
                <w:sz w:val="23"/>
              </w:rPr>
            </w:pPr>
            <w:r>
              <w:rPr>
                <w:sz w:val="23"/>
              </w:rPr>
              <w:t>Envio, aos CAU/UF, a Programação do Plano e Orçamento do CAU</w:t>
            </w:r>
          </w:p>
          <w:p>
            <w:pPr>
              <w:pStyle w:val="TableParagraph"/>
              <w:spacing w:before="140"/>
              <w:ind w:left="103"/>
              <w:rPr>
                <w:sz w:val="23"/>
              </w:rPr>
            </w:pPr>
            <w:r>
              <w:rPr>
                <w:sz w:val="23"/>
              </w:rPr>
              <w:t>– exercício 2021, na forma aprovada pelo Plenário do CAU/BR</w:t>
            </w:r>
          </w:p>
        </w:tc>
        <w:tc>
          <w:tcPr>
            <w:tcW w:w="2815" w:type="dxa"/>
            <w:tcBorders>
              <w:bottom w:val="nil"/>
              <w:right w:val="nil"/>
            </w:tcBorders>
            <w:shd w:val="clear" w:color="auto" w:fill="E7E6E6"/>
          </w:tcPr>
          <w:p>
            <w:pPr>
              <w:pStyle w:val="TableParagraph"/>
              <w:spacing w:before="6"/>
              <w:rPr>
                <w:b/>
                <w:sz w:val="24"/>
              </w:rPr>
            </w:pPr>
          </w:p>
          <w:p>
            <w:pPr>
              <w:pStyle w:val="TableParagraph"/>
              <w:ind w:right="95"/>
              <w:jc w:val="right"/>
              <w:rPr>
                <w:b/>
                <w:sz w:val="23"/>
              </w:rPr>
            </w:pPr>
            <w:r>
              <w:rPr>
                <w:b/>
                <w:sz w:val="23"/>
              </w:rPr>
              <w:t>Até 27 de dezembro/20</w:t>
            </w:r>
          </w:p>
        </w:tc>
      </w:tr>
      <w:tr>
        <w:trPr>
          <w:trHeight w:val="1008" w:hRule="atLeast"/>
        </w:trPr>
        <w:tc>
          <w:tcPr>
            <w:tcW w:w="6426" w:type="dxa"/>
            <w:tcBorders>
              <w:top w:val="nil"/>
              <w:left w:val="nil"/>
              <w:bottom w:val="nil"/>
            </w:tcBorders>
            <w:shd w:val="clear" w:color="auto" w:fill="E7E6E6"/>
          </w:tcPr>
          <w:p>
            <w:pPr>
              <w:pStyle w:val="TableParagraph"/>
              <w:spacing w:before="86"/>
              <w:ind w:left="103"/>
              <w:rPr>
                <w:sz w:val="23"/>
              </w:rPr>
            </w:pPr>
            <w:r>
              <w:rPr>
                <w:sz w:val="23"/>
              </w:rPr>
              <w:t>Envio, ao Diário Oficial da União – DOU, a Programação do CAU –</w:t>
            </w:r>
          </w:p>
          <w:p>
            <w:pPr>
              <w:pStyle w:val="TableParagraph"/>
              <w:spacing w:before="140"/>
              <w:ind w:left="103"/>
              <w:rPr>
                <w:sz w:val="23"/>
              </w:rPr>
            </w:pPr>
            <w:r>
              <w:rPr>
                <w:sz w:val="23"/>
              </w:rPr>
              <w:t>exercício 2021, para publicação</w:t>
            </w:r>
          </w:p>
        </w:tc>
        <w:tc>
          <w:tcPr>
            <w:tcW w:w="2815" w:type="dxa"/>
            <w:tcBorders>
              <w:top w:val="nil"/>
              <w:bottom w:val="nil"/>
              <w:right w:val="nil"/>
            </w:tcBorders>
            <w:shd w:val="clear" w:color="auto" w:fill="E7E6E6"/>
          </w:tcPr>
          <w:p>
            <w:pPr>
              <w:pStyle w:val="TableParagraph"/>
              <w:spacing w:before="2"/>
              <w:rPr>
                <w:b/>
                <w:sz w:val="24"/>
              </w:rPr>
            </w:pPr>
          </w:p>
          <w:p>
            <w:pPr>
              <w:pStyle w:val="TableParagraph"/>
              <w:ind w:right="95"/>
              <w:jc w:val="right"/>
              <w:rPr>
                <w:b/>
                <w:sz w:val="23"/>
              </w:rPr>
            </w:pPr>
            <w:r>
              <w:rPr>
                <w:b/>
                <w:sz w:val="23"/>
              </w:rPr>
              <w:t>Até 30 de dezembro/20</w:t>
            </w:r>
          </w:p>
        </w:tc>
      </w:tr>
    </w:tbl>
    <w:p>
      <w:pPr>
        <w:spacing w:after="0"/>
        <w:jc w:val="right"/>
        <w:rPr>
          <w:sz w:val="23"/>
        </w:rPr>
        <w:sectPr>
          <w:pgSz w:w="11910" w:h="16840"/>
          <w:pgMar w:header="590" w:footer="612" w:top="1460" w:bottom="800" w:left="0" w:right="0"/>
        </w:sectPr>
      </w:pPr>
    </w:p>
    <w:p>
      <w:pPr>
        <w:pStyle w:val="BodyText"/>
        <w:spacing w:before="10"/>
        <w:rPr>
          <w:b/>
          <w:sz w:val="15"/>
        </w:rPr>
      </w:pPr>
    </w:p>
    <w:p>
      <w:pPr>
        <w:pStyle w:val="Heading2"/>
        <w:numPr>
          <w:ilvl w:val="0"/>
          <w:numId w:val="2"/>
        </w:numPr>
        <w:tabs>
          <w:tab w:pos="1986" w:val="left" w:leader="none"/>
        </w:tabs>
        <w:spacing w:line="240" w:lineRule="auto" w:before="35" w:after="0"/>
        <w:ind w:left="1985" w:right="0" w:hanging="284"/>
        <w:jc w:val="left"/>
      </w:pPr>
      <w:bookmarkStart w:name="_bookmark34" w:id="55"/>
      <w:bookmarkEnd w:id="55"/>
      <w:r>
        <w:rPr>
          <w:b w:val="0"/>
        </w:rPr>
      </w:r>
      <w:bookmarkStart w:name="_bookmark34" w:id="56"/>
      <w:bookmarkEnd w:id="56"/>
      <w:r>
        <w:rPr>
          <w:color w:val="006666"/>
        </w:rPr>
        <w:t>ANEXOS</w:t>
      </w:r>
    </w:p>
    <w:p>
      <w:pPr>
        <w:spacing w:before="196"/>
        <w:ind w:left="1702" w:right="0" w:firstLine="0"/>
        <w:jc w:val="left"/>
        <w:rPr>
          <w:b/>
          <w:i/>
          <w:sz w:val="21"/>
        </w:rPr>
      </w:pPr>
      <w:hyperlink w:history="true" w:anchor="_bookmark35">
        <w:r>
          <w:rPr>
            <w:b/>
            <w:i/>
            <w:color w:val="006FC0"/>
            <w:sz w:val="21"/>
            <w:u w:val="single" w:color="006FC0"/>
          </w:rPr>
          <w:t>ANEXO I – Indicadores Institucionais e de Resultado – CAU UF</w:t>
        </w:r>
      </w:hyperlink>
    </w:p>
    <w:p>
      <w:pPr>
        <w:pStyle w:val="BodyText"/>
        <w:spacing w:before="11"/>
        <w:rPr>
          <w:b/>
          <w:i/>
          <w:sz w:val="14"/>
        </w:rPr>
      </w:pPr>
    </w:p>
    <w:p>
      <w:pPr>
        <w:spacing w:before="59"/>
        <w:ind w:left="1702" w:right="0" w:firstLine="0"/>
        <w:jc w:val="left"/>
        <w:rPr>
          <w:b/>
          <w:i/>
          <w:sz w:val="21"/>
        </w:rPr>
      </w:pPr>
      <w:hyperlink w:history="true" w:anchor="_bookmark37">
        <w:r>
          <w:rPr>
            <w:b/>
            <w:i/>
            <w:color w:val="006FC0"/>
            <w:sz w:val="21"/>
            <w:u w:val="single" w:color="006FC0"/>
          </w:rPr>
          <w:t>ANEXO II – Indicadores Institucionais e de Resultado – CAU BR</w:t>
        </w:r>
      </w:hyperlink>
    </w:p>
    <w:p>
      <w:pPr>
        <w:pStyle w:val="BodyText"/>
        <w:spacing w:before="11"/>
        <w:rPr>
          <w:b/>
          <w:i/>
          <w:sz w:val="14"/>
        </w:rPr>
      </w:pPr>
    </w:p>
    <w:p>
      <w:pPr>
        <w:spacing w:before="58"/>
        <w:ind w:left="1702" w:right="0" w:firstLine="0"/>
        <w:jc w:val="left"/>
        <w:rPr>
          <w:b/>
          <w:i/>
          <w:sz w:val="21"/>
        </w:rPr>
      </w:pPr>
      <w:hyperlink w:history="true" w:anchor="_bookmark38">
        <w:r>
          <w:rPr>
            <w:b/>
            <w:i/>
            <w:color w:val="006FC0"/>
            <w:sz w:val="21"/>
            <w:u w:val="single" w:color="006FC0"/>
          </w:rPr>
          <w:t>ANEXO III – CAU/UF – Posição de Arquitetos e Urbanistas, Empresas e RRT</w:t>
        </w:r>
      </w:hyperlink>
    </w:p>
    <w:p>
      <w:pPr>
        <w:pStyle w:val="BodyText"/>
        <w:spacing w:before="9"/>
        <w:rPr>
          <w:b/>
          <w:i/>
          <w:sz w:val="14"/>
        </w:rPr>
      </w:pPr>
    </w:p>
    <w:p>
      <w:pPr>
        <w:spacing w:before="58"/>
        <w:ind w:left="1021" w:right="1118" w:firstLine="0"/>
        <w:jc w:val="center"/>
        <w:rPr>
          <w:b/>
          <w:i/>
          <w:sz w:val="21"/>
        </w:rPr>
      </w:pPr>
      <w:hyperlink w:history="true" w:anchor="_bookmark39">
        <w:r>
          <w:rPr>
            <w:b/>
            <w:i/>
            <w:color w:val="006FC0"/>
            <w:sz w:val="21"/>
            <w:u w:val="single" w:color="006FC0"/>
          </w:rPr>
          <w:t>ANEXO IV – Projeção da Quantidade de Pagantes x Receita Total do CAU – Exercício 2021 (100%)</w:t>
        </w:r>
      </w:hyperlink>
    </w:p>
    <w:p>
      <w:pPr>
        <w:pStyle w:val="BodyText"/>
        <w:spacing w:before="11"/>
        <w:rPr>
          <w:b/>
          <w:i/>
          <w:sz w:val="14"/>
        </w:rPr>
      </w:pPr>
    </w:p>
    <w:p>
      <w:pPr>
        <w:spacing w:before="59"/>
        <w:ind w:left="1702" w:right="0" w:firstLine="0"/>
        <w:jc w:val="left"/>
        <w:rPr>
          <w:b/>
          <w:i/>
          <w:sz w:val="21"/>
        </w:rPr>
      </w:pPr>
      <w:hyperlink w:history="true" w:anchor="_bookmark40">
        <w:r>
          <w:rPr>
            <w:b/>
            <w:i/>
            <w:color w:val="006FC0"/>
            <w:sz w:val="21"/>
            <w:u w:val="single" w:color="006FC0"/>
          </w:rPr>
          <w:t>ANEXO V – Projeção da Receita dos CAU/UF – Exercício 2021 (80%)</w:t>
        </w:r>
      </w:hyperlink>
    </w:p>
    <w:p>
      <w:pPr>
        <w:pStyle w:val="BodyText"/>
        <w:spacing w:before="12"/>
        <w:rPr>
          <w:b/>
          <w:i/>
          <w:sz w:val="14"/>
        </w:rPr>
      </w:pPr>
    </w:p>
    <w:p>
      <w:pPr>
        <w:spacing w:before="58"/>
        <w:ind w:left="1702" w:right="1131" w:firstLine="0"/>
        <w:jc w:val="left"/>
        <w:rPr>
          <w:b/>
          <w:i/>
          <w:sz w:val="21"/>
        </w:rPr>
      </w:pPr>
      <w:hyperlink w:history="true" w:anchor="_bookmark41">
        <w:r>
          <w:rPr>
            <w:b/>
            <w:i/>
            <w:color w:val="006FC0"/>
            <w:sz w:val="21"/>
            <w:u w:val="single" w:color="006FC0"/>
          </w:rPr>
          <w:t>ANEXO VI – Fundo de Apoio Financeiro aos CAU/UF – Exercício 2021 – Destinação dos Recursos por</w:t>
        </w:r>
      </w:hyperlink>
      <w:r>
        <w:rPr>
          <w:b/>
          <w:i/>
          <w:color w:val="006FC0"/>
          <w:sz w:val="21"/>
        </w:rPr>
        <w:t> </w:t>
      </w:r>
      <w:hyperlink w:history="true" w:anchor="_bookmark41">
        <w:r>
          <w:rPr>
            <w:b/>
            <w:i/>
            <w:color w:val="006FC0"/>
            <w:sz w:val="21"/>
            <w:u w:val="single" w:color="006FC0"/>
          </w:rPr>
          <w:t>CAU/Básico </w:t>
        </w:r>
      </w:hyperlink>
      <w:r>
        <w:rPr>
          <w:b/>
          <w:i/>
          <w:color w:val="006FC0"/>
          <w:sz w:val="21"/>
          <w:u w:val="single" w:color="006FC0"/>
        </w:rPr>
        <w:t>(Repasse)</w:t>
      </w:r>
    </w:p>
    <w:p>
      <w:pPr>
        <w:pStyle w:val="BodyText"/>
        <w:spacing w:before="9"/>
        <w:rPr>
          <w:b/>
          <w:i/>
          <w:sz w:val="14"/>
        </w:rPr>
      </w:pPr>
    </w:p>
    <w:p>
      <w:pPr>
        <w:spacing w:before="59"/>
        <w:ind w:left="1702" w:right="1131" w:firstLine="0"/>
        <w:jc w:val="left"/>
        <w:rPr>
          <w:b/>
          <w:i/>
          <w:sz w:val="21"/>
        </w:rPr>
      </w:pPr>
      <w:hyperlink w:history="true" w:anchor="_bookmark42">
        <w:r>
          <w:rPr>
            <w:b/>
            <w:i/>
            <w:color w:val="006FC0"/>
            <w:sz w:val="21"/>
            <w:u w:val="single" w:color="006FC0"/>
          </w:rPr>
          <w:t>ANEXO VI.I – Fundo de Apoio Financeiro aos CAU/UF – Exercício 2021 – Participação dos CAU/UF e</w:t>
        </w:r>
      </w:hyperlink>
      <w:r>
        <w:rPr>
          <w:b/>
          <w:i/>
          <w:color w:val="006FC0"/>
          <w:sz w:val="21"/>
        </w:rPr>
        <w:t> </w:t>
      </w:r>
      <w:hyperlink w:history="true" w:anchor="_bookmark42">
        <w:r>
          <w:rPr>
            <w:b/>
            <w:i/>
            <w:color w:val="006FC0"/>
            <w:sz w:val="21"/>
            <w:u w:val="single" w:color="006FC0"/>
          </w:rPr>
          <w:t>CAU/BR </w:t>
        </w:r>
      </w:hyperlink>
      <w:r>
        <w:rPr>
          <w:b/>
          <w:i/>
          <w:color w:val="006FC0"/>
          <w:sz w:val="21"/>
          <w:u w:val="single" w:color="006FC0"/>
        </w:rPr>
        <w:t>(Aporte)</w:t>
      </w:r>
    </w:p>
    <w:p>
      <w:pPr>
        <w:pStyle w:val="BodyText"/>
        <w:spacing w:before="11"/>
        <w:rPr>
          <w:b/>
          <w:i/>
          <w:sz w:val="14"/>
        </w:rPr>
      </w:pPr>
    </w:p>
    <w:p>
      <w:pPr>
        <w:spacing w:before="59"/>
        <w:ind w:left="1702" w:right="0" w:firstLine="0"/>
        <w:jc w:val="left"/>
        <w:rPr>
          <w:b/>
          <w:i/>
          <w:sz w:val="21"/>
        </w:rPr>
      </w:pPr>
      <w:hyperlink w:history="true" w:anchor="_bookmark43">
        <w:r>
          <w:rPr>
            <w:b/>
            <w:i/>
            <w:color w:val="006FC0"/>
            <w:sz w:val="21"/>
            <w:u w:val="single" w:color="006FC0"/>
          </w:rPr>
          <w:t>ANEXO</w:t>
        </w:r>
        <w:r>
          <w:rPr>
            <w:b/>
            <w:i/>
            <w:color w:val="006FC0"/>
            <w:spacing w:val="-11"/>
            <w:sz w:val="21"/>
            <w:u w:val="single" w:color="006FC0"/>
          </w:rPr>
          <w:t> </w:t>
        </w:r>
        <w:r>
          <w:rPr>
            <w:b/>
            <w:i/>
            <w:color w:val="006FC0"/>
            <w:sz w:val="21"/>
            <w:u w:val="single" w:color="006FC0"/>
          </w:rPr>
          <w:t>VII</w:t>
        </w:r>
        <w:r>
          <w:rPr>
            <w:b/>
            <w:i/>
            <w:color w:val="006FC0"/>
            <w:spacing w:val="-10"/>
            <w:sz w:val="21"/>
            <w:u w:val="single" w:color="006FC0"/>
          </w:rPr>
          <w:t> </w:t>
        </w:r>
        <w:r>
          <w:rPr>
            <w:b/>
            <w:i/>
            <w:color w:val="006FC0"/>
            <w:sz w:val="21"/>
            <w:u w:val="single" w:color="006FC0"/>
          </w:rPr>
          <w:t>–</w:t>
        </w:r>
        <w:r>
          <w:rPr>
            <w:b/>
            <w:i/>
            <w:color w:val="006FC0"/>
            <w:spacing w:val="-10"/>
            <w:sz w:val="21"/>
            <w:u w:val="single" w:color="006FC0"/>
          </w:rPr>
          <w:t> </w:t>
        </w:r>
        <w:r>
          <w:rPr>
            <w:b/>
            <w:i/>
            <w:color w:val="006FC0"/>
            <w:sz w:val="21"/>
            <w:u w:val="single" w:color="006FC0"/>
          </w:rPr>
          <w:t>Demonstrativo</w:t>
        </w:r>
        <w:r>
          <w:rPr>
            <w:b/>
            <w:i/>
            <w:color w:val="006FC0"/>
            <w:spacing w:val="-12"/>
            <w:sz w:val="21"/>
            <w:u w:val="single" w:color="006FC0"/>
          </w:rPr>
          <w:t> </w:t>
        </w:r>
        <w:r>
          <w:rPr>
            <w:b/>
            <w:i/>
            <w:color w:val="006FC0"/>
            <w:sz w:val="21"/>
            <w:u w:val="single" w:color="006FC0"/>
          </w:rPr>
          <w:t>da</w:t>
        </w:r>
        <w:r>
          <w:rPr>
            <w:b/>
            <w:i/>
            <w:color w:val="006FC0"/>
            <w:spacing w:val="-9"/>
            <w:sz w:val="21"/>
            <w:u w:val="single" w:color="006FC0"/>
          </w:rPr>
          <w:t> </w:t>
        </w:r>
        <w:r>
          <w:rPr>
            <w:b/>
            <w:i/>
            <w:color w:val="006FC0"/>
            <w:sz w:val="21"/>
            <w:u w:val="single" w:color="006FC0"/>
          </w:rPr>
          <w:t>Participação</w:t>
        </w:r>
        <w:r>
          <w:rPr>
            <w:b/>
            <w:i/>
            <w:color w:val="006FC0"/>
            <w:spacing w:val="-10"/>
            <w:sz w:val="21"/>
            <w:u w:val="single" w:color="006FC0"/>
          </w:rPr>
          <w:t> </w:t>
        </w:r>
        <w:r>
          <w:rPr>
            <w:b/>
            <w:i/>
            <w:color w:val="006FC0"/>
            <w:sz w:val="21"/>
            <w:u w:val="single" w:color="006FC0"/>
          </w:rPr>
          <w:t>dos</w:t>
        </w:r>
        <w:r>
          <w:rPr>
            <w:b/>
            <w:i/>
            <w:color w:val="006FC0"/>
            <w:spacing w:val="-10"/>
            <w:sz w:val="21"/>
            <w:u w:val="single" w:color="006FC0"/>
          </w:rPr>
          <w:t> </w:t>
        </w:r>
        <w:r>
          <w:rPr>
            <w:b/>
            <w:i/>
            <w:color w:val="006FC0"/>
            <w:sz w:val="21"/>
            <w:u w:val="single" w:color="006FC0"/>
          </w:rPr>
          <w:t>CAU/UF</w:t>
        </w:r>
        <w:r>
          <w:rPr>
            <w:b/>
            <w:i/>
            <w:color w:val="006FC0"/>
            <w:spacing w:val="-13"/>
            <w:sz w:val="21"/>
            <w:u w:val="single" w:color="006FC0"/>
          </w:rPr>
          <w:t> </w:t>
        </w:r>
        <w:r>
          <w:rPr>
            <w:b/>
            <w:i/>
            <w:color w:val="006FC0"/>
            <w:sz w:val="21"/>
            <w:u w:val="single" w:color="006FC0"/>
          </w:rPr>
          <w:t>e</w:t>
        </w:r>
        <w:r>
          <w:rPr>
            <w:b/>
            <w:i/>
            <w:color w:val="006FC0"/>
            <w:spacing w:val="-9"/>
            <w:sz w:val="21"/>
            <w:u w:val="single" w:color="006FC0"/>
          </w:rPr>
          <w:t> </w:t>
        </w:r>
        <w:r>
          <w:rPr>
            <w:b/>
            <w:i/>
            <w:color w:val="006FC0"/>
            <w:sz w:val="21"/>
            <w:u w:val="single" w:color="006FC0"/>
          </w:rPr>
          <w:t>do</w:t>
        </w:r>
        <w:r>
          <w:rPr>
            <w:b/>
            <w:i/>
            <w:color w:val="006FC0"/>
            <w:spacing w:val="-12"/>
            <w:sz w:val="21"/>
            <w:u w:val="single" w:color="006FC0"/>
          </w:rPr>
          <w:t> </w:t>
        </w:r>
        <w:r>
          <w:rPr>
            <w:b/>
            <w:i/>
            <w:color w:val="006FC0"/>
            <w:sz w:val="21"/>
            <w:u w:val="single" w:color="006FC0"/>
          </w:rPr>
          <w:t>CAU/BR</w:t>
        </w:r>
        <w:r>
          <w:rPr>
            <w:b/>
            <w:i/>
            <w:color w:val="006FC0"/>
            <w:spacing w:val="-9"/>
            <w:sz w:val="21"/>
            <w:u w:val="single" w:color="006FC0"/>
          </w:rPr>
          <w:t> </w:t>
        </w:r>
        <w:r>
          <w:rPr>
            <w:b/>
            <w:i/>
            <w:color w:val="006FC0"/>
            <w:sz w:val="21"/>
            <w:u w:val="single" w:color="006FC0"/>
          </w:rPr>
          <w:t>nas</w:t>
        </w:r>
        <w:r>
          <w:rPr>
            <w:b/>
            <w:i/>
            <w:color w:val="006FC0"/>
            <w:spacing w:val="-11"/>
            <w:sz w:val="21"/>
            <w:u w:val="single" w:color="006FC0"/>
          </w:rPr>
          <w:t> </w:t>
        </w:r>
        <w:r>
          <w:rPr>
            <w:b/>
            <w:i/>
            <w:color w:val="006FC0"/>
            <w:sz w:val="21"/>
            <w:u w:val="single" w:color="006FC0"/>
          </w:rPr>
          <w:t>Despesas</w:t>
        </w:r>
        <w:r>
          <w:rPr>
            <w:b/>
            <w:i/>
            <w:color w:val="006FC0"/>
            <w:spacing w:val="-12"/>
            <w:sz w:val="21"/>
            <w:u w:val="single" w:color="006FC0"/>
          </w:rPr>
          <w:t> </w:t>
        </w:r>
        <w:r>
          <w:rPr>
            <w:b/>
            <w:i/>
            <w:color w:val="006FC0"/>
            <w:sz w:val="21"/>
            <w:u w:val="single" w:color="006FC0"/>
          </w:rPr>
          <w:t>do</w:t>
        </w:r>
        <w:r>
          <w:rPr>
            <w:b/>
            <w:i/>
            <w:color w:val="006FC0"/>
            <w:spacing w:val="-10"/>
            <w:sz w:val="21"/>
            <w:u w:val="single" w:color="006FC0"/>
          </w:rPr>
          <w:t> </w:t>
        </w:r>
        <w:r>
          <w:rPr>
            <w:b/>
            <w:i/>
            <w:color w:val="006FC0"/>
            <w:sz w:val="21"/>
            <w:u w:val="single" w:color="006FC0"/>
          </w:rPr>
          <w:t>Centro</w:t>
        </w:r>
        <w:r>
          <w:rPr>
            <w:b/>
            <w:i/>
            <w:color w:val="006FC0"/>
            <w:spacing w:val="-12"/>
            <w:sz w:val="21"/>
            <w:u w:val="single" w:color="006FC0"/>
          </w:rPr>
          <w:t> </w:t>
        </w:r>
        <w:r>
          <w:rPr>
            <w:b/>
            <w:i/>
            <w:color w:val="006FC0"/>
            <w:sz w:val="21"/>
            <w:u w:val="single" w:color="006FC0"/>
          </w:rPr>
          <w:t>de</w:t>
        </w:r>
        <w:r>
          <w:rPr>
            <w:b/>
            <w:i/>
            <w:color w:val="006FC0"/>
            <w:spacing w:val="-9"/>
            <w:sz w:val="21"/>
            <w:u w:val="single" w:color="006FC0"/>
          </w:rPr>
          <w:t> </w:t>
        </w:r>
        <w:r>
          <w:rPr>
            <w:b/>
            <w:i/>
            <w:color w:val="006FC0"/>
            <w:sz w:val="21"/>
            <w:u w:val="single" w:color="006FC0"/>
          </w:rPr>
          <w:t>Serviços</w:t>
        </w:r>
      </w:hyperlink>
      <w:r>
        <w:rPr>
          <w:b/>
          <w:i/>
          <w:color w:val="006FC0"/>
          <w:sz w:val="21"/>
        </w:rPr>
        <w:t> </w:t>
      </w:r>
      <w:hyperlink w:history="true" w:anchor="_bookmark43">
        <w:r>
          <w:rPr>
            <w:b/>
            <w:i/>
            <w:color w:val="006FC0"/>
            <w:sz w:val="21"/>
            <w:u w:val="single" w:color="006FC0"/>
          </w:rPr>
          <w:t>Compartilhados (Serviços</w:t>
        </w:r>
        <w:r>
          <w:rPr>
            <w:b/>
            <w:i/>
            <w:color w:val="006FC0"/>
            <w:spacing w:val="-3"/>
            <w:sz w:val="21"/>
            <w:u w:val="single" w:color="006FC0"/>
          </w:rPr>
          <w:t> </w:t>
        </w:r>
        <w:r>
          <w:rPr>
            <w:b/>
            <w:i/>
            <w:color w:val="006FC0"/>
            <w:sz w:val="21"/>
            <w:u w:val="single" w:color="006FC0"/>
          </w:rPr>
          <w:t>Totais)</w:t>
        </w:r>
      </w:hyperlink>
    </w:p>
    <w:p>
      <w:pPr>
        <w:pStyle w:val="BodyText"/>
        <w:spacing w:before="11"/>
        <w:rPr>
          <w:b/>
          <w:i/>
          <w:sz w:val="14"/>
        </w:rPr>
      </w:pPr>
    </w:p>
    <w:p>
      <w:pPr>
        <w:spacing w:before="59"/>
        <w:ind w:left="1702" w:right="1131" w:firstLine="0"/>
        <w:jc w:val="left"/>
        <w:rPr>
          <w:b/>
          <w:i/>
          <w:sz w:val="21"/>
        </w:rPr>
      </w:pPr>
      <w:hyperlink w:history="true" w:anchor="_bookmark44">
        <w:r>
          <w:rPr>
            <w:b/>
            <w:i/>
            <w:color w:val="006FC0"/>
            <w:sz w:val="21"/>
            <w:u w:val="single" w:color="006FC0"/>
          </w:rPr>
          <w:t>ANEXO VII.I – Demonstrativo da Participação dos CAU/UF e do CAU/BR nas Despesas do Centro de</w:t>
        </w:r>
      </w:hyperlink>
      <w:r>
        <w:rPr>
          <w:b/>
          <w:i/>
          <w:color w:val="006FC0"/>
          <w:sz w:val="21"/>
        </w:rPr>
        <w:t> </w:t>
      </w:r>
      <w:hyperlink w:history="true" w:anchor="_bookmark44">
        <w:r>
          <w:rPr>
            <w:b/>
            <w:i/>
            <w:color w:val="006FC0"/>
            <w:sz w:val="21"/>
            <w:u w:val="single" w:color="006FC0"/>
          </w:rPr>
          <w:t>Serviços Compartilhados (Serviço Telefônico de Teleatendimento 0800 e 4007)</w:t>
        </w:r>
      </w:hyperlink>
    </w:p>
    <w:p>
      <w:pPr>
        <w:pStyle w:val="BodyText"/>
        <w:spacing w:before="9"/>
        <w:rPr>
          <w:b/>
          <w:i/>
          <w:sz w:val="14"/>
        </w:rPr>
      </w:pPr>
    </w:p>
    <w:p>
      <w:pPr>
        <w:spacing w:before="59"/>
        <w:ind w:left="1702" w:right="1131" w:firstLine="0"/>
        <w:jc w:val="left"/>
        <w:rPr>
          <w:b/>
          <w:i/>
          <w:sz w:val="21"/>
        </w:rPr>
      </w:pPr>
      <w:hyperlink w:history="true" w:anchor="_bookmark45">
        <w:r>
          <w:rPr>
            <w:b/>
            <w:i/>
            <w:color w:val="006FC0"/>
            <w:sz w:val="21"/>
            <w:u w:val="single" w:color="006FC0"/>
          </w:rPr>
          <w:t>ANEXO VII.II – Demonstrativo da Participação dos CAU/UF e do CAU/BR nas Despesas do Centro de</w:t>
        </w:r>
      </w:hyperlink>
      <w:r>
        <w:rPr>
          <w:b/>
          <w:i/>
          <w:color w:val="006FC0"/>
          <w:sz w:val="21"/>
        </w:rPr>
        <w:t> </w:t>
      </w:r>
      <w:hyperlink w:history="true" w:anchor="_bookmark45">
        <w:r>
          <w:rPr>
            <w:b/>
            <w:i/>
            <w:color w:val="006FC0"/>
            <w:sz w:val="21"/>
            <w:u w:val="single" w:color="006FC0"/>
          </w:rPr>
          <w:t>Serviços Compartilhados (Demais serviços essenciais)</w:t>
        </w:r>
      </w:hyperlink>
    </w:p>
    <w:p>
      <w:pPr>
        <w:pStyle w:val="BodyText"/>
        <w:spacing w:before="11"/>
        <w:rPr>
          <w:b/>
          <w:i/>
          <w:sz w:val="14"/>
        </w:rPr>
      </w:pPr>
    </w:p>
    <w:p>
      <w:pPr>
        <w:spacing w:before="59"/>
        <w:ind w:left="720" w:right="1118" w:firstLine="0"/>
        <w:jc w:val="center"/>
        <w:rPr>
          <w:b/>
          <w:i/>
          <w:sz w:val="21"/>
        </w:rPr>
      </w:pPr>
      <w:hyperlink w:history="true" w:anchor="_bookmark46">
        <w:r>
          <w:rPr>
            <w:b/>
            <w:i/>
            <w:color w:val="006FC0"/>
            <w:sz w:val="21"/>
            <w:u w:val="single" w:color="006FC0"/>
          </w:rPr>
          <w:t>ANEXO VII.III – Despesas do Centro de Serviços Compartilhados (Serviços por Adesão – Siscaf)</w:t>
        </w:r>
      </w:hyperlink>
    </w:p>
    <w:p>
      <w:pPr>
        <w:pStyle w:val="BodyText"/>
        <w:spacing w:before="11"/>
        <w:rPr>
          <w:b/>
          <w:i/>
          <w:sz w:val="14"/>
        </w:rPr>
      </w:pPr>
    </w:p>
    <w:p>
      <w:pPr>
        <w:spacing w:before="58"/>
        <w:ind w:left="1702" w:right="0" w:firstLine="0"/>
        <w:jc w:val="left"/>
        <w:rPr>
          <w:b/>
          <w:i/>
          <w:sz w:val="21"/>
        </w:rPr>
      </w:pPr>
      <w:hyperlink w:history="true" w:anchor="_bookmark47">
        <w:r>
          <w:rPr>
            <w:b/>
            <w:i/>
            <w:color w:val="006FC0"/>
            <w:sz w:val="21"/>
            <w:u w:val="single" w:color="006FC0"/>
          </w:rPr>
          <w:t>ANEXO VIII – Ressarcimento de tarifas bancárias aos CAU/UF</w:t>
        </w:r>
      </w:hyperlink>
    </w:p>
    <w:p>
      <w:pPr>
        <w:pStyle w:val="BodyText"/>
        <w:spacing w:before="11"/>
        <w:rPr>
          <w:b/>
          <w:i/>
          <w:sz w:val="14"/>
        </w:rPr>
      </w:pPr>
    </w:p>
    <w:p>
      <w:pPr>
        <w:spacing w:before="59"/>
        <w:ind w:left="1476" w:right="1118" w:firstLine="0"/>
        <w:jc w:val="center"/>
        <w:rPr>
          <w:b/>
          <w:i/>
          <w:sz w:val="21"/>
        </w:rPr>
      </w:pPr>
      <w:r>
        <w:rPr>
          <w:b/>
          <w:i/>
          <w:color w:val="006FC0"/>
          <w:sz w:val="21"/>
          <w:u w:val="single" w:color="006FC0"/>
        </w:rPr>
        <w:t>ANEXO IX – Modelo para Elaboração da Programação do Plano de Ação e Orçamento – Exercício 2021</w:t>
      </w:r>
    </w:p>
    <w:p>
      <w:pPr>
        <w:pStyle w:val="BodyText"/>
        <w:spacing w:before="8"/>
        <w:rPr>
          <w:b/>
          <w:i/>
          <w:sz w:val="14"/>
        </w:rPr>
      </w:pPr>
    </w:p>
    <w:p>
      <w:pPr>
        <w:spacing w:before="57"/>
        <w:ind w:left="1702" w:right="0" w:firstLine="0"/>
        <w:jc w:val="left"/>
        <w:rPr>
          <w:b/>
          <w:sz w:val="21"/>
        </w:rPr>
      </w:pPr>
      <w:hyperlink w:history="true" w:anchor="_bookmark50">
        <w:r>
          <w:rPr>
            <w:b/>
            <w:color w:val="0462C1"/>
            <w:sz w:val="21"/>
            <w:u w:val="single" w:color="0462C1"/>
          </w:rPr>
          <w:t>ANEXO X – </w:t>
        </w:r>
        <w:r>
          <w:rPr>
            <w:color w:val="0462C1"/>
            <w:sz w:val="22"/>
            <w:u w:val="single" w:color="0462C1"/>
          </w:rPr>
          <w:t>Anexos dos Detalhamentos das Projeções da Receita do CAU</w:t>
        </w:r>
        <w:r>
          <w:rPr>
            <w:b/>
            <w:color w:val="0462C1"/>
            <w:sz w:val="21"/>
            <w:u w:val="single" w:color="0462C1"/>
          </w:rPr>
          <w:t>:</w:t>
        </w:r>
      </w:hyperlink>
    </w:p>
    <w:p>
      <w:pPr>
        <w:pStyle w:val="BodyText"/>
        <w:spacing w:before="12"/>
        <w:rPr>
          <w:b/>
          <w:sz w:val="19"/>
        </w:rPr>
      </w:pPr>
    </w:p>
    <w:p>
      <w:pPr>
        <w:pStyle w:val="ListParagraph"/>
        <w:numPr>
          <w:ilvl w:val="0"/>
          <w:numId w:val="20"/>
        </w:numPr>
        <w:tabs>
          <w:tab w:pos="1986" w:val="left" w:leader="none"/>
        </w:tabs>
        <w:spacing w:line="240" w:lineRule="auto" w:before="0" w:after="0"/>
        <w:ind w:left="1985" w:right="0" w:hanging="284"/>
        <w:jc w:val="left"/>
        <w:rPr>
          <w:b/>
          <w:sz w:val="21"/>
        </w:rPr>
      </w:pPr>
      <w:r>
        <w:rPr>
          <w:b/>
          <w:sz w:val="21"/>
          <w:u w:val="single"/>
        </w:rPr>
        <w:t>ANEXO X.I – Detalhamento da Projeção da Receita Total do CAU – Exercício 2021 (100% e</w:t>
      </w:r>
      <w:r>
        <w:rPr>
          <w:b/>
          <w:spacing w:val="-26"/>
          <w:sz w:val="21"/>
          <w:u w:val="single"/>
        </w:rPr>
        <w:t> </w:t>
      </w:r>
      <w:r>
        <w:rPr>
          <w:b/>
          <w:sz w:val="21"/>
          <w:u w:val="single"/>
        </w:rPr>
        <w:t>80%)</w:t>
      </w:r>
    </w:p>
    <w:p>
      <w:pPr>
        <w:pStyle w:val="ListParagraph"/>
        <w:numPr>
          <w:ilvl w:val="0"/>
          <w:numId w:val="20"/>
        </w:numPr>
        <w:tabs>
          <w:tab w:pos="1986" w:val="left" w:leader="none"/>
        </w:tabs>
        <w:spacing w:line="355" w:lineRule="auto" w:before="128" w:after="0"/>
        <w:ind w:left="1985" w:right="1128" w:hanging="284"/>
        <w:jc w:val="left"/>
        <w:rPr>
          <w:b/>
          <w:sz w:val="21"/>
        </w:rPr>
      </w:pPr>
      <w:r>
        <w:rPr>
          <w:b/>
          <w:sz w:val="21"/>
          <w:u w:val="single"/>
        </w:rPr>
        <w:t>ANEXO X.II – Detalhamento da Projeção do Quantitativo, Descontos e Valores – Pessoa Física – Exercício</w:t>
      </w:r>
      <w:r>
        <w:rPr>
          <w:b/>
          <w:spacing w:val="-3"/>
          <w:sz w:val="21"/>
          <w:u w:val="single"/>
        </w:rPr>
        <w:t> </w:t>
      </w:r>
      <w:r>
        <w:rPr>
          <w:b/>
          <w:sz w:val="21"/>
          <w:u w:val="single"/>
        </w:rPr>
        <w:t>2021</w:t>
      </w:r>
    </w:p>
    <w:p>
      <w:pPr>
        <w:pStyle w:val="ListParagraph"/>
        <w:numPr>
          <w:ilvl w:val="0"/>
          <w:numId w:val="20"/>
        </w:numPr>
        <w:tabs>
          <w:tab w:pos="1986" w:val="left" w:leader="none"/>
        </w:tabs>
        <w:spacing w:line="355" w:lineRule="auto" w:before="10" w:after="0"/>
        <w:ind w:left="1985" w:right="1128" w:hanging="284"/>
        <w:jc w:val="left"/>
        <w:rPr>
          <w:b/>
          <w:sz w:val="21"/>
        </w:rPr>
      </w:pPr>
      <w:r>
        <w:rPr>
          <w:b/>
          <w:sz w:val="21"/>
          <w:u w:val="single"/>
        </w:rPr>
        <w:t>ANEXO X.III – Detalhamento da Projeção do Quantitativo, Descontos e Valores – Pessoa Jurídica – Exercício</w:t>
      </w:r>
      <w:r>
        <w:rPr>
          <w:b/>
          <w:spacing w:val="-3"/>
          <w:sz w:val="21"/>
          <w:u w:val="single"/>
        </w:rPr>
        <w:t> </w:t>
      </w:r>
      <w:r>
        <w:rPr>
          <w:b/>
          <w:sz w:val="21"/>
          <w:u w:val="single"/>
        </w:rPr>
        <w:t>2021</w:t>
      </w:r>
    </w:p>
    <w:p>
      <w:pPr>
        <w:pStyle w:val="ListParagraph"/>
        <w:numPr>
          <w:ilvl w:val="0"/>
          <w:numId w:val="20"/>
        </w:numPr>
        <w:tabs>
          <w:tab w:pos="1986" w:val="left" w:leader="none"/>
        </w:tabs>
        <w:spacing w:line="355" w:lineRule="auto" w:before="9" w:after="0"/>
        <w:ind w:left="1985" w:right="1125" w:hanging="284"/>
        <w:jc w:val="left"/>
        <w:rPr>
          <w:b/>
          <w:sz w:val="21"/>
        </w:rPr>
      </w:pPr>
      <w:r>
        <w:rPr>
          <w:b/>
          <w:sz w:val="21"/>
          <w:u w:val="single"/>
        </w:rPr>
        <w:t>ANEXO X.IV – Detalhamento da Projeção da Receita de RRT – Reprogramação 2020 x Programação 2021</w:t>
      </w:r>
    </w:p>
    <w:p>
      <w:pPr>
        <w:pStyle w:val="ListParagraph"/>
        <w:numPr>
          <w:ilvl w:val="0"/>
          <w:numId w:val="20"/>
        </w:numPr>
        <w:tabs>
          <w:tab w:pos="1986" w:val="left" w:leader="none"/>
        </w:tabs>
        <w:spacing w:line="240" w:lineRule="auto" w:before="12" w:after="0"/>
        <w:ind w:left="1985" w:right="0" w:hanging="284"/>
        <w:jc w:val="left"/>
        <w:rPr>
          <w:b/>
          <w:sz w:val="21"/>
        </w:rPr>
      </w:pPr>
      <w:r>
        <w:rPr>
          <w:b/>
          <w:sz w:val="21"/>
          <w:u w:val="single"/>
        </w:rPr>
        <w:t>ANEXO X.V – Detalhamento da Projeção da Receita de Taxas e Multas do CAU – Exercício</w:t>
      </w:r>
      <w:r>
        <w:rPr>
          <w:b/>
          <w:spacing w:val="-26"/>
          <w:sz w:val="21"/>
          <w:u w:val="single"/>
        </w:rPr>
        <w:t> </w:t>
      </w:r>
      <w:r>
        <w:rPr>
          <w:b/>
          <w:sz w:val="21"/>
          <w:u w:val="single"/>
        </w:rPr>
        <w:t>2021</w:t>
      </w:r>
    </w:p>
    <w:p>
      <w:pPr>
        <w:spacing w:after="0" w:line="240" w:lineRule="auto"/>
        <w:jc w:val="left"/>
        <w:rPr>
          <w:sz w:val="21"/>
        </w:rPr>
        <w:sectPr>
          <w:pgSz w:w="11910" w:h="16840"/>
          <w:pgMar w:header="590" w:footer="612" w:top="1460" w:bottom="8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line="360" w:lineRule="auto" w:before="180"/>
        <w:ind w:left="4474" w:right="1663" w:hanging="1859"/>
        <w:jc w:val="left"/>
        <w:rPr>
          <w:b w:val="0"/>
        </w:rPr>
      </w:pPr>
      <w:r>
        <w:rPr>
          <w:b w:val="0"/>
          <w:color w:val="006666"/>
        </w:rPr>
        <w:t>ANEXO I – Indicadores Institucionais e de Resultado – CAU UF</w:t>
      </w:r>
    </w:p>
    <w:p>
      <w:pPr>
        <w:spacing w:after="0" w:line="360" w:lineRule="auto"/>
        <w:jc w:val="left"/>
        <w:sectPr>
          <w:pgSz w:w="11910" w:h="16840"/>
          <w:pgMar w:header="590" w:footer="612" w:top="1460" w:bottom="800" w:left="0" w:right="0"/>
        </w:sectPr>
      </w:pPr>
    </w:p>
    <w:p>
      <w:pPr>
        <w:pStyle w:val="BodyText"/>
        <w:rPr>
          <w:rFonts w:ascii="Calibri Light"/>
          <w:b w:val="0"/>
          <w:sz w:val="14"/>
        </w:rPr>
      </w:pPr>
    </w:p>
    <w:p>
      <w:pPr>
        <w:spacing w:before="56" w:after="23"/>
        <w:ind w:left="126" w:right="0" w:firstLine="0"/>
        <w:jc w:val="left"/>
        <w:rPr>
          <w:rFonts w:ascii="Calibri Light" w:hAnsi="Calibri Light"/>
          <w:b w:val="0"/>
          <w:sz w:val="22"/>
        </w:rPr>
      </w:pPr>
      <w:bookmarkStart w:name="_bookmark35" w:id="57"/>
      <w:bookmarkEnd w:id="57"/>
      <w:r>
        <w:rPr/>
      </w:r>
      <w:r>
        <w:rPr>
          <w:rFonts w:ascii="Calibri Light" w:hAnsi="Calibri Light"/>
          <w:b w:val="0"/>
          <w:sz w:val="22"/>
        </w:rPr>
        <w:t>ANEXO I – Indicadores Institucionais e de Resultado – CAU UF</w:t>
      </w: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701"/>
        <w:gridCol w:w="1841"/>
        <w:gridCol w:w="4536"/>
        <w:gridCol w:w="2896"/>
        <w:gridCol w:w="650"/>
        <w:gridCol w:w="1275"/>
        <w:gridCol w:w="1136"/>
      </w:tblGrid>
      <w:tr>
        <w:trPr>
          <w:trHeight w:val="1574" w:hRule="atLeast"/>
        </w:trPr>
        <w:tc>
          <w:tcPr>
            <w:tcW w:w="1560"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97"/>
              <w:rPr>
                <w:b/>
                <w:sz w:val="20"/>
              </w:rPr>
            </w:pPr>
            <w:r>
              <w:rPr>
                <w:b/>
                <w:color w:val="FFFFFF"/>
                <w:sz w:val="20"/>
              </w:rPr>
              <w:t>Perspectiva</w:t>
            </w:r>
          </w:p>
        </w:tc>
        <w:tc>
          <w:tcPr>
            <w:tcW w:w="170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393" w:firstLine="103"/>
              <w:rPr>
                <w:b/>
                <w:sz w:val="20"/>
              </w:rPr>
            </w:pPr>
            <w:r>
              <w:rPr>
                <w:b/>
                <w:color w:val="FFFFFF"/>
                <w:sz w:val="20"/>
              </w:rPr>
              <w:t>Objetivo </w:t>
            </w:r>
            <w:r>
              <w:rPr>
                <w:b/>
                <w:color w:val="FFFFFF"/>
                <w:w w:val="95"/>
                <w:sz w:val="20"/>
              </w:rPr>
              <w:t>Estratégico</w:t>
            </w:r>
          </w:p>
        </w:tc>
        <w:tc>
          <w:tcPr>
            <w:tcW w:w="184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533"/>
              <w:rPr>
                <w:b/>
                <w:sz w:val="20"/>
              </w:rPr>
            </w:pPr>
            <w:r>
              <w:rPr>
                <w:b/>
                <w:color w:val="FFFFFF"/>
                <w:sz w:val="20"/>
              </w:rPr>
              <w:t>Indicador</w:t>
            </w:r>
          </w:p>
        </w:tc>
        <w:tc>
          <w:tcPr>
            <w:tcW w:w="453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1854" w:right="1830"/>
              <w:jc w:val="center"/>
              <w:rPr>
                <w:b/>
                <w:sz w:val="20"/>
              </w:rPr>
            </w:pPr>
            <w:r>
              <w:rPr>
                <w:b/>
                <w:color w:val="FFFFFF"/>
                <w:sz w:val="20"/>
              </w:rPr>
              <w:t>Descrição</w:t>
            </w:r>
          </w:p>
        </w:tc>
        <w:tc>
          <w:tcPr>
            <w:tcW w:w="3546"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986"/>
              <w:rPr>
                <w:b/>
                <w:sz w:val="20"/>
              </w:rPr>
            </w:pPr>
            <w:r>
              <w:rPr>
                <w:b/>
                <w:color w:val="FFFFFF"/>
                <w:sz w:val="20"/>
              </w:rPr>
              <w:t>Fórmula de Cálculo</w:t>
            </w:r>
          </w:p>
        </w:tc>
        <w:tc>
          <w:tcPr>
            <w:tcW w:w="1275"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155" w:right="114" w:firstLine="28"/>
              <w:rPr>
                <w:b/>
                <w:sz w:val="20"/>
              </w:rPr>
            </w:pPr>
            <w:r>
              <w:rPr>
                <w:b/>
                <w:color w:val="FFFFFF"/>
                <w:sz w:val="20"/>
              </w:rPr>
              <w:t>Frequência de Medição</w:t>
            </w:r>
          </w:p>
        </w:tc>
        <w:tc>
          <w:tcPr>
            <w:tcW w:w="1136" w:type="dxa"/>
            <w:tcBorders>
              <w:lef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180" w:right="135" w:firstLine="24"/>
              <w:rPr>
                <w:b/>
                <w:sz w:val="20"/>
              </w:rPr>
            </w:pPr>
            <w:r>
              <w:rPr>
                <w:b/>
                <w:color w:val="FFFFFF"/>
                <w:sz w:val="20"/>
              </w:rPr>
              <w:t>Fonte do Indicador</w:t>
            </w:r>
          </w:p>
        </w:tc>
      </w:tr>
      <w:tr>
        <w:trPr>
          <w:trHeight w:val="1539" w:hRule="atLeast"/>
        </w:trPr>
        <w:tc>
          <w:tcPr>
            <w:tcW w:w="1560"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5"/>
              </w:rPr>
            </w:pPr>
          </w:p>
          <w:p>
            <w:pPr>
              <w:pStyle w:val="TableParagraph"/>
              <w:ind w:left="361"/>
              <w:rPr>
                <w:sz w:val="20"/>
              </w:rPr>
            </w:pPr>
            <w:r>
              <w:rPr>
                <w:sz w:val="20"/>
              </w:rPr>
              <w:t>Sociedade</w:t>
            </w:r>
          </w:p>
        </w:tc>
        <w:tc>
          <w:tcPr>
            <w:tcW w:w="1701"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15"/>
              </w:rPr>
            </w:pPr>
          </w:p>
          <w:p>
            <w:pPr>
              <w:pStyle w:val="TableParagraph"/>
              <w:ind w:left="112" w:right="92" w:hanging="3"/>
              <w:jc w:val="center"/>
              <w:rPr>
                <w:sz w:val="20"/>
              </w:rPr>
            </w:pPr>
            <w:r>
              <w:rPr>
                <w:sz w:val="20"/>
              </w:rPr>
              <w:t>Impactar </w:t>
            </w:r>
            <w:r>
              <w:rPr>
                <w:w w:val="95"/>
                <w:sz w:val="20"/>
              </w:rPr>
              <w:t>significativamente </w:t>
            </w:r>
            <w:r>
              <w:rPr>
                <w:sz w:val="20"/>
              </w:rPr>
              <w:t>o planejamento e a gestão do território</w:t>
            </w:r>
          </w:p>
        </w:tc>
        <w:tc>
          <w:tcPr>
            <w:tcW w:w="1841"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5"/>
              </w:rPr>
            </w:pPr>
          </w:p>
          <w:p>
            <w:pPr>
              <w:pStyle w:val="TableParagraph"/>
              <w:ind w:left="92" w:right="72"/>
              <w:jc w:val="center"/>
              <w:rPr>
                <w:b/>
                <w:sz w:val="20"/>
              </w:rPr>
            </w:pPr>
            <w:r>
              <w:rPr>
                <w:sz w:val="20"/>
              </w:rPr>
              <w:t>Índice de municípios que possuem </w:t>
            </w:r>
            <w:r>
              <w:rPr>
                <w:b/>
                <w:sz w:val="20"/>
              </w:rPr>
              <w:t>Plano Diretor</w:t>
            </w:r>
            <w:r>
              <w:rPr>
                <w:sz w:val="20"/>
              </w:rPr>
              <w:t>, em conformidade com os critérios da legislação (%) </w:t>
            </w:r>
            <w:r>
              <w:rPr>
                <w:b/>
                <w:sz w:val="20"/>
              </w:rPr>
              <w:t>(CAU/UF)</w:t>
            </w:r>
          </w:p>
        </w:tc>
        <w:tc>
          <w:tcPr>
            <w:tcW w:w="4536"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15"/>
              </w:rPr>
            </w:pPr>
          </w:p>
          <w:p>
            <w:pPr>
              <w:pStyle w:val="TableParagraph"/>
              <w:ind w:left="77" w:right="51"/>
              <w:jc w:val="both"/>
              <w:rPr>
                <w:sz w:val="20"/>
              </w:rPr>
            </w:pPr>
            <w:r>
              <w:rPr>
                <w:sz w:val="20"/>
              </w:rPr>
              <w:t>Mede se os municípios em cada UF estão melhorando sua consciência no desenvolvimento de políticas urbanas e ambientais</w:t>
            </w:r>
          </w:p>
        </w:tc>
        <w:tc>
          <w:tcPr>
            <w:tcW w:w="2896" w:type="dxa"/>
            <w:tcBorders>
              <w:left w:val="single" w:sz="4" w:space="0" w:color="000000"/>
              <w:bottom w:val="nil"/>
              <w:right w:val="nil"/>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4"/>
              </w:rPr>
            </w:pPr>
          </w:p>
          <w:p>
            <w:pPr>
              <w:pStyle w:val="TableParagraph"/>
              <w:ind w:right="39"/>
              <w:jc w:val="center"/>
              <w:rPr>
                <w:sz w:val="20"/>
              </w:rPr>
            </w:pPr>
            <w:r>
              <w:rPr>
                <w:sz w:val="20"/>
              </w:rPr>
              <w:t>números de municípios da UF</w:t>
            </w:r>
          </w:p>
          <w:p>
            <w:pPr>
              <w:pStyle w:val="TableParagraph"/>
              <w:tabs>
                <w:tab w:pos="307" w:val="left" w:leader="none"/>
                <w:tab w:pos="2829" w:val="left" w:leader="none"/>
              </w:tabs>
              <w:spacing w:before="1"/>
              <w:ind w:right="36"/>
              <w:jc w:val="center"/>
              <w:rPr>
                <w:sz w:val="20"/>
              </w:rPr>
            </w:pPr>
            <w:r>
              <w:rPr>
                <w:w w:val="99"/>
                <w:sz w:val="20"/>
                <w:u w:val="single"/>
              </w:rPr>
              <w:t> </w:t>
            </w:r>
            <w:r>
              <w:rPr>
                <w:sz w:val="20"/>
                <w:u w:val="single"/>
              </w:rPr>
              <w:tab/>
              <w:t>que possuem Plano</w:t>
            </w:r>
            <w:r>
              <w:rPr>
                <w:spacing w:val="-12"/>
                <w:sz w:val="20"/>
                <w:u w:val="single"/>
              </w:rPr>
              <w:t> </w:t>
            </w:r>
            <w:r>
              <w:rPr>
                <w:sz w:val="20"/>
                <w:u w:val="single"/>
              </w:rPr>
              <w:t>Diretor</w:t>
              <w:tab/>
            </w:r>
          </w:p>
        </w:tc>
        <w:tc>
          <w:tcPr>
            <w:tcW w:w="650"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5"/>
              </w:rPr>
            </w:pPr>
          </w:p>
          <w:p>
            <w:pPr>
              <w:pStyle w:val="TableParagraph"/>
              <w:ind w:left="72"/>
              <w:rPr>
                <w:sz w:val="20"/>
              </w:rPr>
            </w:pPr>
            <w:r>
              <w:rPr>
                <w:sz w:val="20"/>
              </w:rPr>
              <w:t>x 100</w:t>
            </w:r>
          </w:p>
        </w:tc>
        <w:tc>
          <w:tcPr>
            <w:tcW w:w="1275"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5"/>
              </w:rPr>
            </w:pPr>
          </w:p>
          <w:p>
            <w:pPr>
              <w:pStyle w:val="TableParagraph"/>
              <w:ind w:left="409"/>
              <w:rPr>
                <w:sz w:val="20"/>
              </w:rPr>
            </w:pPr>
            <w:r>
              <w:rPr>
                <w:sz w:val="20"/>
              </w:rPr>
              <w:t>Anual</w:t>
            </w:r>
          </w:p>
        </w:tc>
        <w:tc>
          <w:tcPr>
            <w:tcW w:w="1136" w:type="dxa"/>
            <w:vMerge w:val="restart"/>
            <w:tcBorders>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25"/>
              </w:rPr>
            </w:pPr>
          </w:p>
          <w:p>
            <w:pPr>
              <w:pStyle w:val="TableParagraph"/>
              <w:spacing w:line="243" w:lineRule="exact" w:before="1"/>
              <w:ind w:left="296" w:right="270"/>
              <w:jc w:val="center"/>
              <w:rPr>
                <w:sz w:val="20"/>
              </w:rPr>
            </w:pPr>
            <w:r>
              <w:rPr>
                <w:sz w:val="20"/>
              </w:rPr>
              <w:t>IBGE -</w:t>
            </w:r>
          </w:p>
          <w:p>
            <w:pPr>
              <w:pStyle w:val="TableParagraph"/>
              <w:ind w:left="128" w:right="99" w:hanging="2"/>
              <w:jc w:val="center"/>
              <w:rPr>
                <w:sz w:val="20"/>
              </w:rPr>
            </w:pPr>
            <w:r>
              <w:rPr>
                <w:sz w:val="20"/>
              </w:rPr>
              <w:t>Relatório Perfil dos </w:t>
            </w:r>
            <w:r>
              <w:rPr>
                <w:w w:val="95"/>
                <w:sz w:val="20"/>
              </w:rPr>
              <w:t>Municípios </w:t>
            </w:r>
            <w:r>
              <w:rPr>
                <w:sz w:val="20"/>
              </w:rPr>
              <w:t>Brasileiros</w:t>
            </w:r>
          </w:p>
          <w:p>
            <w:pPr>
              <w:pStyle w:val="TableParagraph"/>
              <w:ind w:left="296" w:right="271"/>
              <w:jc w:val="center"/>
              <w:rPr>
                <w:sz w:val="20"/>
              </w:rPr>
            </w:pPr>
            <w:r>
              <w:rPr>
                <w:sz w:val="20"/>
              </w:rPr>
              <w:t>- IGEO</w:t>
            </w:r>
          </w:p>
        </w:tc>
      </w:tr>
      <w:tr>
        <w:trPr>
          <w:trHeight w:val="1512" w:hRule="atLeast"/>
        </w:trPr>
        <w:tc>
          <w:tcPr>
            <w:tcW w:w="1560" w:type="dxa"/>
            <w:vMerge/>
            <w:tcBorders>
              <w:top w:val="nil"/>
              <w:bottom w:val="single" w:sz="4" w:space="0" w:color="000000"/>
              <w:right w:val="single" w:sz="4" w:space="0" w:color="000000"/>
            </w:tcBorders>
          </w:tcPr>
          <w:p>
            <w:pPr>
              <w:rPr>
                <w:sz w:val="2"/>
                <w:szCs w:val="2"/>
              </w:rPr>
            </w:pPr>
          </w:p>
        </w:tc>
        <w:tc>
          <w:tcPr>
            <w:tcW w:w="1701" w:type="dxa"/>
            <w:vMerge/>
            <w:tcBorders>
              <w:top w:val="nil"/>
              <w:left w:val="single" w:sz="4" w:space="0" w:color="000000"/>
              <w:bottom w:val="single" w:sz="4" w:space="0" w:color="000000"/>
              <w:right w:val="single" w:sz="4" w:space="0" w:color="000000"/>
            </w:tcBorders>
          </w:tcPr>
          <w:p>
            <w:pPr>
              <w:rPr>
                <w:sz w:val="2"/>
                <w:szCs w:val="2"/>
              </w:rPr>
            </w:pPr>
          </w:p>
        </w:tc>
        <w:tc>
          <w:tcPr>
            <w:tcW w:w="1841" w:type="dxa"/>
            <w:vMerge/>
            <w:tcBorders>
              <w:top w:val="nil"/>
              <w:left w:val="single" w:sz="4" w:space="0" w:color="000000"/>
              <w:bottom w:val="single" w:sz="4" w:space="0" w:color="000000"/>
              <w:right w:val="single" w:sz="4" w:space="0" w:color="000000"/>
            </w:tcBorders>
          </w:tcPr>
          <w:p>
            <w:pPr>
              <w:rPr>
                <w:sz w:val="2"/>
                <w:szCs w:val="2"/>
              </w:rPr>
            </w:pPr>
          </w:p>
        </w:tc>
        <w:tc>
          <w:tcPr>
            <w:tcW w:w="4536" w:type="dxa"/>
            <w:vMerge/>
            <w:tcBorders>
              <w:top w:val="nil"/>
              <w:left w:val="single" w:sz="4" w:space="0" w:color="000000"/>
              <w:bottom w:val="single" w:sz="4" w:space="0" w:color="000000"/>
              <w:right w:val="single" w:sz="4" w:space="0" w:color="000000"/>
            </w:tcBorders>
          </w:tcPr>
          <w:p>
            <w:pPr>
              <w:rPr>
                <w:sz w:val="2"/>
                <w:szCs w:val="2"/>
              </w:rPr>
            </w:pPr>
          </w:p>
        </w:tc>
        <w:tc>
          <w:tcPr>
            <w:tcW w:w="2896" w:type="dxa"/>
            <w:tcBorders>
              <w:top w:val="nil"/>
              <w:left w:val="single" w:sz="4" w:space="0" w:color="000000"/>
              <w:bottom w:val="single" w:sz="4" w:space="0" w:color="000000"/>
              <w:right w:val="nil"/>
            </w:tcBorders>
          </w:tcPr>
          <w:p>
            <w:pPr>
              <w:pStyle w:val="TableParagraph"/>
              <w:spacing w:line="219" w:lineRule="exact"/>
              <w:ind w:left="390"/>
              <w:rPr>
                <w:sz w:val="20"/>
              </w:rPr>
            </w:pPr>
            <w:r>
              <w:rPr>
                <w:sz w:val="20"/>
              </w:rPr>
              <w:t>total de municípios da UF</w:t>
            </w:r>
          </w:p>
        </w:tc>
        <w:tc>
          <w:tcPr>
            <w:tcW w:w="650" w:type="dxa"/>
            <w:vMerge/>
            <w:tcBorders>
              <w:top w:val="nil"/>
              <w:left w:val="nil"/>
              <w:bottom w:val="single" w:sz="4" w:space="0" w:color="000000"/>
              <w:right w:val="single" w:sz="4" w:space="0" w:color="000000"/>
            </w:tcBorders>
          </w:tcPr>
          <w:p>
            <w:pPr>
              <w:rPr>
                <w:sz w:val="2"/>
                <w:szCs w:val="2"/>
              </w:rPr>
            </w:pP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36" w:type="dxa"/>
            <w:vMerge/>
            <w:tcBorders>
              <w:top w:val="nil"/>
              <w:left w:val="single" w:sz="4" w:space="0" w:color="000000"/>
              <w:bottom w:val="single" w:sz="4" w:space="0" w:color="000000"/>
            </w:tcBorders>
          </w:tcPr>
          <w:p>
            <w:pPr>
              <w:rPr>
                <w:sz w:val="2"/>
                <w:szCs w:val="2"/>
              </w:rPr>
            </w:pPr>
          </w:p>
        </w:tc>
      </w:tr>
      <w:tr>
        <w:trPr>
          <w:trHeight w:val="898" w:hRule="atLeast"/>
        </w:trPr>
        <w:tc>
          <w:tcPr>
            <w:tcW w:w="1560" w:type="dxa"/>
            <w:tcBorders>
              <w:top w:val="single" w:sz="4" w:space="0" w:color="000000"/>
              <w:bottom w:val="nil"/>
              <w:right w:val="single" w:sz="4" w:space="0" w:color="000000"/>
            </w:tcBorders>
          </w:tcPr>
          <w:p>
            <w:pPr>
              <w:pStyle w:val="TableParagraph"/>
              <w:rPr>
                <w:rFonts w:ascii="Times New Roman"/>
                <w:sz w:val="20"/>
              </w:rPr>
            </w:pPr>
          </w:p>
        </w:tc>
        <w:tc>
          <w:tcPr>
            <w:tcW w:w="170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84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4536" w:type="dxa"/>
            <w:tcBorders>
              <w:top w:val="single" w:sz="4" w:space="0" w:color="000000"/>
              <w:left w:val="single" w:sz="4" w:space="0" w:color="000000"/>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line="243" w:lineRule="exact" w:before="146"/>
              <w:ind w:left="77"/>
              <w:rPr>
                <w:sz w:val="20"/>
              </w:rPr>
            </w:pPr>
            <w:r>
              <w:rPr>
                <w:sz w:val="20"/>
              </w:rPr>
              <w:t>Indicador para medir a capacidade de fiscalização do</w:t>
            </w:r>
          </w:p>
        </w:tc>
        <w:tc>
          <w:tcPr>
            <w:tcW w:w="2896" w:type="dxa"/>
            <w:tcBorders>
              <w:top w:val="single" w:sz="4" w:space="0" w:color="000000"/>
              <w:left w:val="single" w:sz="4" w:space="0" w:color="000000"/>
              <w:bottom w:val="nil"/>
              <w:right w:val="nil"/>
            </w:tcBorders>
          </w:tcPr>
          <w:p>
            <w:pPr>
              <w:pStyle w:val="TableParagraph"/>
              <w:rPr>
                <w:rFonts w:ascii="Times New Roman"/>
                <w:sz w:val="20"/>
              </w:rPr>
            </w:pPr>
          </w:p>
        </w:tc>
        <w:tc>
          <w:tcPr>
            <w:tcW w:w="650" w:type="dxa"/>
            <w:tcBorders>
              <w:top w:val="single" w:sz="4" w:space="0" w:color="000000"/>
              <w:left w:val="nil"/>
              <w:bottom w:val="nil"/>
              <w:right w:val="single" w:sz="4" w:space="0" w:color="000000"/>
            </w:tcBorders>
          </w:tcPr>
          <w:p>
            <w:pPr>
              <w:pStyle w:val="TableParagraph"/>
              <w:rPr>
                <w:rFonts w:ascii="Times New Roman"/>
                <w:sz w:val="20"/>
              </w:rPr>
            </w:pPr>
          </w:p>
        </w:tc>
        <w:tc>
          <w:tcPr>
            <w:tcW w:w="127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136" w:type="dxa"/>
            <w:tcBorders>
              <w:top w:val="single" w:sz="4" w:space="0" w:color="000000"/>
              <w:left w:val="single" w:sz="4" w:space="0" w:color="000000"/>
              <w:bottom w:val="nil"/>
            </w:tcBorders>
          </w:tcPr>
          <w:p>
            <w:pPr>
              <w:pStyle w:val="TableParagraph"/>
              <w:rPr>
                <w:rFonts w:ascii="Times New Roman"/>
                <w:sz w:val="20"/>
              </w:rPr>
            </w:pPr>
          </w:p>
        </w:tc>
      </w:tr>
      <w:tr>
        <w:trPr>
          <w:trHeight w:val="245" w:hRule="atLeast"/>
        </w:trPr>
        <w:tc>
          <w:tcPr>
            <w:tcW w:w="1560" w:type="dxa"/>
            <w:tcBorders>
              <w:top w:val="nil"/>
              <w:bottom w:val="nil"/>
              <w:right w:val="single" w:sz="4" w:space="0" w:color="000000"/>
            </w:tcBorders>
          </w:tcPr>
          <w:p>
            <w:pPr>
              <w:pStyle w:val="TableParagraph"/>
              <w:rPr>
                <w:rFonts w:ascii="Times New Roman"/>
                <w:sz w:val="16"/>
              </w:rPr>
            </w:pPr>
          </w:p>
        </w:tc>
        <w:tc>
          <w:tcPr>
            <w:tcW w:w="1701"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4536" w:type="dxa"/>
            <w:tcBorders>
              <w:top w:val="nil"/>
              <w:left w:val="single" w:sz="4" w:space="0" w:color="000000"/>
              <w:bottom w:val="nil"/>
              <w:right w:val="single" w:sz="4" w:space="0" w:color="000000"/>
            </w:tcBorders>
          </w:tcPr>
          <w:p>
            <w:pPr>
              <w:pStyle w:val="TableParagraph"/>
              <w:spacing w:line="225" w:lineRule="exact"/>
              <w:ind w:left="77"/>
              <w:rPr>
                <w:sz w:val="20"/>
              </w:rPr>
            </w:pPr>
            <w:r>
              <w:rPr>
                <w:sz w:val="20"/>
              </w:rPr>
              <w:t>CAU/UF. Compara a quantidade ações de fiscalização</w:t>
            </w:r>
          </w:p>
        </w:tc>
        <w:tc>
          <w:tcPr>
            <w:tcW w:w="2896" w:type="dxa"/>
            <w:tcBorders>
              <w:top w:val="nil"/>
              <w:left w:val="single" w:sz="4" w:space="0" w:color="000000"/>
              <w:bottom w:val="nil"/>
              <w:right w:val="nil"/>
            </w:tcBorders>
          </w:tcPr>
          <w:p>
            <w:pPr>
              <w:pStyle w:val="TableParagraph"/>
              <w:rPr>
                <w:rFonts w:ascii="Times New Roman"/>
                <w:sz w:val="16"/>
              </w:rPr>
            </w:pPr>
          </w:p>
        </w:tc>
        <w:tc>
          <w:tcPr>
            <w:tcW w:w="650" w:type="dxa"/>
            <w:tcBorders>
              <w:top w:val="nil"/>
              <w:left w:val="nil"/>
              <w:bottom w:val="nil"/>
              <w:right w:val="single" w:sz="4" w:space="0" w:color="000000"/>
            </w:tcBorders>
          </w:tcPr>
          <w:p>
            <w:pPr>
              <w:pStyle w:val="TableParagraph"/>
              <w:rPr>
                <w:rFonts w:ascii="Times New Roman"/>
                <w:sz w:val="16"/>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136" w:type="dxa"/>
            <w:tcBorders>
              <w:top w:val="nil"/>
              <w:left w:val="single" w:sz="4" w:space="0" w:color="000000"/>
              <w:bottom w:val="nil"/>
            </w:tcBorders>
          </w:tcPr>
          <w:p>
            <w:pPr>
              <w:pStyle w:val="TableParagraph"/>
              <w:rPr>
                <w:rFonts w:ascii="Times New Roman"/>
                <w:sz w:val="16"/>
              </w:rPr>
            </w:pPr>
          </w:p>
        </w:tc>
      </w:tr>
      <w:tr>
        <w:trPr>
          <w:trHeight w:val="865" w:hRule="atLeast"/>
        </w:trPr>
        <w:tc>
          <w:tcPr>
            <w:tcW w:w="1560" w:type="dxa"/>
            <w:vMerge w:val="restart"/>
            <w:tcBorders>
              <w:top w:val="nil"/>
              <w:bottom w:val="nil"/>
              <w:right w:val="single" w:sz="4" w:space="0" w:color="000000"/>
            </w:tcBorders>
          </w:tcPr>
          <w:p>
            <w:pPr>
              <w:pStyle w:val="TableParagraph"/>
              <w:spacing w:before="4"/>
              <w:rPr>
                <w:rFonts w:ascii="Calibri Light"/>
                <w:b w:val="0"/>
                <w:sz w:val="28"/>
              </w:rPr>
            </w:pPr>
          </w:p>
          <w:p>
            <w:pPr>
              <w:pStyle w:val="TableParagraph"/>
              <w:ind w:left="148" w:right="135" w:hanging="2"/>
              <w:jc w:val="center"/>
              <w:rPr>
                <w:sz w:val="20"/>
              </w:rPr>
            </w:pPr>
            <w:r>
              <w:rPr>
                <w:sz w:val="20"/>
              </w:rPr>
              <w:t>Processos Internos (Excelência </w:t>
            </w:r>
            <w:r>
              <w:rPr>
                <w:w w:val="95"/>
                <w:sz w:val="20"/>
              </w:rPr>
              <w:t>Organizacional)</w:t>
            </w:r>
          </w:p>
        </w:tc>
        <w:tc>
          <w:tcPr>
            <w:tcW w:w="1701" w:type="dxa"/>
            <w:vMerge w:val="restart"/>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spacing w:before="5"/>
              <w:rPr>
                <w:rFonts w:ascii="Calibri Light"/>
                <w:b w:val="0"/>
                <w:sz w:val="18"/>
              </w:rPr>
            </w:pPr>
          </w:p>
          <w:p>
            <w:pPr>
              <w:pStyle w:val="TableParagraph"/>
              <w:ind w:left="127" w:right="111" w:hanging="1"/>
              <w:jc w:val="center"/>
              <w:rPr>
                <w:sz w:val="20"/>
              </w:rPr>
            </w:pPr>
            <w:r>
              <w:rPr>
                <w:sz w:val="20"/>
              </w:rPr>
              <w:t>Tornar a fiscalização um vetor de </w:t>
            </w:r>
            <w:r>
              <w:rPr>
                <w:spacing w:val="-3"/>
                <w:sz w:val="20"/>
              </w:rPr>
              <w:t>melhoria</w:t>
            </w:r>
          </w:p>
        </w:tc>
        <w:tc>
          <w:tcPr>
            <w:tcW w:w="1841" w:type="dxa"/>
            <w:vMerge w:val="restart"/>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spacing w:before="5"/>
              <w:rPr>
                <w:rFonts w:ascii="Calibri Light"/>
                <w:b w:val="0"/>
                <w:sz w:val="18"/>
              </w:rPr>
            </w:pPr>
          </w:p>
          <w:p>
            <w:pPr>
              <w:pStyle w:val="TableParagraph"/>
              <w:ind w:left="75" w:right="54"/>
              <w:jc w:val="center"/>
              <w:rPr>
                <w:b/>
                <w:sz w:val="20"/>
              </w:rPr>
            </w:pPr>
            <w:r>
              <w:rPr>
                <w:sz w:val="20"/>
              </w:rPr>
              <w:t>Índice da capacidade de fiscalização (%) </w:t>
            </w:r>
            <w:r>
              <w:rPr>
                <w:b/>
                <w:sz w:val="20"/>
              </w:rPr>
              <w:t>(CAU/UF)</w:t>
            </w:r>
          </w:p>
        </w:tc>
        <w:tc>
          <w:tcPr>
            <w:tcW w:w="4536" w:type="dxa"/>
            <w:vMerge w:val="restart"/>
            <w:tcBorders>
              <w:top w:val="nil"/>
              <w:left w:val="single" w:sz="4" w:space="0" w:color="000000"/>
              <w:bottom w:val="nil"/>
              <w:right w:val="single" w:sz="4" w:space="0" w:color="000000"/>
            </w:tcBorders>
          </w:tcPr>
          <w:p>
            <w:pPr>
              <w:pStyle w:val="TableParagraph"/>
              <w:spacing w:line="225" w:lineRule="exact"/>
              <w:ind w:left="77"/>
              <w:jc w:val="both"/>
              <w:rPr>
                <w:sz w:val="20"/>
              </w:rPr>
            </w:pPr>
            <w:r>
              <w:rPr>
                <w:sz w:val="20"/>
              </w:rPr>
              <w:t>no período com a quantidade serviços de ações</w:t>
            </w:r>
          </w:p>
          <w:p>
            <w:pPr>
              <w:pStyle w:val="TableParagraph"/>
              <w:ind w:left="77" w:right="56"/>
              <w:jc w:val="both"/>
              <w:rPr>
                <w:sz w:val="20"/>
              </w:rPr>
            </w:pPr>
            <w:r>
              <w:rPr>
                <w:sz w:val="20"/>
              </w:rPr>
              <w:t>propostas de serem fiscalizadas, conforme a meta definida no Plano de Ação aprovado.</w:t>
            </w:r>
          </w:p>
          <w:p>
            <w:pPr>
              <w:pStyle w:val="TableParagraph"/>
              <w:ind w:left="77" w:right="47"/>
              <w:jc w:val="both"/>
              <w:rPr>
                <w:sz w:val="20"/>
              </w:rPr>
            </w:pPr>
            <w:r>
              <w:rPr>
                <w:sz w:val="20"/>
              </w:rPr>
              <w:t>Por ações de fiscalização entende-se todas as atividades profissionais "fiscalizáveis" pelo CAU, que constam   nos   07   (sete)   grupos   de   atividades </w:t>
            </w:r>
            <w:r>
              <w:rPr>
                <w:spacing w:val="37"/>
                <w:sz w:val="20"/>
              </w:rPr>
              <w:t> </w:t>
            </w:r>
            <w:r>
              <w:rPr>
                <w:sz w:val="20"/>
              </w:rPr>
              <w:t>da</w:t>
            </w:r>
          </w:p>
          <w:p>
            <w:pPr>
              <w:pStyle w:val="TableParagraph"/>
              <w:spacing w:line="243" w:lineRule="exact"/>
              <w:ind w:left="77"/>
              <w:jc w:val="both"/>
              <w:rPr>
                <w:sz w:val="20"/>
              </w:rPr>
            </w:pPr>
            <w:r>
              <w:rPr>
                <w:sz w:val="20"/>
              </w:rPr>
              <w:t>Resolução CAU/BR nº 21/2012, além dos itens:</w:t>
            </w:r>
            <w:r>
              <w:rPr>
                <w:spacing w:val="17"/>
                <w:sz w:val="20"/>
              </w:rPr>
              <w:t> </w:t>
            </w:r>
            <w:r>
              <w:rPr>
                <w:sz w:val="20"/>
              </w:rPr>
              <w:t>Placas</w:t>
            </w:r>
          </w:p>
        </w:tc>
        <w:tc>
          <w:tcPr>
            <w:tcW w:w="2896" w:type="dxa"/>
            <w:tcBorders>
              <w:top w:val="nil"/>
              <w:left w:val="single" w:sz="4" w:space="0" w:color="000000"/>
              <w:bottom w:val="nil"/>
              <w:right w:val="nil"/>
            </w:tcBorders>
          </w:tcPr>
          <w:p>
            <w:pPr>
              <w:pStyle w:val="TableParagraph"/>
              <w:spacing w:before="104"/>
              <w:ind w:left="337" w:right="378" w:firstLine="1"/>
              <w:jc w:val="center"/>
              <w:rPr>
                <w:sz w:val="20"/>
              </w:rPr>
            </w:pPr>
            <w:r>
              <w:rPr>
                <w:sz w:val="20"/>
              </w:rPr>
              <w:t>quantidade de ações de fiscalização realizadas pelo</w:t>
            </w:r>
          </w:p>
          <w:p>
            <w:pPr>
              <w:pStyle w:val="TableParagraph"/>
              <w:tabs>
                <w:tab w:pos="770" w:val="left" w:leader="none"/>
                <w:tab w:pos="2829" w:val="left" w:leader="none"/>
              </w:tabs>
              <w:spacing w:line="243" w:lineRule="exact"/>
              <w:ind w:right="36"/>
              <w:jc w:val="center"/>
              <w:rPr>
                <w:sz w:val="20"/>
              </w:rPr>
            </w:pPr>
            <w:r>
              <w:rPr>
                <w:w w:val="99"/>
                <w:sz w:val="20"/>
                <w:u w:val="single"/>
              </w:rPr>
              <w:t> </w:t>
            </w:r>
            <w:r>
              <w:rPr>
                <w:sz w:val="20"/>
                <w:u w:val="single"/>
              </w:rPr>
              <w:tab/>
              <w:t>CAU/UF no</w:t>
            </w:r>
            <w:r>
              <w:rPr>
                <w:spacing w:val="-6"/>
                <w:sz w:val="20"/>
                <w:u w:val="single"/>
              </w:rPr>
              <w:t> </w:t>
            </w:r>
            <w:r>
              <w:rPr>
                <w:sz w:val="20"/>
                <w:u w:val="single"/>
              </w:rPr>
              <w:t>mês</w:t>
              <w:tab/>
            </w:r>
          </w:p>
        </w:tc>
        <w:tc>
          <w:tcPr>
            <w:tcW w:w="650" w:type="dxa"/>
            <w:vMerge w:val="restart"/>
            <w:tcBorders>
              <w:top w:val="nil"/>
              <w:left w:val="nil"/>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18"/>
              </w:rPr>
            </w:pPr>
          </w:p>
          <w:p>
            <w:pPr>
              <w:pStyle w:val="TableParagraph"/>
              <w:ind w:left="87"/>
              <w:rPr>
                <w:sz w:val="20"/>
              </w:rPr>
            </w:pPr>
            <w:r>
              <w:rPr>
                <w:sz w:val="20"/>
              </w:rPr>
              <w:t>x 100</w:t>
            </w:r>
          </w:p>
        </w:tc>
        <w:tc>
          <w:tcPr>
            <w:tcW w:w="1275" w:type="dxa"/>
            <w:vMerge w:val="restart"/>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28"/>
              </w:rPr>
            </w:pPr>
          </w:p>
          <w:p>
            <w:pPr>
              <w:pStyle w:val="TableParagraph"/>
              <w:ind w:left="344"/>
              <w:rPr>
                <w:sz w:val="20"/>
              </w:rPr>
            </w:pPr>
            <w:r>
              <w:rPr>
                <w:sz w:val="20"/>
              </w:rPr>
              <w:t>Mensal</w:t>
            </w:r>
          </w:p>
        </w:tc>
        <w:tc>
          <w:tcPr>
            <w:tcW w:w="1136" w:type="dxa"/>
            <w:vMerge w:val="restart"/>
            <w:tcBorders>
              <w:top w:val="nil"/>
              <w:left w:val="single" w:sz="4" w:space="0" w:color="000000"/>
              <w:bottom w:val="nil"/>
            </w:tcBorders>
          </w:tcPr>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18"/>
              </w:rPr>
            </w:pPr>
          </w:p>
          <w:p>
            <w:pPr>
              <w:pStyle w:val="TableParagraph"/>
              <w:ind w:left="274"/>
              <w:rPr>
                <w:sz w:val="20"/>
              </w:rPr>
            </w:pPr>
            <w:r>
              <w:rPr>
                <w:sz w:val="20"/>
              </w:rPr>
              <w:t>SICCAU</w:t>
            </w:r>
          </w:p>
        </w:tc>
      </w:tr>
      <w:tr>
        <w:trPr>
          <w:trHeight w:val="843" w:hRule="atLeast"/>
        </w:trPr>
        <w:tc>
          <w:tcPr>
            <w:tcW w:w="1560" w:type="dxa"/>
            <w:vMerge/>
            <w:tcBorders>
              <w:top w:val="nil"/>
              <w:bottom w:val="nil"/>
              <w:right w:val="single" w:sz="4" w:space="0" w:color="000000"/>
            </w:tcBorders>
          </w:tcPr>
          <w:p>
            <w:pPr>
              <w:rPr>
                <w:sz w:val="2"/>
                <w:szCs w:val="2"/>
              </w:rPr>
            </w:pPr>
          </w:p>
        </w:tc>
        <w:tc>
          <w:tcPr>
            <w:tcW w:w="1701" w:type="dxa"/>
            <w:vMerge/>
            <w:tcBorders>
              <w:top w:val="nil"/>
              <w:left w:val="single" w:sz="4" w:space="0" w:color="000000"/>
              <w:bottom w:val="nil"/>
              <w:right w:val="single" w:sz="4" w:space="0" w:color="000000"/>
            </w:tcBorders>
          </w:tcPr>
          <w:p>
            <w:pPr>
              <w:rPr>
                <w:sz w:val="2"/>
                <w:szCs w:val="2"/>
              </w:rPr>
            </w:pPr>
          </w:p>
        </w:tc>
        <w:tc>
          <w:tcPr>
            <w:tcW w:w="1841" w:type="dxa"/>
            <w:vMerge/>
            <w:tcBorders>
              <w:top w:val="nil"/>
              <w:left w:val="single" w:sz="4" w:space="0" w:color="000000"/>
              <w:bottom w:val="nil"/>
              <w:right w:val="single" w:sz="4" w:space="0" w:color="000000"/>
            </w:tcBorders>
          </w:tcPr>
          <w:p>
            <w:pPr>
              <w:rPr>
                <w:sz w:val="2"/>
                <w:szCs w:val="2"/>
              </w:rPr>
            </w:pPr>
          </w:p>
        </w:tc>
        <w:tc>
          <w:tcPr>
            <w:tcW w:w="4536" w:type="dxa"/>
            <w:vMerge/>
            <w:tcBorders>
              <w:top w:val="nil"/>
              <w:left w:val="single" w:sz="4" w:space="0" w:color="000000"/>
              <w:bottom w:val="nil"/>
              <w:right w:val="single" w:sz="4" w:space="0" w:color="000000"/>
            </w:tcBorders>
          </w:tcPr>
          <w:p>
            <w:pPr>
              <w:rPr>
                <w:sz w:val="2"/>
                <w:szCs w:val="2"/>
              </w:rPr>
            </w:pPr>
          </w:p>
        </w:tc>
        <w:tc>
          <w:tcPr>
            <w:tcW w:w="2896" w:type="dxa"/>
            <w:tcBorders>
              <w:top w:val="nil"/>
              <w:left w:val="single" w:sz="4" w:space="0" w:color="000000"/>
              <w:bottom w:val="nil"/>
              <w:right w:val="nil"/>
            </w:tcBorders>
          </w:tcPr>
          <w:p>
            <w:pPr>
              <w:pStyle w:val="TableParagraph"/>
              <w:spacing w:line="224" w:lineRule="exact"/>
              <w:ind w:right="41"/>
              <w:jc w:val="center"/>
              <w:rPr>
                <w:sz w:val="20"/>
              </w:rPr>
            </w:pPr>
            <w:r>
              <w:rPr>
                <w:sz w:val="20"/>
              </w:rPr>
              <w:t>número de ações de fiscalização</w:t>
            </w:r>
          </w:p>
          <w:p>
            <w:pPr>
              <w:pStyle w:val="TableParagraph"/>
              <w:ind w:right="42"/>
              <w:jc w:val="center"/>
              <w:rPr>
                <w:sz w:val="20"/>
              </w:rPr>
            </w:pPr>
            <w:r>
              <w:rPr>
                <w:sz w:val="20"/>
              </w:rPr>
              <w:t>previstas no Plano de Ação aprovado</w:t>
            </w:r>
          </w:p>
        </w:tc>
        <w:tc>
          <w:tcPr>
            <w:tcW w:w="650" w:type="dxa"/>
            <w:vMerge/>
            <w:tcBorders>
              <w:top w:val="nil"/>
              <w:left w:val="nil"/>
              <w:bottom w:val="nil"/>
              <w:right w:val="single" w:sz="4" w:space="0" w:color="000000"/>
            </w:tcBorders>
          </w:tcPr>
          <w:p>
            <w:pPr>
              <w:rPr>
                <w:sz w:val="2"/>
                <w:szCs w:val="2"/>
              </w:rPr>
            </w:pPr>
          </w:p>
        </w:tc>
        <w:tc>
          <w:tcPr>
            <w:tcW w:w="1275" w:type="dxa"/>
            <w:vMerge/>
            <w:tcBorders>
              <w:top w:val="nil"/>
              <w:left w:val="single" w:sz="4" w:space="0" w:color="000000"/>
              <w:bottom w:val="nil"/>
              <w:right w:val="single" w:sz="4" w:space="0" w:color="000000"/>
            </w:tcBorders>
          </w:tcPr>
          <w:p>
            <w:pPr>
              <w:rPr>
                <w:sz w:val="2"/>
                <w:szCs w:val="2"/>
              </w:rPr>
            </w:pPr>
          </w:p>
        </w:tc>
        <w:tc>
          <w:tcPr>
            <w:tcW w:w="1136" w:type="dxa"/>
            <w:vMerge/>
            <w:tcBorders>
              <w:top w:val="nil"/>
              <w:left w:val="single" w:sz="4" w:space="0" w:color="000000"/>
              <w:bottom w:val="nil"/>
            </w:tcBorders>
          </w:tcPr>
          <w:p>
            <w:pPr>
              <w:rPr>
                <w:sz w:val="2"/>
                <w:szCs w:val="2"/>
              </w:rPr>
            </w:pPr>
          </w:p>
        </w:tc>
      </w:tr>
      <w:tr>
        <w:trPr>
          <w:trHeight w:val="243" w:hRule="atLeast"/>
        </w:trPr>
        <w:tc>
          <w:tcPr>
            <w:tcW w:w="1560" w:type="dxa"/>
            <w:tcBorders>
              <w:top w:val="nil"/>
              <w:bottom w:val="nil"/>
              <w:right w:val="single" w:sz="4" w:space="0" w:color="000000"/>
            </w:tcBorders>
          </w:tcPr>
          <w:p>
            <w:pPr>
              <w:pStyle w:val="TableParagraph"/>
              <w:rPr>
                <w:rFonts w:ascii="Times New Roman"/>
                <w:sz w:val="16"/>
              </w:rPr>
            </w:pPr>
          </w:p>
        </w:tc>
        <w:tc>
          <w:tcPr>
            <w:tcW w:w="1701"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4536" w:type="dxa"/>
            <w:tcBorders>
              <w:top w:val="nil"/>
              <w:left w:val="single" w:sz="4" w:space="0" w:color="000000"/>
              <w:bottom w:val="nil"/>
              <w:right w:val="single" w:sz="4" w:space="0" w:color="000000"/>
            </w:tcBorders>
          </w:tcPr>
          <w:p>
            <w:pPr>
              <w:pStyle w:val="TableParagraph"/>
              <w:spacing w:line="224" w:lineRule="exact"/>
              <w:ind w:left="77"/>
              <w:rPr>
                <w:sz w:val="20"/>
              </w:rPr>
            </w:pPr>
            <w:r>
              <w:rPr>
                <w:sz w:val="20"/>
              </w:rPr>
              <w:t>de Obras; Editais de Concursos Públicos e Editais de</w:t>
            </w:r>
          </w:p>
        </w:tc>
        <w:tc>
          <w:tcPr>
            <w:tcW w:w="2896" w:type="dxa"/>
            <w:tcBorders>
              <w:top w:val="nil"/>
              <w:left w:val="single" w:sz="4" w:space="0" w:color="000000"/>
              <w:bottom w:val="nil"/>
              <w:right w:val="nil"/>
            </w:tcBorders>
          </w:tcPr>
          <w:p>
            <w:pPr>
              <w:pStyle w:val="TableParagraph"/>
              <w:rPr>
                <w:rFonts w:ascii="Times New Roman"/>
                <w:sz w:val="16"/>
              </w:rPr>
            </w:pPr>
          </w:p>
        </w:tc>
        <w:tc>
          <w:tcPr>
            <w:tcW w:w="650" w:type="dxa"/>
            <w:tcBorders>
              <w:top w:val="nil"/>
              <w:left w:val="nil"/>
              <w:bottom w:val="nil"/>
              <w:right w:val="single" w:sz="4" w:space="0" w:color="000000"/>
            </w:tcBorders>
          </w:tcPr>
          <w:p>
            <w:pPr>
              <w:pStyle w:val="TableParagraph"/>
              <w:rPr>
                <w:rFonts w:ascii="Times New Roman"/>
                <w:sz w:val="16"/>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136" w:type="dxa"/>
            <w:tcBorders>
              <w:top w:val="nil"/>
              <w:left w:val="single" w:sz="4" w:space="0" w:color="000000"/>
              <w:bottom w:val="nil"/>
            </w:tcBorders>
          </w:tcPr>
          <w:p>
            <w:pPr>
              <w:pStyle w:val="TableParagraph"/>
              <w:rPr>
                <w:rFonts w:ascii="Times New Roman"/>
                <w:sz w:val="16"/>
              </w:rPr>
            </w:pPr>
          </w:p>
        </w:tc>
      </w:tr>
      <w:tr>
        <w:trPr>
          <w:trHeight w:val="859" w:hRule="atLeast"/>
        </w:trPr>
        <w:tc>
          <w:tcPr>
            <w:tcW w:w="1560" w:type="dxa"/>
            <w:tcBorders>
              <w:top w:val="nil"/>
              <w:bottom w:val="single" w:sz="4" w:space="0" w:color="000000"/>
              <w:right w:val="single" w:sz="4" w:space="0" w:color="000000"/>
            </w:tcBorders>
          </w:tcPr>
          <w:p>
            <w:pPr>
              <w:pStyle w:val="TableParagraph"/>
              <w:rPr>
                <w:rFonts w:ascii="Times New Roman"/>
                <w:sz w:val="20"/>
              </w:rPr>
            </w:pPr>
          </w:p>
        </w:tc>
        <w:tc>
          <w:tcPr>
            <w:tcW w:w="170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84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4536" w:type="dxa"/>
            <w:tcBorders>
              <w:top w:val="nil"/>
              <w:left w:val="single" w:sz="4" w:space="0" w:color="000000"/>
              <w:bottom w:val="single" w:sz="4" w:space="0" w:color="000000"/>
              <w:right w:val="single" w:sz="4" w:space="0" w:color="000000"/>
            </w:tcBorders>
          </w:tcPr>
          <w:p>
            <w:pPr>
              <w:pStyle w:val="TableParagraph"/>
              <w:spacing w:line="225" w:lineRule="exact"/>
              <w:ind w:left="77"/>
              <w:rPr>
                <w:sz w:val="20"/>
              </w:rPr>
            </w:pPr>
            <w:r>
              <w:rPr>
                <w:sz w:val="20"/>
              </w:rPr>
              <w:t>Licitações; e de Fiscalização entre outros.</w:t>
            </w:r>
          </w:p>
        </w:tc>
        <w:tc>
          <w:tcPr>
            <w:tcW w:w="2896" w:type="dxa"/>
            <w:tcBorders>
              <w:top w:val="nil"/>
              <w:left w:val="single" w:sz="4" w:space="0" w:color="000000"/>
              <w:bottom w:val="single" w:sz="4" w:space="0" w:color="000000"/>
              <w:right w:val="nil"/>
            </w:tcBorders>
          </w:tcPr>
          <w:p>
            <w:pPr>
              <w:pStyle w:val="TableParagraph"/>
              <w:rPr>
                <w:rFonts w:ascii="Times New Roman"/>
                <w:sz w:val="20"/>
              </w:rPr>
            </w:pPr>
          </w:p>
        </w:tc>
        <w:tc>
          <w:tcPr>
            <w:tcW w:w="650" w:type="dxa"/>
            <w:tcBorders>
              <w:top w:val="nil"/>
              <w:left w:val="nil"/>
              <w:bottom w:val="single" w:sz="4" w:space="0" w:color="000000"/>
              <w:right w:val="single" w:sz="4" w:space="0" w:color="000000"/>
            </w:tcBorders>
          </w:tcPr>
          <w:p>
            <w:pPr>
              <w:pStyle w:val="TableParagraph"/>
              <w:rPr>
                <w:rFonts w:ascii="Times New Roman"/>
                <w:sz w:val="20"/>
              </w:rPr>
            </w:pPr>
          </w:p>
        </w:tc>
        <w:tc>
          <w:tcPr>
            <w:tcW w:w="12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36"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headerReference w:type="default" r:id="rId25"/>
          <w:footerReference w:type="default" r:id="rId26"/>
          <w:pgSz w:w="16840" w:h="11910" w:orient="landscape"/>
          <w:pgMar w:header="590" w:footer="618" w:top="1460" w:bottom="800" w:left="440" w:right="400"/>
        </w:sectPr>
      </w:pPr>
    </w:p>
    <w:p>
      <w:pPr>
        <w:pStyle w:val="BodyText"/>
        <w:rPr>
          <w:rFonts w:ascii="Calibri Light"/>
          <w:b w:val="0"/>
          <w:sz w:val="14"/>
        </w:rPr>
      </w:pPr>
    </w:p>
    <w:p>
      <w:pPr>
        <w:spacing w:before="56" w:after="23"/>
        <w:ind w:left="126" w:right="0" w:firstLine="0"/>
        <w:jc w:val="left"/>
        <w:rPr>
          <w:rFonts w:ascii="Calibri Light" w:hAnsi="Calibri Light"/>
          <w:b w:val="0"/>
          <w:sz w:val="22"/>
        </w:rPr>
      </w:pPr>
      <w:r>
        <w:rPr>
          <w:rFonts w:ascii="Calibri Light" w:hAnsi="Calibri Light"/>
          <w:b w:val="0"/>
          <w:sz w:val="22"/>
        </w:rPr>
        <w:t>ANEXO I.a – Indicadores Institucionais e de Resultado – CAU UF</w:t>
      </w: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7"/>
        <w:gridCol w:w="1795"/>
        <w:gridCol w:w="1841"/>
        <w:gridCol w:w="5403"/>
        <w:gridCol w:w="2822"/>
        <w:gridCol w:w="1130"/>
        <w:gridCol w:w="1135"/>
      </w:tblGrid>
      <w:tr>
        <w:trPr>
          <w:trHeight w:val="1574" w:hRule="atLeast"/>
        </w:trPr>
        <w:tc>
          <w:tcPr>
            <w:tcW w:w="1467"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51"/>
              <w:rPr>
                <w:b/>
                <w:sz w:val="20"/>
              </w:rPr>
            </w:pPr>
            <w:r>
              <w:rPr>
                <w:b/>
                <w:color w:val="FFFFFF"/>
                <w:sz w:val="20"/>
              </w:rPr>
              <w:t>Perspectiva</w:t>
            </w:r>
          </w:p>
        </w:tc>
        <w:tc>
          <w:tcPr>
            <w:tcW w:w="1795"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441" w:firstLine="105"/>
              <w:rPr>
                <w:b/>
                <w:sz w:val="20"/>
              </w:rPr>
            </w:pPr>
            <w:r>
              <w:rPr>
                <w:b/>
                <w:color w:val="FFFFFF"/>
                <w:sz w:val="20"/>
              </w:rPr>
              <w:t>Objetivo </w:t>
            </w:r>
            <w:r>
              <w:rPr>
                <w:b/>
                <w:color w:val="FFFFFF"/>
                <w:w w:val="95"/>
                <w:sz w:val="20"/>
              </w:rPr>
              <w:t>Estratégico</w:t>
            </w:r>
          </w:p>
        </w:tc>
        <w:tc>
          <w:tcPr>
            <w:tcW w:w="184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91" w:right="72"/>
              <w:jc w:val="center"/>
              <w:rPr>
                <w:b/>
                <w:sz w:val="20"/>
              </w:rPr>
            </w:pPr>
            <w:r>
              <w:rPr>
                <w:b/>
                <w:color w:val="FFFFFF"/>
                <w:sz w:val="20"/>
              </w:rPr>
              <w:t>Indicador</w:t>
            </w:r>
          </w:p>
        </w:tc>
        <w:tc>
          <w:tcPr>
            <w:tcW w:w="540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285" w:right="2266"/>
              <w:jc w:val="center"/>
              <w:rPr>
                <w:b/>
                <w:sz w:val="20"/>
              </w:rPr>
            </w:pPr>
            <w:r>
              <w:rPr>
                <w:b/>
                <w:color w:val="FFFFFF"/>
                <w:sz w:val="20"/>
              </w:rPr>
              <w:t>Descrição</w:t>
            </w:r>
          </w:p>
        </w:tc>
        <w:tc>
          <w:tcPr>
            <w:tcW w:w="282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58" w:right="240"/>
              <w:jc w:val="center"/>
              <w:rPr>
                <w:b/>
                <w:sz w:val="20"/>
              </w:rPr>
            </w:pPr>
            <w:r>
              <w:rPr>
                <w:b/>
                <w:color w:val="FFFFFF"/>
                <w:sz w:val="20"/>
              </w:rPr>
              <w:t>Fórmula de Cálculo</w:t>
            </w:r>
          </w:p>
        </w:tc>
        <w:tc>
          <w:tcPr>
            <w:tcW w:w="1130"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82" w:right="42" w:firstLine="28"/>
              <w:rPr>
                <w:b/>
                <w:sz w:val="20"/>
              </w:rPr>
            </w:pPr>
            <w:r>
              <w:rPr>
                <w:b/>
                <w:color w:val="FFFFFF"/>
                <w:sz w:val="20"/>
              </w:rPr>
              <w:t>Frequência de Medição</w:t>
            </w:r>
          </w:p>
        </w:tc>
        <w:tc>
          <w:tcPr>
            <w:tcW w:w="1135" w:type="dxa"/>
            <w:tcBorders>
              <w:lef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181" w:right="133" w:firstLine="24"/>
              <w:rPr>
                <w:b/>
                <w:sz w:val="20"/>
              </w:rPr>
            </w:pPr>
            <w:r>
              <w:rPr>
                <w:b/>
                <w:color w:val="FFFFFF"/>
                <w:sz w:val="20"/>
              </w:rPr>
              <w:t>Fonte do Indicador</w:t>
            </w:r>
          </w:p>
        </w:tc>
      </w:tr>
      <w:tr>
        <w:trPr>
          <w:trHeight w:val="655" w:hRule="atLeast"/>
        </w:trPr>
        <w:tc>
          <w:tcPr>
            <w:tcW w:w="1467" w:type="dxa"/>
            <w:tcBorders>
              <w:bottom w:val="nil"/>
              <w:right w:val="single" w:sz="4" w:space="0" w:color="000000"/>
            </w:tcBorders>
          </w:tcPr>
          <w:p>
            <w:pPr>
              <w:pStyle w:val="TableParagraph"/>
              <w:rPr>
                <w:rFonts w:ascii="Times New Roman"/>
                <w:sz w:val="20"/>
              </w:rPr>
            </w:pPr>
          </w:p>
        </w:tc>
        <w:tc>
          <w:tcPr>
            <w:tcW w:w="1795" w:type="dxa"/>
            <w:tcBorders>
              <w:left w:val="single" w:sz="4" w:space="0" w:color="000000"/>
              <w:bottom w:val="nil"/>
              <w:right w:val="single" w:sz="4" w:space="0" w:color="000000"/>
            </w:tcBorders>
          </w:tcPr>
          <w:p>
            <w:pPr>
              <w:pStyle w:val="TableParagraph"/>
              <w:rPr>
                <w:rFonts w:ascii="Times New Roman"/>
                <w:sz w:val="20"/>
              </w:rPr>
            </w:pPr>
          </w:p>
        </w:tc>
        <w:tc>
          <w:tcPr>
            <w:tcW w:w="1841" w:type="dxa"/>
            <w:tcBorders>
              <w:left w:val="single" w:sz="4" w:space="0" w:color="000000"/>
              <w:bottom w:val="nil"/>
              <w:right w:val="single" w:sz="4" w:space="0" w:color="000000"/>
            </w:tcBorders>
          </w:tcPr>
          <w:p>
            <w:pPr>
              <w:pStyle w:val="TableParagraph"/>
              <w:rPr>
                <w:rFonts w:ascii="Times New Roman"/>
                <w:sz w:val="20"/>
              </w:rPr>
            </w:pPr>
          </w:p>
        </w:tc>
        <w:tc>
          <w:tcPr>
            <w:tcW w:w="5403" w:type="dxa"/>
            <w:tcBorders>
              <w:left w:val="single" w:sz="4" w:space="0" w:color="000000"/>
              <w:bottom w:val="nil"/>
              <w:right w:val="single" w:sz="4" w:space="0" w:color="000000"/>
            </w:tcBorders>
          </w:tcPr>
          <w:p>
            <w:pPr>
              <w:pStyle w:val="TableParagraph"/>
              <w:rPr>
                <w:rFonts w:ascii="Calibri Light"/>
                <w:b w:val="0"/>
                <w:sz w:val="20"/>
              </w:rPr>
            </w:pPr>
          </w:p>
          <w:p>
            <w:pPr>
              <w:pStyle w:val="TableParagraph"/>
              <w:spacing w:line="238" w:lineRule="exact" w:before="153"/>
              <w:ind w:left="76"/>
              <w:rPr>
                <w:sz w:val="20"/>
              </w:rPr>
            </w:pPr>
            <w:r>
              <w:rPr>
                <w:sz w:val="20"/>
              </w:rPr>
              <w:t>Pretende medir se a atividade de fiscalização está contribuindo</w:t>
            </w:r>
          </w:p>
        </w:tc>
        <w:tc>
          <w:tcPr>
            <w:tcW w:w="2822"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7"/>
              </w:rPr>
            </w:pPr>
          </w:p>
          <w:p>
            <w:pPr>
              <w:pStyle w:val="TableParagraph"/>
              <w:ind w:left="77"/>
              <w:rPr>
                <w:sz w:val="20"/>
              </w:rPr>
            </w:pPr>
            <w:r>
              <w:rPr>
                <w:sz w:val="20"/>
              </w:rPr>
              <w:t>quantidade de obras e</w:t>
            </w:r>
          </w:p>
          <w:p>
            <w:pPr>
              <w:pStyle w:val="TableParagraph"/>
              <w:tabs>
                <w:tab w:pos="262" w:val="left" w:leader="none"/>
                <w:tab w:pos="1973" w:val="left" w:leader="none"/>
              </w:tabs>
              <w:spacing w:line="213" w:lineRule="auto" w:before="14"/>
              <w:ind w:left="77" w:right="329" w:hanging="68"/>
              <w:rPr>
                <w:sz w:val="20"/>
              </w:rPr>
            </w:pPr>
            <w:r>
              <w:rPr>
                <w:w w:val="99"/>
                <w:sz w:val="20"/>
                <w:u w:val="single"/>
              </w:rPr>
              <w:t> </w:t>
            </w:r>
            <w:r>
              <w:rPr>
                <w:sz w:val="20"/>
                <w:u w:val="single"/>
              </w:rPr>
              <w:tab/>
              <w:tab/>
              <w:t>serviços</w:t>
            </w:r>
            <w:r>
              <w:rPr>
                <w:spacing w:val="-1"/>
                <w:sz w:val="20"/>
                <w:u w:val="single"/>
              </w:rPr>
              <w:t> </w:t>
            </w:r>
            <w:r>
              <w:rPr>
                <w:sz w:val="20"/>
                <w:u w:val="single"/>
              </w:rPr>
              <w:t>regulares</w:t>
              <w:tab/>
            </w:r>
            <w:r>
              <w:rPr>
                <w:position w:val="-6"/>
                <w:sz w:val="20"/>
              </w:rPr>
              <w:t>x </w:t>
            </w:r>
            <w:r>
              <w:rPr>
                <w:spacing w:val="-6"/>
                <w:position w:val="-6"/>
                <w:sz w:val="20"/>
              </w:rPr>
              <w:t>100 </w:t>
            </w:r>
            <w:r>
              <w:rPr>
                <w:sz w:val="20"/>
              </w:rPr>
              <w:t>quantidade de obras e serviços fiscalizados</w:t>
            </w:r>
          </w:p>
          <w:p>
            <w:pPr>
              <w:pStyle w:val="TableParagraph"/>
              <w:spacing w:before="9"/>
              <w:ind w:left="463"/>
              <w:rPr>
                <w:sz w:val="20"/>
              </w:rPr>
            </w:pPr>
            <w:r>
              <w:rPr>
                <w:sz w:val="20"/>
              </w:rPr>
              <w:t>pelo CAU/UF</w:t>
            </w:r>
          </w:p>
        </w:tc>
        <w:tc>
          <w:tcPr>
            <w:tcW w:w="1130" w:type="dxa"/>
            <w:tcBorders>
              <w:left w:val="single" w:sz="4" w:space="0" w:color="000000"/>
              <w:bottom w:val="nil"/>
              <w:right w:val="single" w:sz="4" w:space="0" w:color="000000"/>
            </w:tcBorders>
          </w:tcPr>
          <w:p>
            <w:pPr>
              <w:pStyle w:val="TableParagraph"/>
              <w:rPr>
                <w:rFonts w:ascii="Times New Roman"/>
                <w:sz w:val="20"/>
              </w:rPr>
            </w:pPr>
          </w:p>
        </w:tc>
        <w:tc>
          <w:tcPr>
            <w:tcW w:w="1135" w:type="dxa"/>
            <w:tcBorders>
              <w:left w:val="single" w:sz="4" w:space="0" w:color="000000"/>
              <w:bottom w:val="nil"/>
            </w:tcBorders>
          </w:tcPr>
          <w:p>
            <w:pPr>
              <w:pStyle w:val="TableParagraph"/>
              <w:rPr>
                <w:rFonts w:ascii="Times New Roman"/>
                <w:sz w:val="20"/>
              </w:rPr>
            </w:pPr>
          </w:p>
        </w:tc>
      </w:tr>
      <w:tr>
        <w:trPr>
          <w:trHeight w:val="234"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5403" w:type="dxa"/>
            <w:tcBorders>
              <w:top w:val="nil"/>
              <w:left w:val="single" w:sz="4" w:space="0" w:color="000000"/>
              <w:bottom w:val="nil"/>
              <w:right w:val="single" w:sz="4" w:space="0" w:color="000000"/>
            </w:tcBorders>
          </w:tcPr>
          <w:p>
            <w:pPr>
              <w:pStyle w:val="TableParagraph"/>
              <w:spacing w:line="215" w:lineRule="exact"/>
              <w:ind w:left="76"/>
              <w:rPr>
                <w:sz w:val="20"/>
              </w:rPr>
            </w:pPr>
            <w:r>
              <w:rPr>
                <w:sz w:val="20"/>
              </w:rPr>
              <w:t>para melhoria do exercício profissional da Arquitetura e</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5403" w:type="dxa"/>
            <w:tcBorders>
              <w:top w:val="nil"/>
              <w:left w:val="single" w:sz="4" w:space="0" w:color="000000"/>
              <w:bottom w:val="nil"/>
              <w:right w:val="single" w:sz="4" w:space="0" w:color="000000"/>
            </w:tcBorders>
          </w:tcPr>
          <w:p>
            <w:pPr>
              <w:pStyle w:val="TableParagraph"/>
              <w:spacing w:line="214" w:lineRule="exact"/>
              <w:ind w:left="76"/>
              <w:rPr>
                <w:sz w:val="20"/>
              </w:rPr>
            </w:pPr>
            <w:r>
              <w:rPr>
                <w:sz w:val="20"/>
              </w:rPr>
              <w:t>Urbanismo. Com o tempo é esperado um aumento da</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4" w:lineRule="exact"/>
              <w:ind w:left="88" w:right="72"/>
              <w:jc w:val="center"/>
              <w:rPr>
                <w:sz w:val="20"/>
              </w:rPr>
            </w:pPr>
            <w:r>
              <w:rPr>
                <w:sz w:val="20"/>
              </w:rPr>
              <w:t>Índice de presença</w:t>
            </w:r>
          </w:p>
        </w:tc>
        <w:tc>
          <w:tcPr>
            <w:tcW w:w="5403" w:type="dxa"/>
            <w:tcBorders>
              <w:top w:val="nil"/>
              <w:left w:val="single" w:sz="4" w:space="0" w:color="000000"/>
              <w:bottom w:val="nil"/>
              <w:right w:val="single" w:sz="4" w:space="0" w:color="000000"/>
            </w:tcBorders>
          </w:tcPr>
          <w:p>
            <w:pPr>
              <w:pStyle w:val="TableParagraph"/>
              <w:tabs>
                <w:tab w:pos="1588" w:val="left" w:leader="none"/>
                <w:tab w:pos="2017" w:val="left" w:leader="none"/>
                <w:tab w:pos="3093" w:val="left" w:leader="none"/>
                <w:tab w:pos="3422" w:val="left" w:leader="none"/>
                <w:tab w:pos="3940" w:val="left" w:leader="none"/>
                <w:tab w:pos="5187" w:val="left" w:leader="none"/>
              </w:tabs>
              <w:spacing w:line="214" w:lineRule="exact"/>
              <w:ind w:left="76"/>
              <w:rPr>
                <w:sz w:val="20"/>
              </w:rPr>
            </w:pPr>
            <w:r>
              <w:rPr>
                <w:sz w:val="20"/>
              </w:rPr>
              <w:t>conscientização</w:t>
              <w:tab/>
              <w:t>da</w:t>
              <w:tab/>
              <w:t>população</w:t>
              <w:tab/>
              <w:t>e</w:t>
              <w:tab/>
              <w:t>dos</w:t>
              <w:tab/>
              <w:t>profissionais</w:t>
              <w:tab/>
              <w:t>e,</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235"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5" w:lineRule="exact"/>
              <w:ind w:left="88" w:right="72"/>
              <w:jc w:val="center"/>
              <w:rPr>
                <w:sz w:val="20"/>
              </w:rPr>
            </w:pPr>
            <w:r>
              <w:rPr>
                <w:sz w:val="20"/>
              </w:rPr>
              <w:t>profissional nas</w:t>
            </w:r>
          </w:p>
        </w:tc>
        <w:tc>
          <w:tcPr>
            <w:tcW w:w="5403" w:type="dxa"/>
            <w:tcBorders>
              <w:top w:val="nil"/>
              <w:left w:val="single" w:sz="4" w:space="0" w:color="000000"/>
              <w:bottom w:val="nil"/>
              <w:right w:val="single" w:sz="4" w:space="0" w:color="000000"/>
            </w:tcBorders>
          </w:tcPr>
          <w:p>
            <w:pPr>
              <w:pStyle w:val="TableParagraph"/>
              <w:spacing w:line="215" w:lineRule="exact"/>
              <w:ind w:left="76"/>
              <w:rPr>
                <w:sz w:val="20"/>
              </w:rPr>
            </w:pPr>
            <w:r>
              <w:rPr>
                <w:sz w:val="20"/>
              </w:rPr>
              <w:t>consequentemente, um aumento na percepção da presença</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235"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5" w:lineRule="exact"/>
              <w:ind w:left="88" w:right="72"/>
              <w:jc w:val="center"/>
              <w:rPr>
                <w:sz w:val="20"/>
              </w:rPr>
            </w:pPr>
            <w:r>
              <w:rPr>
                <w:sz w:val="20"/>
              </w:rPr>
              <w:t>obras e serviços</w:t>
            </w:r>
          </w:p>
        </w:tc>
        <w:tc>
          <w:tcPr>
            <w:tcW w:w="5403" w:type="dxa"/>
            <w:tcBorders>
              <w:top w:val="nil"/>
              <w:left w:val="single" w:sz="4" w:space="0" w:color="000000"/>
              <w:bottom w:val="nil"/>
              <w:right w:val="single" w:sz="4" w:space="0" w:color="000000"/>
            </w:tcBorders>
          </w:tcPr>
          <w:p>
            <w:pPr>
              <w:pStyle w:val="TableParagraph"/>
              <w:spacing w:line="215" w:lineRule="exact"/>
              <w:ind w:left="76"/>
              <w:rPr>
                <w:sz w:val="20"/>
              </w:rPr>
            </w:pPr>
            <w:r>
              <w:rPr>
                <w:sz w:val="20"/>
              </w:rPr>
              <w:t>profissional nos serviços em execução.</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spacing w:line="215" w:lineRule="exact"/>
              <w:ind w:left="272"/>
              <w:rPr>
                <w:sz w:val="20"/>
              </w:rPr>
            </w:pPr>
            <w:r>
              <w:rPr>
                <w:sz w:val="20"/>
              </w:rPr>
              <w:t>Mensal</w:t>
            </w:r>
          </w:p>
        </w:tc>
        <w:tc>
          <w:tcPr>
            <w:tcW w:w="1135" w:type="dxa"/>
            <w:tcBorders>
              <w:top w:val="nil"/>
              <w:left w:val="single" w:sz="4" w:space="0" w:color="000000"/>
              <w:bottom w:val="nil"/>
            </w:tcBorders>
          </w:tcPr>
          <w:p>
            <w:pPr>
              <w:pStyle w:val="TableParagraph"/>
              <w:spacing w:line="215" w:lineRule="exact"/>
              <w:ind w:left="254" w:right="226"/>
              <w:jc w:val="center"/>
              <w:rPr>
                <w:sz w:val="20"/>
              </w:rPr>
            </w:pPr>
            <w:r>
              <w:rPr>
                <w:sz w:val="20"/>
              </w:rPr>
              <w:t>SICCAU</w:t>
            </w: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4" w:lineRule="exact"/>
              <w:ind w:left="88" w:right="72"/>
              <w:jc w:val="center"/>
              <w:rPr>
                <w:sz w:val="20"/>
              </w:rPr>
            </w:pPr>
            <w:r>
              <w:rPr>
                <w:sz w:val="20"/>
              </w:rPr>
              <w:t>fiscalizados (%)</w:t>
            </w:r>
          </w:p>
        </w:tc>
        <w:tc>
          <w:tcPr>
            <w:tcW w:w="5403" w:type="dxa"/>
            <w:tcBorders>
              <w:top w:val="nil"/>
              <w:left w:val="single" w:sz="4" w:space="0" w:color="000000"/>
              <w:bottom w:val="nil"/>
              <w:right w:val="single" w:sz="4" w:space="0" w:color="000000"/>
            </w:tcBorders>
          </w:tcPr>
          <w:p>
            <w:pPr>
              <w:pStyle w:val="TableParagraph"/>
              <w:spacing w:line="214" w:lineRule="exact"/>
              <w:ind w:left="76"/>
              <w:rPr>
                <w:sz w:val="20"/>
              </w:rPr>
            </w:pPr>
            <w:r>
              <w:rPr>
                <w:sz w:val="20"/>
              </w:rPr>
              <w:t>Para este indicador, são consideradas regulares aquelas obras</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4" w:lineRule="exact"/>
              <w:ind w:left="88" w:right="72"/>
              <w:jc w:val="center"/>
              <w:rPr>
                <w:b/>
                <w:sz w:val="20"/>
              </w:rPr>
            </w:pPr>
            <w:r>
              <w:rPr>
                <w:b/>
                <w:sz w:val="20"/>
              </w:rPr>
              <w:t>(CAU/UF)</w:t>
            </w:r>
          </w:p>
        </w:tc>
        <w:tc>
          <w:tcPr>
            <w:tcW w:w="5403" w:type="dxa"/>
            <w:tcBorders>
              <w:top w:val="nil"/>
              <w:left w:val="single" w:sz="4" w:space="0" w:color="000000"/>
              <w:bottom w:val="nil"/>
              <w:right w:val="single" w:sz="4" w:space="0" w:color="000000"/>
            </w:tcBorders>
          </w:tcPr>
          <w:p>
            <w:pPr>
              <w:pStyle w:val="TableParagraph"/>
              <w:spacing w:line="214" w:lineRule="exact"/>
              <w:ind w:left="76"/>
              <w:rPr>
                <w:b/>
                <w:sz w:val="20"/>
              </w:rPr>
            </w:pPr>
            <w:r>
              <w:rPr>
                <w:sz w:val="20"/>
              </w:rPr>
              <w:t>que, no momento da ação de fiscalização, apresentam </w:t>
            </w:r>
            <w:r>
              <w:rPr>
                <w:b/>
                <w:sz w:val="20"/>
                <w:u w:val="single"/>
              </w:rPr>
              <w:t>ART ou</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234"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5403" w:type="dxa"/>
            <w:tcBorders>
              <w:top w:val="nil"/>
              <w:left w:val="single" w:sz="4" w:space="0" w:color="000000"/>
              <w:bottom w:val="nil"/>
              <w:right w:val="single" w:sz="4" w:space="0" w:color="000000"/>
            </w:tcBorders>
          </w:tcPr>
          <w:p>
            <w:pPr>
              <w:pStyle w:val="TableParagraph"/>
              <w:spacing w:line="215" w:lineRule="exact"/>
              <w:ind w:left="76"/>
              <w:rPr>
                <w:sz w:val="20"/>
              </w:rPr>
            </w:pPr>
            <w:r>
              <w:rPr>
                <w:b/>
                <w:sz w:val="20"/>
                <w:u w:val="single"/>
              </w:rPr>
              <w:t>RRT.</w:t>
            </w:r>
            <w:r>
              <w:rPr>
                <w:b/>
                <w:sz w:val="20"/>
              </w:rPr>
              <w:t> </w:t>
            </w:r>
            <w:r>
              <w:rPr>
                <w:sz w:val="20"/>
              </w:rPr>
              <w:t>Essa presença só poderá ser notada se as obras e serviços</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rPr>
                <w:rFonts w:ascii="Times New Roman"/>
                <w:sz w:val="16"/>
              </w:rPr>
            </w:pPr>
          </w:p>
        </w:tc>
        <w:tc>
          <w:tcPr>
            <w:tcW w:w="5403" w:type="dxa"/>
            <w:tcBorders>
              <w:top w:val="nil"/>
              <w:left w:val="single" w:sz="4" w:space="0" w:color="000000"/>
              <w:bottom w:val="nil"/>
              <w:right w:val="single" w:sz="4" w:space="0" w:color="000000"/>
            </w:tcBorders>
          </w:tcPr>
          <w:p>
            <w:pPr>
              <w:pStyle w:val="TableParagraph"/>
              <w:spacing w:line="214" w:lineRule="exact"/>
              <w:ind w:left="76"/>
              <w:rPr>
                <w:sz w:val="20"/>
              </w:rPr>
            </w:pPr>
            <w:r>
              <w:rPr>
                <w:sz w:val="20"/>
              </w:rPr>
              <w:t>forem fiscalizados. Por isso o denominador da fórmula é "obras e</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216" w:hRule="atLeast"/>
        </w:trPr>
        <w:tc>
          <w:tcPr>
            <w:tcW w:w="1467" w:type="dxa"/>
            <w:tcBorders>
              <w:top w:val="nil"/>
              <w:bottom w:val="nil"/>
              <w:right w:val="single" w:sz="4" w:space="0" w:color="000000"/>
            </w:tcBorders>
          </w:tcPr>
          <w:p>
            <w:pPr>
              <w:pStyle w:val="TableParagraph"/>
              <w:rPr>
                <w:rFonts w:ascii="Times New Roman"/>
                <w:sz w:val="14"/>
              </w:rPr>
            </w:pPr>
          </w:p>
        </w:tc>
        <w:tc>
          <w:tcPr>
            <w:tcW w:w="1795" w:type="dxa"/>
            <w:tcBorders>
              <w:top w:val="nil"/>
              <w:left w:val="single" w:sz="4" w:space="0" w:color="000000"/>
              <w:bottom w:val="nil"/>
              <w:right w:val="single" w:sz="4" w:space="0" w:color="000000"/>
            </w:tcBorders>
          </w:tcPr>
          <w:p>
            <w:pPr>
              <w:pStyle w:val="TableParagraph"/>
              <w:rPr>
                <w:rFonts w:ascii="Times New Roman"/>
                <w:sz w:val="14"/>
              </w:rPr>
            </w:pPr>
          </w:p>
        </w:tc>
        <w:tc>
          <w:tcPr>
            <w:tcW w:w="1841" w:type="dxa"/>
            <w:tcBorders>
              <w:top w:val="nil"/>
              <w:left w:val="single" w:sz="4" w:space="0" w:color="000000"/>
              <w:bottom w:val="nil"/>
              <w:right w:val="single" w:sz="4" w:space="0" w:color="000000"/>
            </w:tcBorders>
          </w:tcPr>
          <w:p>
            <w:pPr>
              <w:pStyle w:val="TableParagraph"/>
              <w:rPr>
                <w:rFonts w:ascii="Times New Roman"/>
                <w:sz w:val="14"/>
              </w:rPr>
            </w:pPr>
          </w:p>
        </w:tc>
        <w:tc>
          <w:tcPr>
            <w:tcW w:w="5403" w:type="dxa"/>
            <w:tcBorders>
              <w:top w:val="nil"/>
              <w:left w:val="single" w:sz="4" w:space="0" w:color="000000"/>
              <w:bottom w:val="nil"/>
              <w:right w:val="single" w:sz="4" w:space="0" w:color="000000"/>
            </w:tcBorders>
          </w:tcPr>
          <w:p>
            <w:pPr>
              <w:pStyle w:val="TableParagraph"/>
              <w:spacing w:line="197" w:lineRule="exact"/>
              <w:ind w:left="76"/>
              <w:rPr>
                <w:sz w:val="20"/>
              </w:rPr>
            </w:pPr>
            <w:r>
              <w:rPr>
                <w:sz w:val="20"/>
              </w:rPr>
              <w:t>serviços fiscalizados".</w:t>
            </w: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4"/>
              </w:rPr>
            </w:pPr>
          </w:p>
        </w:tc>
        <w:tc>
          <w:tcPr>
            <w:tcW w:w="1135" w:type="dxa"/>
            <w:tcBorders>
              <w:top w:val="nil"/>
              <w:left w:val="single" w:sz="4" w:space="0" w:color="000000"/>
              <w:bottom w:val="nil"/>
            </w:tcBorders>
          </w:tcPr>
          <w:p>
            <w:pPr>
              <w:pStyle w:val="TableParagraph"/>
              <w:rPr>
                <w:rFonts w:ascii="Times New Roman"/>
                <w:sz w:val="14"/>
              </w:rPr>
            </w:pPr>
          </w:p>
        </w:tc>
      </w:tr>
      <w:tr>
        <w:trPr>
          <w:trHeight w:val="390" w:hRule="atLeast"/>
        </w:trPr>
        <w:tc>
          <w:tcPr>
            <w:tcW w:w="1467" w:type="dxa"/>
            <w:vMerge w:val="restart"/>
            <w:tcBorders>
              <w:top w:val="nil"/>
              <w:bottom w:val="nil"/>
              <w:right w:val="single" w:sz="4" w:space="0" w:color="000000"/>
            </w:tcBorders>
          </w:tcPr>
          <w:p>
            <w:pPr>
              <w:pStyle w:val="TableParagraph"/>
              <w:spacing w:line="204" w:lineRule="exact"/>
              <w:ind w:left="310" w:right="299"/>
              <w:jc w:val="center"/>
              <w:rPr>
                <w:sz w:val="20"/>
              </w:rPr>
            </w:pPr>
            <w:r>
              <w:rPr>
                <w:sz w:val="20"/>
              </w:rPr>
              <w:t>Processos</w:t>
            </w:r>
          </w:p>
          <w:p>
            <w:pPr>
              <w:pStyle w:val="TableParagraph"/>
              <w:ind w:left="100" w:right="90" w:firstLine="1"/>
              <w:jc w:val="center"/>
              <w:rPr>
                <w:sz w:val="20"/>
              </w:rPr>
            </w:pPr>
            <w:r>
              <w:rPr>
                <w:sz w:val="20"/>
              </w:rPr>
              <w:t>Internos (Excelência </w:t>
            </w:r>
            <w:r>
              <w:rPr>
                <w:w w:val="95"/>
                <w:sz w:val="20"/>
              </w:rPr>
              <w:t>Organizacional)</w:t>
            </w:r>
          </w:p>
        </w:tc>
        <w:tc>
          <w:tcPr>
            <w:tcW w:w="1795" w:type="dxa"/>
            <w:vMerge w:val="restart"/>
            <w:tcBorders>
              <w:top w:val="nil"/>
              <w:left w:val="single" w:sz="4" w:space="0" w:color="000000"/>
              <w:bottom w:val="nil"/>
              <w:right w:val="single" w:sz="4" w:space="0" w:color="000000"/>
            </w:tcBorders>
          </w:tcPr>
          <w:p>
            <w:pPr>
              <w:pStyle w:val="TableParagraph"/>
              <w:spacing w:before="82"/>
              <w:ind w:left="78" w:right="59"/>
              <w:jc w:val="center"/>
              <w:rPr>
                <w:sz w:val="20"/>
              </w:rPr>
            </w:pPr>
            <w:r>
              <w:rPr>
                <w:sz w:val="20"/>
              </w:rPr>
              <w:t>Tornar a fiscalização um vetor de melhoria</w:t>
            </w:r>
          </w:p>
        </w:tc>
        <w:tc>
          <w:tcPr>
            <w:tcW w:w="184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540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35" w:type="dxa"/>
            <w:tcBorders>
              <w:top w:val="nil"/>
              <w:left w:val="single" w:sz="4" w:space="0" w:color="000000"/>
              <w:bottom w:val="single" w:sz="4" w:space="0" w:color="000000"/>
            </w:tcBorders>
          </w:tcPr>
          <w:p>
            <w:pPr>
              <w:pStyle w:val="TableParagraph"/>
              <w:rPr>
                <w:rFonts w:ascii="Times New Roman"/>
                <w:sz w:val="20"/>
              </w:rPr>
            </w:pPr>
          </w:p>
        </w:tc>
      </w:tr>
      <w:tr>
        <w:trPr>
          <w:trHeight w:val="868" w:hRule="atLeast"/>
        </w:trPr>
        <w:tc>
          <w:tcPr>
            <w:tcW w:w="1467" w:type="dxa"/>
            <w:vMerge/>
            <w:tcBorders>
              <w:top w:val="nil"/>
              <w:bottom w:val="nil"/>
              <w:right w:val="single" w:sz="4" w:space="0" w:color="000000"/>
            </w:tcBorders>
          </w:tcPr>
          <w:p>
            <w:pPr>
              <w:rPr>
                <w:sz w:val="2"/>
                <w:szCs w:val="2"/>
              </w:rPr>
            </w:pPr>
          </w:p>
        </w:tc>
        <w:tc>
          <w:tcPr>
            <w:tcW w:w="1795" w:type="dxa"/>
            <w:vMerge/>
            <w:tcBorders>
              <w:top w:val="nil"/>
              <w:left w:val="single" w:sz="4" w:space="0" w:color="000000"/>
              <w:bottom w:val="nil"/>
              <w:right w:val="single" w:sz="4" w:space="0" w:color="000000"/>
            </w:tcBorders>
          </w:tcPr>
          <w:p>
            <w:pPr>
              <w:rPr>
                <w:sz w:val="2"/>
                <w:szCs w:val="2"/>
              </w:rPr>
            </w:pPr>
          </w:p>
        </w:tc>
        <w:tc>
          <w:tcPr>
            <w:tcW w:w="184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44"/>
              <w:ind w:left="92" w:right="72"/>
              <w:jc w:val="center"/>
              <w:rPr>
                <w:sz w:val="20"/>
              </w:rPr>
            </w:pPr>
            <w:r>
              <w:rPr>
                <w:sz w:val="20"/>
              </w:rPr>
              <w:t>Índice de RRT por profissional ativo (Qtd)</w:t>
            </w:r>
          </w:p>
          <w:p>
            <w:pPr>
              <w:pStyle w:val="TableParagraph"/>
              <w:spacing w:line="244" w:lineRule="exact"/>
              <w:ind w:left="88" w:right="72"/>
              <w:jc w:val="center"/>
              <w:rPr>
                <w:b/>
                <w:sz w:val="20"/>
              </w:rPr>
            </w:pPr>
            <w:r>
              <w:rPr>
                <w:b/>
                <w:sz w:val="20"/>
              </w:rPr>
              <w:t>(CAU/UF)</w:t>
            </w:r>
          </w:p>
        </w:tc>
        <w:tc>
          <w:tcPr>
            <w:tcW w:w="540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rFonts w:ascii="Calibri Light"/>
                <w:b w:val="0"/>
                <w:sz w:val="21"/>
              </w:rPr>
            </w:pPr>
          </w:p>
          <w:p>
            <w:pPr>
              <w:pStyle w:val="TableParagraph"/>
              <w:ind w:left="76" w:right="53"/>
              <w:jc w:val="both"/>
              <w:rPr>
                <w:sz w:val="20"/>
              </w:rPr>
            </w:pPr>
            <w:r>
              <w:rPr>
                <w:sz w:val="20"/>
              </w:rPr>
              <w:t>Mede se a fiscalização está melhorando o exercício profissional da Arquitetura e Urbanismo. Se esse índice aumentar, significa que os profissionais em cada UF estão tendo melhor entendimento de suas responsabilidades e deveres, com maior nível de registro de seus serviços.</w:t>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line="242" w:lineRule="exact" w:before="136"/>
              <w:ind w:left="761" w:right="59" w:hanging="663"/>
              <w:rPr>
                <w:sz w:val="20"/>
              </w:rPr>
            </w:pPr>
            <w:r>
              <w:rPr>
                <w:sz w:val="20"/>
              </w:rPr>
              <w:t>número total de RRT registrados (pagos) por mês</w:t>
            </w:r>
          </w:p>
        </w:tc>
        <w:tc>
          <w:tcPr>
            <w:tcW w:w="113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8"/>
              <w:rPr>
                <w:rFonts w:ascii="Calibri Light"/>
                <w:b w:val="0"/>
                <w:sz w:val="21"/>
              </w:rPr>
            </w:pPr>
          </w:p>
          <w:p>
            <w:pPr>
              <w:pStyle w:val="TableParagraph"/>
              <w:ind w:left="272"/>
              <w:rPr>
                <w:sz w:val="20"/>
              </w:rPr>
            </w:pPr>
            <w:r>
              <w:rPr>
                <w:sz w:val="20"/>
              </w:rPr>
              <w:t>Mensal</w:t>
            </w:r>
          </w:p>
        </w:tc>
        <w:tc>
          <w:tcPr>
            <w:tcW w:w="1135"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42"/>
              <w:ind w:left="371" w:right="42" w:hanging="168"/>
              <w:rPr>
                <w:sz w:val="20"/>
              </w:rPr>
            </w:pPr>
            <w:r>
              <w:rPr>
                <w:sz w:val="20"/>
              </w:rPr>
              <w:t>SICCAU E IGEO</w:t>
            </w:r>
          </w:p>
        </w:tc>
      </w:tr>
      <w:tr>
        <w:trPr>
          <w:trHeight w:val="870" w:hRule="atLeast"/>
        </w:trPr>
        <w:tc>
          <w:tcPr>
            <w:tcW w:w="1467" w:type="dxa"/>
            <w:vMerge/>
            <w:tcBorders>
              <w:top w:val="nil"/>
              <w:bottom w:val="nil"/>
              <w:right w:val="single" w:sz="4" w:space="0" w:color="000000"/>
            </w:tcBorders>
          </w:tcPr>
          <w:p>
            <w:pPr>
              <w:rPr>
                <w:sz w:val="2"/>
                <w:szCs w:val="2"/>
              </w:rPr>
            </w:pPr>
          </w:p>
        </w:tc>
        <w:tc>
          <w:tcPr>
            <w:tcW w:w="1795" w:type="dxa"/>
            <w:vMerge/>
            <w:tcBorders>
              <w:top w:val="nil"/>
              <w:left w:val="single" w:sz="4" w:space="0" w:color="000000"/>
              <w:bottom w:val="nil"/>
              <w:right w:val="single" w:sz="4" w:space="0" w:color="000000"/>
            </w:tcBorders>
          </w:tcPr>
          <w:p>
            <w:pPr>
              <w:rPr>
                <w:sz w:val="2"/>
                <w:szCs w:val="2"/>
              </w:rPr>
            </w:pPr>
          </w:p>
        </w:tc>
        <w:tc>
          <w:tcPr>
            <w:tcW w:w="1841" w:type="dxa"/>
            <w:vMerge/>
            <w:tcBorders>
              <w:top w:val="nil"/>
              <w:left w:val="single" w:sz="4" w:space="0" w:color="000000"/>
              <w:bottom w:val="single" w:sz="4" w:space="0" w:color="000000"/>
              <w:right w:val="single" w:sz="4" w:space="0" w:color="000000"/>
            </w:tcBorders>
          </w:tcPr>
          <w:p>
            <w:pPr>
              <w:rPr>
                <w:sz w:val="2"/>
                <w:szCs w:val="2"/>
              </w:rPr>
            </w:pPr>
          </w:p>
        </w:tc>
        <w:tc>
          <w:tcPr>
            <w:tcW w:w="5403" w:type="dxa"/>
            <w:vMerge/>
            <w:tcBorders>
              <w:top w:val="nil"/>
              <w:left w:val="single" w:sz="4" w:space="0" w:color="000000"/>
              <w:bottom w:val="single" w:sz="4" w:space="0" w:color="000000"/>
              <w:right w:val="single" w:sz="4" w:space="0" w:color="000000"/>
            </w:tcBorders>
          </w:tcPr>
          <w:p>
            <w:pPr>
              <w:rPr>
                <w:sz w:val="2"/>
                <w:szCs w:val="2"/>
              </w:rPr>
            </w:pPr>
          </w:p>
        </w:tc>
        <w:tc>
          <w:tcPr>
            <w:tcW w:w="2822" w:type="dxa"/>
            <w:tcBorders>
              <w:top w:val="single" w:sz="4" w:space="0" w:color="000000"/>
              <w:left w:val="single" w:sz="4" w:space="0" w:color="000000"/>
              <w:bottom w:val="single" w:sz="4" w:space="0" w:color="000000"/>
              <w:right w:val="single" w:sz="4" w:space="0" w:color="000000"/>
            </w:tcBorders>
          </w:tcPr>
          <w:p>
            <w:pPr>
              <w:pStyle w:val="TableParagraph"/>
              <w:spacing w:before="1"/>
              <w:ind w:left="306" w:right="240"/>
              <w:jc w:val="center"/>
              <w:rPr>
                <w:sz w:val="20"/>
              </w:rPr>
            </w:pPr>
            <w:r>
              <w:rPr>
                <w:sz w:val="20"/>
              </w:rPr>
              <w:t>total de profissionais ativos</w:t>
            </w:r>
          </w:p>
        </w:tc>
        <w:tc>
          <w:tcPr>
            <w:tcW w:w="1130" w:type="dxa"/>
            <w:vMerge/>
            <w:tcBorders>
              <w:top w:val="nil"/>
              <w:left w:val="single" w:sz="4" w:space="0" w:color="000000"/>
              <w:bottom w:val="single" w:sz="4" w:space="0" w:color="000000"/>
              <w:right w:val="single" w:sz="4" w:space="0" w:color="000000"/>
            </w:tcBorders>
          </w:tcPr>
          <w:p>
            <w:pPr>
              <w:rPr>
                <w:sz w:val="2"/>
                <w:szCs w:val="2"/>
              </w:rPr>
            </w:pPr>
          </w:p>
        </w:tc>
        <w:tc>
          <w:tcPr>
            <w:tcW w:w="1135" w:type="dxa"/>
            <w:vMerge/>
            <w:tcBorders>
              <w:top w:val="nil"/>
              <w:left w:val="single" w:sz="4" w:space="0" w:color="000000"/>
              <w:bottom w:val="single" w:sz="4" w:space="0" w:color="000000"/>
            </w:tcBorders>
          </w:tcPr>
          <w:p>
            <w:pPr>
              <w:rPr>
                <w:sz w:val="2"/>
                <w:szCs w:val="2"/>
              </w:rPr>
            </w:pPr>
          </w:p>
        </w:tc>
      </w:tr>
      <w:tr>
        <w:trPr>
          <w:trHeight w:val="561" w:hRule="atLeast"/>
        </w:trPr>
        <w:tc>
          <w:tcPr>
            <w:tcW w:w="1467" w:type="dxa"/>
            <w:tcBorders>
              <w:top w:val="nil"/>
              <w:bottom w:val="nil"/>
              <w:right w:val="single" w:sz="4" w:space="0" w:color="000000"/>
            </w:tcBorders>
          </w:tcPr>
          <w:p>
            <w:pPr>
              <w:pStyle w:val="TableParagraph"/>
              <w:rPr>
                <w:rFonts w:ascii="Times New Roman"/>
                <w:sz w:val="20"/>
              </w:rPr>
            </w:pPr>
          </w:p>
        </w:tc>
        <w:tc>
          <w:tcPr>
            <w:tcW w:w="1795" w:type="dxa"/>
            <w:tcBorders>
              <w:top w:val="nil"/>
              <w:left w:val="single" w:sz="4" w:space="0" w:color="000000"/>
              <w:bottom w:val="nil"/>
              <w:right w:val="single" w:sz="4" w:space="0" w:color="000000"/>
            </w:tcBorders>
          </w:tcPr>
          <w:p>
            <w:pPr>
              <w:pStyle w:val="TableParagraph"/>
              <w:rPr>
                <w:rFonts w:ascii="Times New Roman"/>
                <w:sz w:val="20"/>
              </w:rPr>
            </w:pPr>
          </w:p>
        </w:tc>
        <w:tc>
          <w:tcPr>
            <w:tcW w:w="1841" w:type="dxa"/>
            <w:tcBorders>
              <w:top w:val="single" w:sz="4" w:space="0" w:color="000000"/>
              <w:left w:val="single" w:sz="4" w:space="0" w:color="000000"/>
              <w:bottom w:val="nil"/>
              <w:right w:val="single" w:sz="4" w:space="0" w:color="000000"/>
            </w:tcBorders>
          </w:tcPr>
          <w:p>
            <w:pPr>
              <w:pStyle w:val="TableParagraph"/>
              <w:spacing w:before="10"/>
              <w:rPr>
                <w:rFonts w:ascii="Calibri Light"/>
                <w:b w:val="0"/>
                <w:sz w:val="24"/>
              </w:rPr>
            </w:pPr>
          </w:p>
          <w:p>
            <w:pPr>
              <w:pStyle w:val="TableParagraph"/>
              <w:spacing w:line="238" w:lineRule="exact" w:before="1"/>
              <w:ind w:left="88" w:right="72"/>
              <w:jc w:val="center"/>
              <w:rPr>
                <w:sz w:val="20"/>
              </w:rPr>
            </w:pPr>
            <w:r>
              <w:rPr>
                <w:sz w:val="20"/>
              </w:rPr>
              <w:t>Índice de</w:t>
            </w:r>
          </w:p>
        </w:tc>
        <w:tc>
          <w:tcPr>
            <w:tcW w:w="5403"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1"/>
              <w:rPr>
                <w:rFonts w:ascii="Calibri Light"/>
                <w:b w:val="0"/>
                <w:sz w:val="14"/>
              </w:rPr>
            </w:pPr>
          </w:p>
          <w:p>
            <w:pPr>
              <w:pStyle w:val="TableParagraph"/>
              <w:ind w:left="76" w:right="56"/>
              <w:jc w:val="both"/>
              <w:rPr>
                <w:sz w:val="20"/>
              </w:rPr>
            </w:pPr>
            <w:r>
              <w:rPr>
                <w:sz w:val="20"/>
              </w:rPr>
              <w:t>Indicador para medir se os CAU/UF possuem a capacidade necessária para fiscalização do atendimento das denúncias. Compara a quantidade de denúncias atendida/fiscalizada com a quantidade de denúncias recebida.</w:t>
            </w:r>
          </w:p>
        </w:tc>
        <w:tc>
          <w:tcPr>
            <w:tcW w:w="282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17"/>
              </w:rPr>
            </w:pPr>
          </w:p>
          <w:p>
            <w:pPr>
              <w:pStyle w:val="TableParagraph"/>
              <w:spacing w:line="243" w:lineRule="exact"/>
              <w:ind w:left="306" w:right="1137"/>
              <w:jc w:val="center"/>
              <w:rPr>
                <w:sz w:val="20"/>
              </w:rPr>
            </w:pPr>
            <w:r>
              <w:rPr>
                <w:sz w:val="20"/>
              </w:rPr>
              <w:t>quantidade de</w:t>
            </w:r>
          </w:p>
          <w:p>
            <w:pPr>
              <w:pStyle w:val="TableParagraph"/>
              <w:tabs>
                <w:tab w:pos="2174" w:val="left" w:leader="none"/>
              </w:tabs>
              <w:spacing w:line="182" w:lineRule="auto" w:before="23"/>
              <w:ind w:left="106" w:right="183" w:hanging="96"/>
              <w:rPr>
                <w:sz w:val="20"/>
              </w:rPr>
            </w:pPr>
            <w:r>
              <w:rPr>
                <w:w w:val="99"/>
                <w:sz w:val="20"/>
                <w:u w:val="single"/>
              </w:rPr>
              <w:t> </w:t>
            </w:r>
            <w:r>
              <w:rPr>
                <w:sz w:val="20"/>
                <w:u w:val="single"/>
              </w:rPr>
              <w:t> </w:t>
            </w:r>
            <w:r>
              <w:rPr>
                <w:spacing w:val="8"/>
                <w:sz w:val="20"/>
                <w:u w:val="single"/>
              </w:rPr>
              <w:t> </w:t>
            </w:r>
            <w:r>
              <w:rPr>
                <w:sz w:val="20"/>
                <w:u w:val="single"/>
              </w:rPr>
              <w:t>denúncias</w:t>
            </w:r>
            <w:r>
              <w:rPr>
                <w:spacing w:val="-1"/>
                <w:sz w:val="20"/>
                <w:u w:val="single"/>
              </w:rPr>
              <w:t> </w:t>
            </w:r>
            <w:r>
              <w:rPr>
                <w:sz w:val="20"/>
                <w:u w:val="single"/>
              </w:rPr>
              <w:t>atendidas</w:t>
            </w:r>
            <w:r>
              <w:rPr>
                <w:sz w:val="20"/>
              </w:rPr>
              <w:tab/>
            </w:r>
            <w:r>
              <w:rPr>
                <w:position w:val="-8"/>
                <w:sz w:val="20"/>
              </w:rPr>
              <w:t>X </w:t>
            </w:r>
            <w:r>
              <w:rPr>
                <w:spacing w:val="-6"/>
                <w:position w:val="-8"/>
                <w:sz w:val="20"/>
              </w:rPr>
              <w:t>100 </w:t>
            </w:r>
            <w:r>
              <w:rPr>
                <w:sz w:val="20"/>
              </w:rPr>
              <w:t>número de</w:t>
            </w:r>
            <w:r>
              <w:rPr>
                <w:spacing w:val="-2"/>
                <w:sz w:val="20"/>
              </w:rPr>
              <w:t> </w:t>
            </w:r>
            <w:r>
              <w:rPr>
                <w:sz w:val="20"/>
              </w:rPr>
              <w:t>denúncias</w:t>
            </w:r>
          </w:p>
          <w:p>
            <w:pPr>
              <w:pStyle w:val="TableParagraph"/>
              <w:spacing w:before="14"/>
              <w:ind w:left="306" w:right="1139"/>
              <w:jc w:val="center"/>
              <w:rPr>
                <w:sz w:val="20"/>
              </w:rPr>
            </w:pPr>
            <w:r>
              <w:rPr>
                <w:sz w:val="20"/>
              </w:rPr>
              <w:t>recebidas</w:t>
            </w:r>
          </w:p>
        </w:tc>
        <w:tc>
          <w:tcPr>
            <w:tcW w:w="1130"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135" w:type="dxa"/>
            <w:tcBorders>
              <w:top w:val="single" w:sz="4" w:space="0" w:color="000000"/>
              <w:left w:val="single" w:sz="4" w:space="0" w:color="000000"/>
              <w:bottom w:val="nil"/>
            </w:tcBorders>
          </w:tcPr>
          <w:p>
            <w:pPr>
              <w:pStyle w:val="TableParagraph"/>
              <w:rPr>
                <w:rFonts w:ascii="Times New Roman"/>
                <w:sz w:val="20"/>
              </w:rPr>
            </w:pPr>
          </w:p>
        </w:tc>
      </w:tr>
      <w:tr>
        <w:trPr>
          <w:trHeight w:val="233" w:hRule="atLeast"/>
        </w:trPr>
        <w:tc>
          <w:tcPr>
            <w:tcW w:w="1467" w:type="dxa"/>
            <w:tcBorders>
              <w:top w:val="nil"/>
              <w:bottom w:val="nil"/>
              <w:right w:val="single" w:sz="4" w:space="0" w:color="000000"/>
            </w:tcBorders>
          </w:tcPr>
          <w:p>
            <w:pPr>
              <w:pStyle w:val="TableParagraph"/>
              <w:rPr>
                <w:rFonts w:ascii="Times New Roman"/>
                <w:sz w:val="16"/>
              </w:rPr>
            </w:pPr>
          </w:p>
        </w:tc>
        <w:tc>
          <w:tcPr>
            <w:tcW w:w="1795" w:type="dxa"/>
            <w:tcBorders>
              <w:top w:val="nil"/>
              <w:left w:val="single" w:sz="4" w:space="0" w:color="000000"/>
              <w:bottom w:val="nil"/>
              <w:right w:val="single" w:sz="4" w:space="0" w:color="000000"/>
            </w:tcBorders>
          </w:tcPr>
          <w:p>
            <w:pPr>
              <w:pStyle w:val="TableParagraph"/>
              <w:rPr>
                <w:rFonts w:ascii="Times New Roman"/>
                <w:sz w:val="16"/>
              </w:rPr>
            </w:pPr>
          </w:p>
        </w:tc>
        <w:tc>
          <w:tcPr>
            <w:tcW w:w="1841" w:type="dxa"/>
            <w:tcBorders>
              <w:top w:val="nil"/>
              <w:left w:val="single" w:sz="4" w:space="0" w:color="000000"/>
              <w:bottom w:val="nil"/>
              <w:right w:val="single" w:sz="4" w:space="0" w:color="000000"/>
            </w:tcBorders>
          </w:tcPr>
          <w:p>
            <w:pPr>
              <w:pStyle w:val="TableParagraph"/>
              <w:spacing w:line="214" w:lineRule="exact"/>
              <w:ind w:left="88" w:right="72"/>
              <w:jc w:val="center"/>
              <w:rPr>
                <w:sz w:val="20"/>
              </w:rPr>
            </w:pPr>
            <w:r>
              <w:rPr>
                <w:sz w:val="20"/>
              </w:rPr>
              <w:t>capacidade de</w:t>
            </w:r>
          </w:p>
        </w:tc>
        <w:tc>
          <w:tcPr>
            <w:tcW w:w="5403" w:type="dxa"/>
            <w:vMerge/>
            <w:tcBorders>
              <w:top w:val="nil"/>
              <w:left w:val="single" w:sz="4" w:space="0" w:color="000000"/>
              <w:bottom w:val="single" w:sz="4" w:space="0" w:color="000000"/>
              <w:right w:val="single" w:sz="4" w:space="0" w:color="000000"/>
            </w:tcBorders>
          </w:tcPr>
          <w:p>
            <w:pPr>
              <w:rPr>
                <w:sz w:val="2"/>
                <w:szCs w:val="2"/>
              </w:rPr>
            </w:pP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rPr>
                <w:rFonts w:ascii="Times New Roman"/>
                <w:sz w:val="16"/>
              </w:rPr>
            </w:pPr>
          </w:p>
        </w:tc>
        <w:tc>
          <w:tcPr>
            <w:tcW w:w="1135" w:type="dxa"/>
            <w:tcBorders>
              <w:top w:val="nil"/>
              <w:left w:val="single" w:sz="4" w:space="0" w:color="000000"/>
              <w:bottom w:val="nil"/>
            </w:tcBorders>
          </w:tcPr>
          <w:p>
            <w:pPr>
              <w:pStyle w:val="TableParagraph"/>
              <w:rPr>
                <w:rFonts w:ascii="Times New Roman"/>
                <w:sz w:val="16"/>
              </w:rPr>
            </w:pPr>
          </w:p>
        </w:tc>
      </w:tr>
      <w:tr>
        <w:trPr>
          <w:trHeight w:val="478" w:hRule="atLeast"/>
        </w:trPr>
        <w:tc>
          <w:tcPr>
            <w:tcW w:w="1467" w:type="dxa"/>
            <w:tcBorders>
              <w:top w:val="nil"/>
              <w:bottom w:val="nil"/>
              <w:right w:val="single" w:sz="4" w:space="0" w:color="000000"/>
            </w:tcBorders>
          </w:tcPr>
          <w:p>
            <w:pPr>
              <w:pStyle w:val="TableParagraph"/>
              <w:rPr>
                <w:rFonts w:ascii="Times New Roman"/>
                <w:sz w:val="20"/>
              </w:rPr>
            </w:pPr>
          </w:p>
        </w:tc>
        <w:tc>
          <w:tcPr>
            <w:tcW w:w="1795" w:type="dxa"/>
            <w:tcBorders>
              <w:top w:val="nil"/>
              <w:left w:val="single" w:sz="4" w:space="0" w:color="000000"/>
              <w:bottom w:val="nil"/>
              <w:right w:val="single" w:sz="4" w:space="0" w:color="000000"/>
            </w:tcBorders>
          </w:tcPr>
          <w:p>
            <w:pPr>
              <w:pStyle w:val="TableParagraph"/>
              <w:rPr>
                <w:rFonts w:ascii="Times New Roman"/>
                <w:sz w:val="20"/>
              </w:rPr>
            </w:pPr>
          </w:p>
        </w:tc>
        <w:tc>
          <w:tcPr>
            <w:tcW w:w="1841" w:type="dxa"/>
            <w:tcBorders>
              <w:top w:val="nil"/>
              <w:left w:val="single" w:sz="4" w:space="0" w:color="000000"/>
              <w:bottom w:val="nil"/>
              <w:right w:val="single" w:sz="4" w:space="0" w:color="000000"/>
            </w:tcBorders>
          </w:tcPr>
          <w:p>
            <w:pPr>
              <w:pStyle w:val="TableParagraph"/>
              <w:spacing w:line="220" w:lineRule="exact"/>
              <w:ind w:left="273"/>
              <w:rPr>
                <w:sz w:val="20"/>
              </w:rPr>
            </w:pPr>
            <w:r>
              <w:rPr>
                <w:sz w:val="20"/>
              </w:rPr>
              <w:t>atendimento de</w:t>
            </w:r>
          </w:p>
          <w:p>
            <w:pPr>
              <w:pStyle w:val="TableParagraph"/>
              <w:spacing w:line="238" w:lineRule="exact"/>
              <w:ind w:left="357"/>
              <w:rPr>
                <w:sz w:val="20"/>
              </w:rPr>
            </w:pPr>
            <w:r>
              <w:rPr>
                <w:sz w:val="20"/>
              </w:rPr>
              <w:t>denúncias (%)</w:t>
            </w:r>
          </w:p>
        </w:tc>
        <w:tc>
          <w:tcPr>
            <w:tcW w:w="5403" w:type="dxa"/>
            <w:vMerge/>
            <w:tcBorders>
              <w:top w:val="nil"/>
              <w:left w:val="single" w:sz="4" w:space="0" w:color="000000"/>
              <w:bottom w:val="single" w:sz="4" w:space="0" w:color="000000"/>
              <w:right w:val="single" w:sz="4" w:space="0" w:color="000000"/>
            </w:tcBorders>
          </w:tcPr>
          <w:p>
            <w:pPr>
              <w:rPr>
                <w:sz w:val="2"/>
                <w:szCs w:val="2"/>
              </w:rPr>
            </w:pP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nil"/>
              <w:right w:val="single" w:sz="4" w:space="0" w:color="000000"/>
            </w:tcBorders>
          </w:tcPr>
          <w:p>
            <w:pPr>
              <w:pStyle w:val="TableParagraph"/>
              <w:spacing w:before="98"/>
              <w:ind w:left="272"/>
              <w:rPr>
                <w:sz w:val="20"/>
              </w:rPr>
            </w:pPr>
            <w:r>
              <w:rPr>
                <w:sz w:val="20"/>
              </w:rPr>
              <w:t>Mensal</w:t>
            </w:r>
          </w:p>
        </w:tc>
        <w:tc>
          <w:tcPr>
            <w:tcW w:w="1135" w:type="dxa"/>
            <w:tcBorders>
              <w:top w:val="nil"/>
              <w:left w:val="single" w:sz="4" w:space="0" w:color="000000"/>
              <w:bottom w:val="nil"/>
            </w:tcBorders>
          </w:tcPr>
          <w:p>
            <w:pPr>
              <w:pStyle w:val="TableParagraph"/>
              <w:spacing w:line="220" w:lineRule="exact"/>
              <w:ind w:left="254" w:right="226"/>
              <w:jc w:val="center"/>
              <w:rPr>
                <w:sz w:val="20"/>
              </w:rPr>
            </w:pPr>
            <w:r>
              <w:rPr>
                <w:sz w:val="20"/>
              </w:rPr>
              <w:t>SICCAU</w:t>
            </w:r>
          </w:p>
        </w:tc>
      </w:tr>
      <w:tr>
        <w:trPr>
          <w:trHeight w:val="522" w:hRule="atLeast"/>
        </w:trPr>
        <w:tc>
          <w:tcPr>
            <w:tcW w:w="1467" w:type="dxa"/>
            <w:tcBorders>
              <w:top w:val="nil"/>
              <w:bottom w:val="single" w:sz="4" w:space="0" w:color="000000"/>
              <w:right w:val="single" w:sz="4" w:space="0" w:color="000000"/>
            </w:tcBorders>
          </w:tcPr>
          <w:p>
            <w:pPr>
              <w:pStyle w:val="TableParagraph"/>
              <w:rPr>
                <w:rFonts w:ascii="Times New Roman"/>
                <w:sz w:val="20"/>
              </w:rPr>
            </w:pPr>
          </w:p>
        </w:tc>
        <w:tc>
          <w:tcPr>
            <w:tcW w:w="179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841" w:type="dxa"/>
            <w:tcBorders>
              <w:top w:val="nil"/>
              <w:left w:val="single" w:sz="4" w:space="0" w:color="000000"/>
              <w:bottom w:val="single" w:sz="4" w:space="0" w:color="000000"/>
              <w:right w:val="single" w:sz="4" w:space="0" w:color="000000"/>
            </w:tcBorders>
          </w:tcPr>
          <w:p>
            <w:pPr>
              <w:pStyle w:val="TableParagraph"/>
              <w:spacing w:line="221" w:lineRule="exact"/>
              <w:ind w:left="88" w:right="72"/>
              <w:jc w:val="center"/>
              <w:rPr>
                <w:b/>
                <w:sz w:val="20"/>
              </w:rPr>
            </w:pPr>
            <w:r>
              <w:rPr>
                <w:b/>
                <w:sz w:val="20"/>
              </w:rPr>
              <w:t>(CAU/UF)</w:t>
            </w:r>
          </w:p>
        </w:tc>
        <w:tc>
          <w:tcPr>
            <w:tcW w:w="5403" w:type="dxa"/>
            <w:vMerge/>
            <w:tcBorders>
              <w:top w:val="nil"/>
              <w:left w:val="single" w:sz="4" w:space="0" w:color="000000"/>
              <w:bottom w:val="single" w:sz="4" w:space="0" w:color="000000"/>
              <w:right w:val="single" w:sz="4" w:space="0" w:color="000000"/>
            </w:tcBorders>
          </w:tcPr>
          <w:p>
            <w:pPr>
              <w:rPr>
                <w:sz w:val="2"/>
                <w:szCs w:val="2"/>
              </w:rPr>
            </w:pPr>
          </w:p>
        </w:tc>
        <w:tc>
          <w:tcPr>
            <w:tcW w:w="2822" w:type="dxa"/>
            <w:vMerge/>
            <w:tcBorders>
              <w:top w:val="nil"/>
              <w:left w:val="single" w:sz="4" w:space="0" w:color="000000"/>
              <w:bottom w:val="single" w:sz="4" w:space="0" w:color="000000"/>
              <w:right w:val="single" w:sz="4" w:space="0" w:color="000000"/>
            </w:tcBorders>
          </w:tcPr>
          <w:p>
            <w:pPr>
              <w:rPr>
                <w:sz w:val="2"/>
                <w:szCs w:val="2"/>
              </w:rPr>
            </w:pPr>
          </w:p>
        </w:tc>
        <w:tc>
          <w:tcPr>
            <w:tcW w:w="113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35"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590" w:footer="618" w:top="1460" w:bottom="800" w:left="440" w:right="400"/>
        </w:sectPr>
      </w:pPr>
    </w:p>
    <w:p>
      <w:pPr>
        <w:pStyle w:val="BodyText"/>
        <w:rPr>
          <w:rFonts w:ascii="Calibri Light"/>
          <w:b w:val="0"/>
          <w:sz w:val="14"/>
        </w:rPr>
      </w:pPr>
    </w:p>
    <w:p>
      <w:pPr>
        <w:spacing w:before="56" w:after="23"/>
        <w:ind w:left="126" w:right="0" w:firstLine="0"/>
        <w:jc w:val="left"/>
        <w:rPr>
          <w:rFonts w:ascii="Calibri Light" w:hAnsi="Calibri Light"/>
          <w:b w:val="0"/>
          <w:sz w:val="22"/>
        </w:rPr>
      </w:pPr>
      <w:r>
        <w:rPr>
          <w:rFonts w:ascii="Calibri Light" w:hAnsi="Calibri Light"/>
          <w:b w:val="0"/>
          <w:sz w:val="22"/>
        </w:rPr>
        <w:t>ANEXO I.b – Indicadores Institucionais e de Resultado – CAU UF</w:t>
      </w: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852"/>
        <w:gridCol w:w="2441"/>
        <w:gridCol w:w="1458"/>
        <w:gridCol w:w="608"/>
        <w:gridCol w:w="1718"/>
        <w:gridCol w:w="2685"/>
        <w:gridCol w:w="720"/>
        <w:gridCol w:w="1275"/>
        <w:gridCol w:w="1277"/>
      </w:tblGrid>
      <w:tr>
        <w:trPr>
          <w:trHeight w:val="1574" w:hRule="atLeast"/>
        </w:trPr>
        <w:tc>
          <w:tcPr>
            <w:tcW w:w="1560"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297"/>
              <w:rPr>
                <w:b/>
                <w:sz w:val="20"/>
              </w:rPr>
            </w:pPr>
            <w:r>
              <w:rPr>
                <w:b/>
                <w:color w:val="FFFFFF"/>
                <w:sz w:val="20"/>
              </w:rPr>
              <w:t>Perspectiva</w:t>
            </w:r>
          </w:p>
        </w:tc>
        <w:tc>
          <w:tcPr>
            <w:tcW w:w="185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89"/>
              <w:rPr>
                <w:b/>
                <w:sz w:val="20"/>
              </w:rPr>
            </w:pPr>
            <w:r>
              <w:rPr>
                <w:b/>
                <w:color w:val="FFFFFF"/>
                <w:sz w:val="20"/>
              </w:rPr>
              <w:t>Objetivo Estratégico</w:t>
            </w:r>
          </w:p>
        </w:tc>
        <w:tc>
          <w:tcPr>
            <w:tcW w:w="244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126" w:right="104"/>
              <w:jc w:val="center"/>
              <w:rPr>
                <w:b/>
                <w:sz w:val="20"/>
              </w:rPr>
            </w:pPr>
            <w:r>
              <w:rPr>
                <w:b/>
                <w:color w:val="FFFFFF"/>
                <w:sz w:val="20"/>
              </w:rPr>
              <w:t>Indicador</w:t>
            </w:r>
          </w:p>
        </w:tc>
        <w:tc>
          <w:tcPr>
            <w:tcW w:w="3784" w:type="dxa"/>
            <w:gridSpan w:val="3"/>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1477" w:right="1455"/>
              <w:jc w:val="center"/>
              <w:rPr>
                <w:b/>
                <w:sz w:val="20"/>
              </w:rPr>
            </w:pPr>
            <w:r>
              <w:rPr>
                <w:b/>
                <w:color w:val="FFFFFF"/>
                <w:sz w:val="20"/>
              </w:rPr>
              <w:t>Descrição</w:t>
            </w:r>
          </w:p>
        </w:tc>
        <w:tc>
          <w:tcPr>
            <w:tcW w:w="3405"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77"/>
              <w:ind w:left="922"/>
              <w:rPr>
                <w:b/>
                <w:sz w:val="20"/>
              </w:rPr>
            </w:pPr>
            <w:r>
              <w:rPr>
                <w:b/>
                <w:color w:val="FFFFFF"/>
                <w:sz w:val="20"/>
              </w:rPr>
              <w:t>Fórmula de Cálculo</w:t>
            </w:r>
          </w:p>
        </w:tc>
        <w:tc>
          <w:tcPr>
            <w:tcW w:w="1275"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162" w:right="107" w:firstLine="28"/>
              <w:rPr>
                <w:b/>
                <w:sz w:val="20"/>
              </w:rPr>
            </w:pPr>
            <w:r>
              <w:rPr>
                <w:b/>
                <w:color w:val="FFFFFF"/>
                <w:sz w:val="20"/>
              </w:rPr>
              <w:t>Frequência de Medição</w:t>
            </w:r>
          </w:p>
        </w:tc>
        <w:tc>
          <w:tcPr>
            <w:tcW w:w="1277" w:type="dxa"/>
            <w:tcBorders>
              <w:left w:val="single" w:sz="4" w:space="0" w:color="000000"/>
            </w:tcBorders>
            <w:shd w:val="clear" w:color="auto" w:fill="006666"/>
          </w:tcPr>
          <w:p>
            <w:pPr>
              <w:pStyle w:val="TableParagraph"/>
              <w:rPr>
                <w:rFonts w:ascii="Calibri Light"/>
                <w:b w:val="0"/>
                <w:sz w:val="20"/>
              </w:rPr>
            </w:pPr>
          </w:p>
          <w:p>
            <w:pPr>
              <w:pStyle w:val="TableParagraph"/>
              <w:spacing w:before="6"/>
              <w:rPr>
                <w:rFonts w:ascii="Calibri Light"/>
                <w:b w:val="0"/>
                <w:sz w:val="24"/>
              </w:rPr>
            </w:pPr>
          </w:p>
          <w:p>
            <w:pPr>
              <w:pStyle w:val="TableParagraph"/>
              <w:ind w:left="253" w:right="203" w:firstLine="21"/>
              <w:rPr>
                <w:b/>
                <w:sz w:val="20"/>
              </w:rPr>
            </w:pPr>
            <w:r>
              <w:rPr>
                <w:b/>
                <w:color w:val="FFFFFF"/>
                <w:sz w:val="20"/>
              </w:rPr>
              <w:t>Fonte do Indicador</w:t>
            </w:r>
          </w:p>
        </w:tc>
      </w:tr>
      <w:tr>
        <w:trPr>
          <w:trHeight w:val="388" w:hRule="atLeast"/>
        </w:trPr>
        <w:tc>
          <w:tcPr>
            <w:tcW w:w="1560" w:type="dxa"/>
            <w:tcBorders>
              <w:bottom w:val="nil"/>
              <w:right w:val="single" w:sz="4" w:space="0" w:color="000000"/>
            </w:tcBorders>
          </w:tcPr>
          <w:p>
            <w:pPr>
              <w:pStyle w:val="TableParagraph"/>
              <w:rPr>
                <w:rFonts w:ascii="Times New Roman"/>
                <w:sz w:val="20"/>
              </w:rPr>
            </w:pPr>
          </w:p>
        </w:tc>
        <w:tc>
          <w:tcPr>
            <w:tcW w:w="1852" w:type="dxa"/>
            <w:tcBorders>
              <w:left w:val="single" w:sz="4" w:space="0" w:color="000000"/>
              <w:bottom w:val="nil"/>
              <w:right w:val="single" w:sz="4" w:space="0" w:color="000000"/>
            </w:tcBorders>
          </w:tcPr>
          <w:p>
            <w:pPr>
              <w:pStyle w:val="TableParagraph"/>
              <w:rPr>
                <w:rFonts w:ascii="Times New Roman"/>
                <w:sz w:val="20"/>
              </w:rPr>
            </w:pPr>
          </w:p>
        </w:tc>
        <w:tc>
          <w:tcPr>
            <w:tcW w:w="2441" w:type="dxa"/>
            <w:tcBorders>
              <w:left w:val="single" w:sz="4" w:space="0" w:color="000000"/>
              <w:bottom w:val="nil"/>
              <w:right w:val="single" w:sz="4" w:space="0" w:color="000000"/>
            </w:tcBorders>
          </w:tcPr>
          <w:p>
            <w:pPr>
              <w:pStyle w:val="TableParagraph"/>
              <w:rPr>
                <w:rFonts w:ascii="Times New Roman"/>
                <w:sz w:val="20"/>
              </w:rPr>
            </w:pPr>
          </w:p>
        </w:tc>
        <w:tc>
          <w:tcPr>
            <w:tcW w:w="3784" w:type="dxa"/>
            <w:gridSpan w:val="3"/>
            <w:tcBorders>
              <w:left w:val="single" w:sz="4" w:space="0" w:color="000000"/>
              <w:bottom w:val="nil"/>
              <w:right w:val="single" w:sz="4" w:space="0" w:color="000000"/>
            </w:tcBorders>
          </w:tcPr>
          <w:p>
            <w:pPr>
              <w:pStyle w:val="TableParagraph"/>
              <w:spacing w:line="238" w:lineRule="exact" w:before="130"/>
              <w:ind w:left="78"/>
              <w:rPr>
                <w:sz w:val="20"/>
              </w:rPr>
            </w:pPr>
            <w:r>
              <w:rPr>
                <w:sz w:val="20"/>
              </w:rPr>
              <w:t>Para tornar a fiscalização um vetor de</w:t>
            </w:r>
          </w:p>
        </w:tc>
        <w:tc>
          <w:tcPr>
            <w:tcW w:w="2685" w:type="dxa"/>
            <w:vMerge w:val="restart"/>
            <w:tcBorders>
              <w:left w:val="single" w:sz="4" w:space="0" w:color="000000"/>
              <w:bottom w:val="single" w:sz="4" w:space="0" w:color="000000"/>
              <w:right w:val="nil"/>
            </w:tcBorders>
          </w:tcPr>
          <w:p>
            <w:pPr>
              <w:pStyle w:val="TableParagraph"/>
              <w:rPr>
                <w:rFonts w:ascii="Calibri Light"/>
                <w:b w:val="0"/>
                <w:sz w:val="20"/>
              </w:rPr>
            </w:pPr>
          </w:p>
          <w:p>
            <w:pPr>
              <w:pStyle w:val="TableParagraph"/>
              <w:spacing w:before="9"/>
              <w:rPr>
                <w:rFonts w:ascii="Calibri Light"/>
                <w:b w:val="0"/>
                <w:sz w:val="20"/>
              </w:rPr>
            </w:pPr>
          </w:p>
          <w:p>
            <w:pPr>
              <w:pStyle w:val="TableParagraph"/>
              <w:ind w:left="312" w:right="281" w:firstLine="2"/>
              <w:jc w:val="center"/>
              <w:rPr>
                <w:sz w:val="20"/>
              </w:rPr>
            </w:pPr>
            <w:r>
              <w:rPr>
                <w:sz w:val="20"/>
              </w:rPr>
              <w:t>número de processos de fiscalização concluídos no</w:t>
            </w:r>
          </w:p>
          <w:p>
            <w:pPr>
              <w:pStyle w:val="TableParagraph"/>
              <w:tabs>
                <w:tab w:pos="979" w:val="left" w:leader="none"/>
                <w:tab w:pos="2702" w:val="left" w:leader="none"/>
              </w:tabs>
              <w:spacing w:line="244" w:lineRule="auto" w:before="2"/>
              <w:ind w:left="12" w:right="-29"/>
              <w:jc w:val="center"/>
              <w:rPr>
                <w:sz w:val="20"/>
              </w:rPr>
            </w:pPr>
            <w:r>
              <w:rPr>
                <w:w w:val="99"/>
                <w:sz w:val="20"/>
                <w:u w:val="single"/>
              </w:rPr>
              <w:t> </w:t>
            </w:r>
            <w:r>
              <w:rPr>
                <w:sz w:val="20"/>
                <w:u w:val="single"/>
              </w:rPr>
              <w:tab/>
              <w:t>semestre</w:t>
              <w:tab/>
            </w:r>
            <w:r>
              <w:rPr>
                <w:sz w:val="20"/>
              </w:rPr>
              <w:t> número total de processos de fiscalização em aberto no</w:t>
            </w:r>
            <w:r>
              <w:rPr>
                <w:spacing w:val="-6"/>
                <w:sz w:val="20"/>
              </w:rPr>
              <w:t> </w:t>
            </w:r>
            <w:r>
              <w:rPr>
                <w:sz w:val="20"/>
              </w:rPr>
              <w:t>ano</w:t>
            </w:r>
          </w:p>
        </w:tc>
        <w:tc>
          <w:tcPr>
            <w:tcW w:w="720"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1"/>
              <w:rPr>
                <w:rFonts w:ascii="Calibri Light"/>
                <w:b w:val="0"/>
                <w:sz w:val="20"/>
              </w:rPr>
            </w:pPr>
          </w:p>
          <w:p>
            <w:pPr>
              <w:pStyle w:val="TableParagraph"/>
              <w:ind w:left="92"/>
              <w:rPr>
                <w:sz w:val="20"/>
              </w:rPr>
            </w:pPr>
            <w:r>
              <w:rPr>
                <w:sz w:val="20"/>
              </w:rPr>
              <w:t>x 100</w:t>
            </w:r>
          </w:p>
        </w:tc>
        <w:tc>
          <w:tcPr>
            <w:tcW w:w="1275" w:type="dxa"/>
            <w:tcBorders>
              <w:left w:val="single" w:sz="4" w:space="0" w:color="000000"/>
              <w:bottom w:val="nil"/>
              <w:right w:val="single" w:sz="4" w:space="0" w:color="000000"/>
            </w:tcBorders>
          </w:tcPr>
          <w:p>
            <w:pPr>
              <w:pStyle w:val="TableParagraph"/>
              <w:rPr>
                <w:rFonts w:ascii="Times New Roman"/>
                <w:sz w:val="20"/>
              </w:rPr>
            </w:pPr>
          </w:p>
        </w:tc>
        <w:tc>
          <w:tcPr>
            <w:tcW w:w="1277" w:type="dxa"/>
            <w:tcBorders>
              <w:left w:val="single" w:sz="4" w:space="0" w:color="000000"/>
              <w:bottom w:val="nil"/>
            </w:tcBorders>
          </w:tcPr>
          <w:p>
            <w:pPr>
              <w:pStyle w:val="TableParagraph"/>
              <w:rPr>
                <w:rFonts w:ascii="Times New Roman"/>
                <w:sz w:val="20"/>
              </w:rPr>
            </w:pPr>
          </w:p>
        </w:tc>
      </w:tr>
      <w:tr>
        <w:trPr>
          <w:trHeight w:val="234"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rPr>
                <w:rFonts w:ascii="Times New Roman"/>
                <w:sz w:val="16"/>
              </w:rPr>
            </w:pPr>
          </w:p>
        </w:tc>
        <w:tc>
          <w:tcPr>
            <w:tcW w:w="3784" w:type="dxa"/>
            <w:gridSpan w:val="3"/>
            <w:tcBorders>
              <w:top w:val="nil"/>
              <w:left w:val="single" w:sz="4" w:space="0" w:color="000000"/>
              <w:bottom w:val="nil"/>
              <w:right w:val="single" w:sz="4" w:space="0" w:color="000000"/>
            </w:tcBorders>
          </w:tcPr>
          <w:p>
            <w:pPr>
              <w:pStyle w:val="TableParagraph"/>
              <w:spacing w:line="215" w:lineRule="exact"/>
              <w:ind w:left="78"/>
              <w:rPr>
                <w:sz w:val="20"/>
              </w:rPr>
            </w:pPr>
            <w:r>
              <w:rPr>
                <w:sz w:val="20"/>
              </w:rPr>
              <w:t>melhoria do exercício da Arquitetura e</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4"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spacing w:line="215" w:lineRule="exact"/>
              <w:ind w:left="123" w:right="104"/>
              <w:jc w:val="center"/>
              <w:rPr>
                <w:sz w:val="20"/>
              </w:rPr>
            </w:pPr>
            <w:r>
              <w:rPr>
                <w:sz w:val="20"/>
              </w:rPr>
              <w:t>Índice de eficiência na</w:t>
            </w:r>
          </w:p>
        </w:tc>
        <w:tc>
          <w:tcPr>
            <w:tcW w:w="3784" w:type="dxa"/>
            <w:gridSpan w:val="3"/>
            <w:tcBorders>
              <w:top w:val="nil"/>
              <w:left w:val="single" w:sz="4" w:space="0" w:color="000000"/>
              <w:bottom w:val="nil"/>
              <w:right w:val="single" w:sz="4" w:space="0" w:color="000000"/>
            </w:tcBorders>
          </w:tcPr>
          <w:p>
            <w:pPr>
              <w:pStyle w:val="TableParagraph"/>
              <w:spacing w:line="215" w:lineRule="exact"/>
              <w:ind w:left="78"/>
              <w:rPr>
                <w:sz w:val="20"/>
              </w:rPr>
            </w:pPr>
            <w:r>
              <w:rPr>
                <w:sz w:val="20"/>
              </w:rPr>
              <w:t>Urbanismo é preciso concluir os processos de</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477" w:hRule="atLeast"/>
        </w:trPr>
        <w:tc>
          <w:tcPr>
            <w:tcW w:w="1560" w:type="dxa"/>
            <w:tcBorders>
              <w:top w:val="nil"/>
              <w:bottom w:val="nil"/>
              <w:right w:val="single" w:sz="4" w:space="0" w:color="000000"/>
            </w:tcBorders>
          </w:tcPr>
          <w:p>
            <w:pPr>
              <w:pStyle w:val="TableParagraph"/>
              <w:rPr>
                <w:rFonts w:ascii="Times New Roman"/>
                <w:sz w:val="20"/>
              </w:rPr>
            </w:pPr>
          </w:p>
        </w:tc>
        <w:tc>
          <w:tcPr>
            <w:tcW w:w="1852" w:type="dxa"/>
            <w:tcBorders>
              <w:top w:val="nil"/>
              <w:left w:val="single" w:sz="4" w:space="0" w:color="000000"/>
              <w:bottom w:val="nil"/>
              <w:right w:val="single" w:sz="4" w:space="0" w:color="000000"/>
            </w:tcBorders>
          </w:tcPr>
          <w:p>
            <w:pPr>
              <w:pStyle w:val="TableParagraph"/>
              <w:rPr>
                <w:rFonts w:ascii="Times New Roman"/>
                <w:sz w:val="20"/>
              </w:rPr>
            </w:pPr>
          </w:p>
        </w:tc>
        <w:tc>
          <w:tcPr>
            <w:tcW w:w="2441" w:type="dxa"/>
            <w:tcBorders>
              <w:top w:val="nil"/>
              <w:left w:val="single" w:sz="4" w:space="0" w:color="000000"/>
              <w:bottom w:val="nil"/>
              <w:right w:val="single" w:sz="4" w:space="0" w:color="000000"/>
            </w:tcBorders>
          </w:tcPr>
          <w:p>
            <w:pPr>
              <w:pStyle w:val="TableParagraph"/>
              <w:spacing w:line="220" w:lineRule="exact"/>
              <w:ind w:left="127" w:right="104"/>
              <w:jc w:val="center"/>
              <w:rPr>
                <w:sz w:val="20"/>
              </w:rPr>
            </w:pPr>
            <w:r>
              <w:rPr>
                <w:sz w:val="20"/>
              </w:rPr>
              <w:t>conclusão de processos de</w:t>
            </w:r>
          </w:p>
          <w:p>
            <w:pPr>
              <w:pStyle w:val="TableParagraph"/>
              <w:spacing w:line="237" w:lineRule="exact"/>
              <w:ind w:left="124" w:right="104"/>
              <w:jc w:val="center"/>
              <w:rPr>
                <w:sz w:val="20"/>
              </w:rPr>
            </w:pPr>
            <w:r>
              <w:rPr>
                <w:sz w:val="20"/>
              </w:rPr>
              <w:t>fiscalização (%)</w:t>
            </w:r>
          </w:p>
        </w:tc>
        <w:tc>
          <w:tcPr>
            <w:tcW w:w="3784" w:type="dxa"/>
            <w:gridSpan w:val="3"/>
            <w:tcBorders>
              <w:top w:val="nil"/>
              <w:left w:val="single" w:sz="4" w:space="0" w:color="000000"/>
              <w:bottom w:val="nil"/>
              <w:right w:val="single" w:sz="4" w:space="0" w:color="000000"/>
            </w:tcBorders>
          </w:tcPr>
          <w:p>
            <w:pPr>
              <w:pStyle w:val="TableParagraph"/>
              <w:spacing w:line="220" w:lineRule="exact"/>
              <w:ind w:left="78"/>
              <w:rPr>
                <w:sz w:val="20"/>
              </w:rPr>
            </w:pPr>
            <w:r>
              <w:rPr>
                <w:sz w:val="20"/>
              </w:rPr>
              <w:t>fiscalização</w:t>
            </w:r>
            <w:r>
              <w:rPr>
                <w:spacing w:val="-12"/>
                <w:sz w:val="20"/>
              </w:rPr>
              <w:t> </w:t>
            </w:r>
            <w:r>
              <w:rPr>
                <w:sz w:val="20"/>
              </w:rPr>
              <w:t>em</w:t>
            </w:r>
            <w:r>
              <w:rPr>
                <w:spacing w:val="-12"/>
                <w:sz w:val="20"/>
              </w:rPr>
              <w:t> </w:t>
            </w:r>
            <w:r>
              <w:rPr>
                <w:sz w:val="20"/>
              </w:rPr>
              <w:t>tempo</w:t>
            </w:r>
            <w:r>
              <w:rPr>
                <w:spacing w:val="-11"/>
                <w:sz w:val="20"/>
              </w:rPr>
              <w:t> </w:t>
            </w:r>
            <w:r>
              <w:rPr>
                <w:sz w:val="20"/>
              </w:rPr>
              <w:t>razoável.</w:t>
            </w:r>
            <w:r>
              <w:rPr>
                <w:spacing w:val="-11"/>
                <w:sz w:val="20"/>
              </w:rPr>
              <w:t> </w:t>
            </w:r>
            <w:r>
              <w:rPr>
                <w:sz w:val="20"/>
              </w:rPr>
              <w:t>Dessa</w:t>
            </w:r>
            <w:r>
              <w:rPr>
                <w:spacing w:val="-11"/>
                <w:sz w:val="20"/>
              </w:rPr>
              <w:t> </w:t>
            </w:r>
            <w:r>
              <w:rPr>
                <w:sz w:val="20"/>
              </w:rPr>
              <w:t>forma,</w:t>
            </w:r>
          </w:p>
          <w:p>
            <w:pPr>
              <w:pStyle w:val="TableParagraph"/>
              <w:spacing w:line="237" w:lineRule="exact"/>
              <w:ind w:left="78"/>
              <w:rPr>
                <w:sz w:val="20"/>
              </w:rPr>
            </w:pPr>
            <w:r>
              <w:rPr>
                <w:sz w:val="20"/>
              </w:rPr>
              <w:t>é  possível  dar  uma  resposta   à   sociedade</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spacing w:before="99"/>
              <w:ind w:left="220" w:right="196"/>
              <w:jc w:val="center"/>
              <w:rPr>
                <w:sz w:val="20"/>
              </w:rPr>
            </w:pPr>
            <w:r>
              <w:rPr>
                <w:sz w:val="20"/>
              </w:rPr>
              <w:t>Semestral</w:t>
            </w:r>
          </w:p>
        </w:tc>
        <w:tc>
          <w:tcPr>
            <w:tcW w:w="1277" w:type="dxa"/>
            <w:tcBorders>
              <w:top w:val="nil"/>
              <w:left w:val="single" w:sz="4" w:space="0" w:color="000000"/>
              <w:bottom w:val="nil"/>
            </w:tcBorders>
          </w:tcPr>
          <w:p>
            <w:pPr>
              <w:pStyle w:val="TableParagraph"/>
              <w:spacing w:before="99"/>
              <w:ind w:left="134" w:right="110"/>
              <w:jc w:val="center"/>
              <w:rPr>
                <w:sz w:val="20"/>
              </w:rPr>
            </w:pPr>
            <w:r>
              <w:rPr>
                <w:sz w:val="20"/>
              </w:rPr>
              <w:t>SICCAU</w:t>
            </w:r>
          </w:p>
        </w:tc>
      </w:tr>
      <w:tr>
        <w:trPr>
          <w:trHeight w:val="234"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spacing w:line="215" w:lineRule="exact"/>
              <w:ind w:left="123" w:right="104"/>
              <w:jc w:val="center"/>
              <w:rPr>
                <w:b/>
                <w:sz w:val="20"/>
              </w:rPr>
            </w:pPr>
            <w:r>
              <w:rPr>
                <w:b/>
                <w:sz w:val="20"/>
              </w:rPr>
              <w:t>(CAU/UF)</w:t>
            </w:r>
          </w:p>
        </w:tc>
        <w:tc>
          <w:tcPr>
            <w:tcW w:w="3784" w:type="dxa"/>
            <w:gridSpan w:val="3"/>
            <w:tcBorders>
              <w:top w:val="nil"/>
              <w:left w:val="single" w:sz="4" w:space="0" w:color="000000"/>
              <w:bottom w:val="nil"/>
              <w:right w:val="single" w:sz="4" w:space="0" w:color="000000"/>
            </w:tcBorders>
          </w:tcPr>
          <w:p>
            <w:pPr>
              <w:pStyle w:val="TableParagraph"/>
              <w:spacing w:line="215" w:lineRule="exact"/>
              <w:ind w:left="78"/>
              <w:rPr>
                <w:sz w:val="20"/>
              </w:rPr>
            </w:pPr>
            <w:r>
              <w:rPr>
                <w:sz w:val="20"/>
              </w:rPr>
              <w:t>sobre as questões julgadas e buscar o</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5"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rPr>
                <w:rFonts w:ascii="Times New Roman"/>
                <w:sz w:val="16"/>
              </w:rPr>
            </w:pPr>
          </w:p>
        </w:tc>
        <w:tc>
          <w:tcPr>
            <w:tcW w:w="1458" w:type="dxa"/>
            <w:tcBorders>
              <w:top w:val="nil"/>
              <w:left w:val="single" w:sz="4" w:space="0" w:color="000000"/>
              <w:bottom w:val="nil"/>
              <w:right w:val="nil"/>
            </w:tcBorders>
          </w:tcPr>
          <w:p>
            <w:pPr>
              <w:pStyle w:val="TableParagraph"/>
              <w:spacing w:line="215" w:lineRule="exact"/>
              <w:ind w:left="56" w:right="20"/>
              <w:jc w:val="center"/>
              <w:rPr>
                <w:sz w:val="20"/>
              </w:rPr>
            </w:pPr>
            <w:r>
              <w:rPr>
                <w:sz w:val="20"/>
              </w:rPr>
              <w:t>reconhecimento</w:t>
            </w:r>
          </w:p>
        </w:tc>
        <w:tc>
          <w:tcPr>
            <w:tcW w:w="608" w:type="dxa"/>
            <w:tcBorders>
              <w:top w:val="nil"/>
              <w:left w:val="nil"/>
              <w:bottom w:val="nil"/>
              <w:right w:val="nil"/>
            </w:tcBorders>
          </w:tcPr>
          <w:p>
            <w:pPr>
              <w:pStyle w:val="TableParagraph"/>
              <w:spacing w:line="215" w:lineRule="exact"/>
              <w:ind w:left="171" w:right="43"/>
              <w:jc w:val="center"/>
              <w:rPr>
                <w:sz w:val="20"/>
              </w:rPr>
            </w:pPr>
            <w:r>
              <w:rPr>
                <w:sz w:val="20"/>
              </w:rPr>
              <w:t>do</w:t>
            </w:r>
          </w:p>
        </w:tc>
        <w:tc>
          <w:tcPr>
            <w:tcW w:w="1718" w:type="dxa"/>
            <w:tcBorders>
              <w:top w:val="nil"/>
              <w:left w:val="nil"/>
              <w:bottom w:val="nil"/>
              <w:right w:val="single" w:sz="4" w:space="0" w:color="000000"/>
            </w:tcBorders>
          </w:tcPr>
          <w:p>
            <w:pPr>
              <w:pStyle w:val="TableParagraph"/>
              <w:tabs>
                <w:tab w:pos="1115" w:val="left" w:leader="none"/>
              </w:tabs>
              <w:spacing w:line="215" w:lineRule="exact"/>
              <w:ind w:left="118"/>
              <w:jc w:val="center"/>
              <w:rPr>
                <w:sz w:val="20"/>
              </w:rPr>
            </w:pPr>
            <w:r>
              <w:rPr>
                <w:sz w:val="20"/>
              </w:rPr>
              <w:t>trabalho</w:t>
              <w:tab/>
              <w:t>sendo</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349" w:hRule="atLeast"/>
        </w:trPr>
        <w:tc>
          <w:tcPr>
            <w:tcW w:w="1560" w:type="dxa"/>
            <w:tcBorders>
              <w:top w:val="nil"/>
              <w:bottom w:val="nil"/>
              <w:right w:val="single" w:sz="4" w:space="0" w:color="000000"/>
            </w:tcBorders>
          </w:tcPr>
          <w:p>
            <w:pPr>
              <w:pStyle w:val="TableParagraph"/>
              <w:rPr>
                <w:rFonts w:ascii="Times New Roman"/>
                <w:sz w:val="20"/>
              </w:rPr>
            </w:pPr>
          </w:p>
        </w:tc>
        <w:tc>
          <w:tcPr>
            <w:tcW w:w="1852" w:type="dxa"/>
            <w:tcBorders>
              <w:top w:val="nil"/>
              <w:left w:val="single" w:sz="4" w:space="0" w:color="000000"/>
              <w:bottom w:val="nil"/>
              <w:right w:val="single" w:sz="4" w:space="0" w:color="000000"/>
            </w:tcBorders>
          </w:tcPr>
          <w:p>
            <w:pPr>
              <w:pStyle w:val="TableParagraph"/>
              <w:rPr>
                <w:rFonts w:ascii="Times New Roman"/>
                <w:sz w:val="20"/>
              </w:rPr>
            </w:pPr>
          </w:p>
        </w:tc>
        <w:tc>
          <w:tcPr>
            <w:tcW w:w="244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784" w:type="dxa"/>
            <w:gridSpan w:val="3"/>
            <w:tcBorders>
              <w:top w:val="nil"/>
              <w:left w:val="single" w:sz="4" w:space="0" w:color="000000"/>
              <w:bottom w:val="single" w:sz="4" w:space="0" w:color="000000"/>
              <w:right w:val="single" w:sz="4" w:space="0" w:color="000000"/>
            </w:tcBorders>
          </w:tcPr>
          <w:p>
            <w:pPr>
              <w:pStyle w:val="TableParagraph"/>
              <w:spacing w:line="221" w:lineRule="exact"/>
              <w:ind w:left="78"/>
              <w:rPr>
                <w:sz w:val="20"/>
              </w:rPr>
            </w:pPr>
            <w:r>
              <w:rPr>
                <w:sz w:val="20"/>
              </w:rPr>
              <w:t>realizado.</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nil"/>
              <w:left w:val="single" w:sz="4" w:space="0" w:color="000000"/>
              <w:bottom w:val="single" w:sz="4" w:space="0" w:color="000000"/>
            </w:tcBorders>
          </w:tcPr>
          <w:p>
            <w:pPr>
              <w:pStyle w:val="TableParagraph"/>
              <w:rPr>
                <w:rFonts w:ascii="Times New Roman"/>
                <w:sz w:val="20"/>
              </w:rPr>
            </w:pPr>
          </w:p>
        </w:tc>
      </w:tr>
      <w:tr>
        <w:trPr>
          <w:trHeight w:val="2129" w:hRule="atLeast"/>
        </w:trPr>
        <w:tc>
          <w:tcPr>
            <w:tcW w:w="1560" w:type="dxa"/>
            <w:tcBorders>
              <w:top w:val="nil"/>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25"/>
              </w:rPr>
            </w:pPr>
          </w:p>
          <w:p>
            <w:pPr>
              <w:pStyle w:val="TableParagraph"/>
              <w:ind w:left="148" w:right="135" w:hanging="2"/>
              <w:jc w:val="center"/>
              <w:rPr>
                <w:sz w:val="20"/>
              </w:rPr>
            </w:pPr>
            <w:r>
              <w:rPr>
                <w:sz w:val="20"/>
              </w:rPr>
              <w:t>Processos Internos (Excelência </w:t>
            </w:r>
            <w:r>
              <w:rPr>
                <w:w w:val="95"/>
                <w:sz w:val="20"/>
              </w:rPr>
              <w:t>Organizacional)</w:t>
            </w:r>
          </w:p>
        </w:tc>
        <w:tc>
          <w:tcPr>
            <w:tcW w:w="1852" w:type="dxa"/>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15"/>
              </w:rPr>
            </w:pPr>
          </w:p>
          <w:p>
            <w:pPr>
              <w:pStyle w:val="TableParagraph"/>
              <w:ind w:left="89" w:right="68"/>
              <w:jc w:val="center"/>
              <w:rPr>
                <w:sz w:val="20"/>
              </w:rPr>
            </w:pPr>
            <w:r>
              <w:rPr>
                <w:sz w:val="20"/>
              </w:rPr>
              <w:t>Tornar a fiscalização um vetor de melhoria</w:t>
            </w:r>
          </w:p>
        </w:tc>
        <w:tc>
          <w:tcPr>
            <w:tcW w:w="2441"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3"/>
              <w:rPr>
                <w:rFonts w:ascii="Calibri Light"/>
                <w:b w:val="0"/>
                <w:sz w:val="27"/>
              </w:rPr>
            </w:pPr>
          </w:p>
          <w:p>
            <w:pPr>
              <w:pStyle w:val="TableParagraph"/>
              <w:ind w:left="127" w:right="101"/>
              <w:jc w:val="center"/>
              <w:rPr>
                <w:b/>
                <w:sz w:val="20"/>
              </w:rPr>
            </w:pPr>
            <w:r>
              <w:rPr>
                <w:sz w:val="20"/>
              </w:rPr>
              <w:t>Índice da capacidade de articulação institucional para fiscalização (%) </w:t>
            </w:r>
            <w:r>
              <w:rPr>
                <w:b/>
                <w:sz w:val="20"/>
              </w:rPr>
              <w:t>(CAU/UF)</w:t>
            </w:r>
          </w:p>
        </w:tc>
        <w:tc>
          <w:tcPr>
            <w:tcW w:w="3784"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3"/>
              <w:rPr>
                <w:rFonts w:ascii="Calibri Light"/>
                <w:b w:val="0"/>
                <w:sz w:val="17"/>
              </w:rPr>
            </w:pPr>
          </w:p>
          <w:p>
            <w:pPr>
              <w:pStyle w:val="TableParagraph"/>
              <w:ind w:left="78" w:right="49"/>
              <w:jc w:val="both"/>
              <w:rPr>
                <w:sz w:val="20"/>
              </w:rPr>
            </w:pPr>
            <w:r>
              <w:rPr>
                <w:b/>
                <w:sz w:val="20"/>
              </w:rPr>
              <w:t>Envolve ações de </w:t>
            </w:r>
            <w:r>
              <w:rPr>
                <w:sz w:val="20"/>
              </w:rPr>
              <w:t>Cooperação Técnica para Fiscalização, Compartilhamento de Plataforma de Georreferenciamento, etc. Os t</w:t>
            </w:r>
            <w:r>
              <w:rPr>
                <w:b/>
                <w:sz w:val="20"/>
              </w:rPr>
              <w:t>ermos devem estar publicados </w:t>
            </w:r>
            <w:r>
              <w:rPr>
                <w:sz w:val="20"/>
              </w:rPr>
              <w:t>no Portal da Transparência do CAU/UF.</w:t>
            </w:r>
          </w:p>
        </w:tc>
        <w:tc>
          <w:tcPr>
            <w:tcW w:w="2685" w:type="dxa"/>
            <w:tcBorders>
              <w:top w:val="single" w:sz="4" w:space="0" w:color="000000"/>
              <w:left w:val="single" w:sz="4" w:space="0" w:color="000000"/>
              <w:bottom w:val="single" w:sz="4" w:space="0" w:color="000000"/>
              <w:right w:val="nil"/>
            </w:tcBorders>
          </w:tcPr>
          <w:p>
            <w:pPr>
              <w:pStyle w:val="TableParagraph"/>
              <w:spacing w:before="140"/>
              <w:ind w:left="98" w:right="66" w:firstLine="1"/>
              <w:jc w:val="center"/>
              <w:rPr>
                <w:sz w:val="20"/>
              </w:rPr>
            </w:pPr>
            <w:r>
              <w:rPr>
                <w:sz w:val="20"/>
              </w:rPr>
              <w:t>quantidade de termos de cooperação técnica e parcerias para racionalização das ações</w:t>
            </w:r>
          </w:p>
          <w:p>
            <w:pPr>
              <w:pStyle w:val="TableParagraph"/>
              <w:tabs>
                <w:tab w:pos="771" w:val="left" w:leader="none"/>
                <w:tab w:pos="2702" w:val="left" w:leader="none"/>
              </w:tabs>
              <w:spacing w:line="244" w:lineRule="auto"/>
              <w:ind w:left="12" w:right="-29"/>
              <w:jc w:val="center"/>
              <w:rPr>
                <w:sz w:val="20"/>
              </w:rPr>
            </w:pPr>
            <w:r>
              <w:rPr>
                <w:w w:val="99"/>
                <w:sz w:val="20"/>
                <w:u w:val="single"/>
              </w:rPr>
              <w:t> </w:t>
            </w:r>
            <w:r>
              <w:rPr>
                <w:sz w:val="20"/>
                <w:u w:val="single"/>
              </w:rPr>
              <w:tab/>
              <w:t>de</w:t>
            </w:r>
            <w:r>
              <w:rPr>
                <w:spacing w:val="-8"/>
                <w:sz w:val="20"/>
                <w:u w:val="single"/>
              </w:rPr>
              <w:t> </w:t>
            </w:r>
            <w:r>
              <w:rPr>
                <w:sz w:val="20"/>
                <w:u w:val="single"/>
              </w:rPr>
              <w:t>fiscalização</w:t>
              <w:tab/>
            </w:r>
            <w:r>
              <w:rPr>
                <w:sz w:val="20"/>
              </w:rPr>
              <w:t> número de termos e parcerias previstos no Plano de</w:t>
            </w:r>
            <w:r>
              <w:rPr>
                <w:spacing w:val="-4"/>
                <w:sz w:val="20"/>
              </w:rPr>
              <w:t> </w:t>
            </w:r>
            <w:r>
              <w:rPr>
                <w:sz w:val="20"/>
              </w:rPr>
              <w:t>Ação</w:t>
            </w:r>
          </w:p>
        </w:tc>
        <w:tc>
          <w:tcPr>
            <w:tcW w:w="720" w:type="dxa"/>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2"/>
              <w:rPr>
                <w:rFonts w:ascii="Calibri Light"/>
                <w:b w:val="0"/>
                <w:sz w:val="17"/>
              </w:rPr>
            </w:pPr>
          </w:p>
          <w:p>
            <w:pPr>
              <w:pStyle w:val="TableParagraph"/>
              <w:ind w:left="157"/>
              <w:rPr>
                <w:sz w:val="20"/>
              </w:rPr>
            </w:pPr>
            <w:r>
              <w:rPr>
                <w:sz w:val="20"/>
              </w:rPr>
              <w:t>x 100</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2"/>
              <w:rPr>
                <w:rFonts w:ascii="Calibri Light"/>
                <w:b w:val="0"/>
                <w:sz w:val="17"/>
              </w:rPr>
            </w:pPr>
          </w:p>
          <w:p>
            <w:pPr>
              <w:pStyle w:val="TableParagraph"/>
              <w:ind w:left="220" w:right="196"/>
              <w:jc w:val="center"/>
              <w:rPr>
                <w:sz w:val="20"/>
              </w:rPr>
            </w:pPr>
            <w:r>
              <w:rPr>
                <w:sz w:val="20"/>
              </w:rPr>
              <w:t>Semestral</w:t>
            </w:r>
          </w:p>
        </w:tc>
        <w:tc>
          <w:tcPr>
            <w:tcW w:w="1277" w:type="dxa"/>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17"/>
              </w:rPr>
            </w:pPr>
          </w:p>
          <w:p>
            <w:pPr>
              <w:pStyle w:val="TableParagraph"/>
              <w:spacing w:before="1"/>
              <w:ind w:left="118" w:right="79" w:firstLine="158"/>
              <w:rPr>
                <w:sz w:val="20"/>
              </w:rPr>
            </w:pPr>
            <w:r>
              <w:rPr>
                <w:sz w:val="20"/>
              </w:rPr>
              <w:t>Portal da </w:t>
            </w:r>
            <w:r>
              <w:rPr>
                <w:w w:val="95"/>
                <w:sz w:val="20"/>
              </w:rPr>
              <w:t>Transparênci </w:t>
            </w:r>
            <w:r>
              <w:rPr>
                <w:sz w:val="20"/>
              </w:rPr>
              <w:t>a do CAU/UF</w:t>
            </w:r>
          </w:p>
        </w:tc>
      </w:tr>
      <w:tr>
        <w:trPr>
          <w:trHeight w:val="612" w:hRule="atLeast"/>
        </w:trPr>
        <w:tc>
          <w:tcPr>
            <w:tcW w:w="1560" w:type="dxa"/>
            <w:tcBorders>
              <w:top w:val="nil"/>
              <w:bottom w:val="nil"/>
              <w:right w:val="single" w:sz="4" w:space="0" w:color="000000"/>
            </w:tcBorders>
          </w:tcPr>
          <w:p>
            <w:pPr>
              <w:pStyle w:val="TableParagraph"/>
              <w:rPr>
                <w:rFonts w:ascii="Times New Roman"/>
                <w:sz w:val="20"/>
              </w:rPr>
            </w:pPr>
          </w:p>
        </w:tc>
        <w:tc>
          <w:tcPr>
            <w:tcW w:w="1852" w:type="dxa"/>
            <w:tcBorders>
              <w:top w:val="nil"/>
              <w:left w:val="single" w:sz="4" w:space="0" w:color="000000"/>
              <w:bottom w:val="nil"/>
              <w:right w:val="single" w:sz="4" w:space="0" w:color="000000"/>
            </w:tcBorders>
          </w:tcPr>
          <w:p>
            <w:pPr>
              <w:pStyle w:val="TableParagraph"/>
              <w:rPr>
                <w:rFonts w:ascii="Times New Roman"/>
                <w:sz w:val="20"/>
              </w:rPr>
            </w:pPr>
          </w:p>
        </w:tc>
        <w:tc>
          <w:tcPr>
            <w:tcW w:w="244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458" w:type="dxa"/>
            <w:tcBorders>
              <w:top w:val="single" w:sz="4" w:space="0" w:color="000000"/>
              <w:left w:val="single" w:sz="4" w:space="0" w:color="000000"/>
              <w:bottom w:val="nil"/>
              <w:right w:val="nil"/>
            </w:tcBorders>
          </w:tcPr>
          <w:p>
            <w:pPr>
              <w:pStyle w:val="TableParagraph"/>
              <w:rPr>
                <w:rFonts w:ascii="Calibri Light"/>
                <w:b w:val="0"/>
                <w:sz w:val="29"/>
              </w:rPr>
            </w:pPr>
          </w:p>
          <w:p>
            <w:pPr>
              <w:pStyle w:val="TableParagraph"/>
              <w:spacing w:line="238" w:lineRule="exact"/>
              <w:ind w:left="13" w:right="20"/>
              <w:jc w:val="center"/>
              <w:rPr>
                <w:sz w:val="20"/>
              </w:rPr>
            </w:pPr>
            <w:r>
              <w:rPr>
                <w:sz w:val="20"/>
              </w:rPr>
              <w:t>Indicador para</w:t>
            </w:r>
          </w:p>
        </w:tc>
        <w:tc>
          <w:tcPr>
            <w:tcW w:w="608" w:type="dxa"/>
            <w:tcBorders>
              <w:top w:val="single" w:sz="4" w:space="0" w:color="000000"/>
              <w:left w:val="nil"/>
              <w:bottom w:val="nil"/>
              <w:right w:val="nil"/>
            </w:tcBorders>
          </w:tcPr>
          <w:p>
            <w:pPr>
              <w:pStyle w:val="TableParagraph"/>
              <w:rPr>
                <w:rFonts w:ascii="Calibri Light"/>
                <w:b w:val="0"/>
                <w:sz w:val="29"/>
              </w:rPr>
            </w:pPr>
          </w:p>
          <w:p>
            <w:pPr>
              <w:pStyle w:val="TableParagraph"/>
              <w:spacing w:line="238" w:lineRule="exact"/>
              <w:ind w:left="45" w:right="43"/>
              <w:jc w:val="center"/>
              <w:rPr>
                <w:sz w:val="20"/>
              </w:rPr>
            </w:pPr>
            <w:r>
              <w:rPr>
                <w:sz w:val="20"/>
              </w:rPr>
              <w:t>medir</w:t>
            </w:r>
          </w:p>
        </w:tc>
        <w:tc>
          <w:tcPr>
            <w:tcW w:w="1718" w:type="dxa"/>
            <w:tcBorders>
              <w:top w:val="single" w:sz="4" w:space="0" w:color="000000"/>
              <w:left w:val="nil"/>
              <w:bottom w:val="nil"/>
              <w:right w:val="single" w:sz="4" w:space="0" w:color="000000"/>
            </w:tcBorders>
          </w:tcPr>
          <w:p>
            <w:pPr>
              <w:pStyle w:val="TableParagraph"/>
              <w:rPr>
                <w:rFonts w:ascii="Calibri Light"/>
                <w:b w:val="0"/>
                <w:sz w:val="29"/>
              </w:rPr>
            </w:pPr>
          </w:p>
          <w:p>
            <w:pPr>
              <w:pStyle w:val="TableParagraph"/>
              <w:spacing w:line="238" w:lineRule="exact"/>
              <w:ind w:left="32"/>
              <w:jc w:val="center"/>
              <w:rPr>
                <w:sz w:val="20"/>
              </w:rPr>
            </w:pPr>
            <w:r>
              <w:rPr>
                <w:sz w:val="20"/>
              </w:rPr>
              <w:t>se os CAU/UF a</w:t>
            </w:r>
          </w:p>
        </w:tc>
        <w:tc>
          <w:tcPr>
            <w:tcW w:w="2685"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0"/>
              <w:rPr>
                <w:rFonts w:ascii="Calibri Light"/>
                <w:b w:val="0"/>
                <w:sz w:val="14"/>
              </w:rPr>
            </w:pPr>
          </w:p>
          <w:p>
            <w:pPr>
              <w:pStyle w:val="TableParagraph"/>
              <w:ind w:left="197"/>
              <w:rPr>
                <w:sz w:val="20"/>
              </w:rPr>
            </w:pPr>
            <w:r>
              <w:rPr>
                <w:sz w:val="20"/>
              </w:rPr>
              <w:t>quantidade mensal de ações</w:t>
            </w:r>
          </w:p>
          <w:p>
            <w:pPr>
              <w:pStyle w:val="TableParagraph"/>
              <w:tabs>
                <w:tab w:pos="382" w:val="left" w:leader="none"/>
                <w:tab w:pos="2702" w:val="left" w:leader="none"/>
              </w:tabs>
              <w:spacing w:line="244" w:lineRule="auto"/>
              <w:ind w:left="533" w:right="-29" w:hanging="522"/>
              <w:rPr>
                <w:sz w:val="20"/>
              </w:rPr>
            </w:pPr>
            <w:r>
              <w:rPr>
                <w:w w:val="99"/>
                <w:sz w:val="20"/>
                <w:u w:val="single"/>
              </w:rPr>
              <w:t> </w:t>
            </w:r>
            <w:r>
              <w:rPr>
                <w:sz w:val="20"/>
                <w:u w:val="single"/>
              </w:rPr>
              <w:tab/>
              <w:t>de</w:t>
            </w:r>
            <w:r>
              <w:rPr>
                <w:spacing w:val="-6"/>
                <w:sz w:val="20"/>
                <w:u w:val="single"/>
              </w:rPr>
              <w:t> </w:t>
            </w:r>
            <w:r>
              <w:rPr>
                <w:sz w:val="20"/>
                <w:u w:val="single"/>
              </w:rPr>
              <w:t>fiscalização</w:t>
            </w:r>
            <w:r>
              <w:rPr>
                <w:spacing w:val="-5"/>
                <w:sz w:val="20"/>
                <w:u w:val="single"/>
              </w:rPr>
              <w:t> </w:t>
            </w:r>
            <w:r>
              <w:rPr>
                <w:sz w:val="20"/>
                <w:u w:val="single"/>
              </w:rPr>
              <w:t>realizada</w:t>
              <w:tab/>
            </w:r>
            <w:r>
              <w:rPr>
                <w:sz w:val="20"/>
              </w:rPr>
              <w:t> número de horas de fiscalização</w:t>
            </w:r>
            <w:r>
              <w:rPr>
                <w:spacing w:val="-1"/>
                <w:sz w:val="20"/>
              </w:rPr>
              <w:t> </w:t>
            </w:r>
            <w:r>
              <w:rPr>
                <w:sz w:val="20"/>
              </w:rPr>
              <w:t>mensal</w:t>
            </w:r>
          </w:p>
        </w:tc>
        <w:tc>
          <w:tcPr>
            <w:tcW w:w="720"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19"/>
              </w:rPr>
            </w:pPr>
          </w:p>
          <w:p>
            <w:pPr>
              <w:pStyle w:val="TableParagraph"/>
              <w:ind w:left="157"/>
              <w:rPr>
                <w:sz w:val="20"/>
              </w:rPr>
            </w:pPr>
            <w:r>
              <w:rPr>
                <w:sz w:val="20"/>
              </w:rPr>
              <w:t>x 100</w:t>
            </w:r>
          </w:p>
        </w:tc>
        <w:tc>
          <w:tcPr>
            <w:tcW w:w="1275"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77" w:type="dxa"/>
            <w:tcBorders>
              <w:top w:val="single" w:sz="4" w:space="0" w:color="000000"/>
              <w:left w:val="single" w:sz="4" w:space="0" w:color="000000"/>
              <w:bottom w:val="nil"/>
            </w:tcBorders>
          </w:tcPr>
          <w:p>
            <w:pPr>
              <w:pStyle w:val="TableParagraph"/>
              <w:rPr>
                <w:rFonts w:ascii="Times New Roman"/>
                <w:sz w:val="20"/>
              </w:rPr>
            </w:pPr>
          </w:p>
        </w:tc>
      </w:tr>
      <w:tr>
        <w:trPr>
          <w:trHeight w:val="233"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rPr>
                <w:rFonts w:ascii="Times New Roman"/>
                <w:sz w:val="16"/>
              </w:rPr>
            </w:pPr>
          </w:p>
        </w:tc>
        <w:tc>
          <w:tcPr>
            <w:tcW w:w="3784" w:type="dxa"/>
            <w:gridSpan w:val="3"/>
            <w:tcBorders>
              <w:top w:val="nil"/>
              <w:left w:val="single" w:sz="4" w:space="0" w:color="000000"/>
              <w:bottom w:val="nil"/>
              <w:right w:val="single" w:sz="4" w:space="0" w:color="000000"/>
            </w:tcBorders>
          </w:tcPr>
          <w:p>
            <w:pPr>
              <w:pStyle w:val="TableParagraph"/>
              <w:tabs>
                <w:tab w:pos="1232" w:val="left" w:leader="none"/>
                <w:tab w:pos="1673" w:val="left" w:leader="none"/>
                <w:tab w:pos="2829" w:val="left" w:leader="none"/>
                <w:tab w:pos="3347" w:val="left" w:leader="none"/>
              </w:tabs>
              <w:spacing w:line="214" w:lineRule="exact"/>
              <w:ind w:left="78"/>
              <w:rPr>
                <w:sz w:val="20"/>
              </w:rPr>
            </w:pPr>
            <w:r>
              <w:rPr>
                <w:sz w:val="20"/>
              </w:rPr>
              <w:t>capacidade</w:t>
              <w:tab/>
              <w:t>de</w:t>
              <w:tab/>
              <w:t>fiscalização</w:t>
              <w:tab/>
              <w:t>por</w:t>
              <w:tab/>
              <w:t>hora</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967" w:hRule="atLeast"/>
        </w:trPr>
        <w:tc>
          <w:tcPr>
            <w:tcW w:w="1560" w:type="dxa"/>
            <w:tcBorders>
              <w:top w:val="nil"/>
              <w:bottom w:val="nil"/>
              <w:right w:val="single" w:sz="4" w:space="0" w:color="000000"/>
            </w:tcBorders>
          </w:tcPr>
          <w:p>
            <w:pPr>
              <w:pStyle w:val="TableParagraph"/>
              <w:rPr>
                <w:rFonts w:ascii="Times New Roman"/>
                <w:sz w:val="20"/>
              </w:rPr>
            </w:pPr>
          </w:p>
        </w:tc>
        <w:tc>
          <w:tcPr>
            <w:tcW w:w="1852" w:type="dxa"/>
            <w:tcBorders>
              <w:top w:val="nil"/>
              <w:left w:val="single" w:sz="4" w:space="0" w:color="000000"/>
              <w:bottom w:val="nil"/>
              <w:right w:val="single" w:sz="4" w:space="0" w:color="000000"/>
            </w:tcBorders>
          </w:tcPr>
          <w:p>
            <w:pPr>
              <w:pStyle w:val="TableParagraph"/>
              <w:rPr>
                <w:rFonts w:ascii="Times New Roman"/>
                <w:sz w:val="20"/>
              </w:rPr>
            </w:pPr>
          </w:p>
        </w:tc>
        <w:tc>
          <w:tcPr>
            <w:tcW w:w="2441" w:type="dxa"/>
            <w:tcBorders>
              <w:top w:val="nil"/>
              <w:left w:val="single" w:sz="4" w:space="0" w:color="000000"/>
              <w:bottom w:val="nil"/>
              <w:right w:val="single" w:sz="4" w:space="0" w:color="000000"/>
            </w:tcBorders>
          </w:tcPr>
          <w:p>
            <w:pPr>
              <w:pStyle w:val="TableParagraph"/>
              <w:spacing w:before="98"/>
              <w:ind w:left="260" w:right="237"/>
              <w:jc w:val="center"/>
              <w:rPr>
                <w:b/>
                <w:sz w:val="20"/>
              </w:rPr>
            </w:pPr>
            <w:r>
              <w:rPr>
                <w:sz w:val="20"/>
              </w:rPr>
              <w:t>Índice produtividade de fiscalização (%) </w:t>
            </w:r>
            <w:r>
              <w:rPr>
                <w:b/>
                <w:sz w:val="20"/>
              </w:rPr>
              <w:t>(CAU/UF)</w:t>
            </w:r>
          </w:p>
        </w:tc>
        <w:tc>
          <w:tcPr>
            <w:tcW w:w="3784" w:type="dxa"/>
            <w:gridSpan w:val="3"/>
            <w:tcBorders>
              <w:top w:val="nil"/>
              <w:left w:val="single" w:sz="4" w:space="0" w:color="000000"/>
              <w:bottom w:val="nil"/>
              <w:right w:val="single" w:sz="4" w:space="0" w:color="000000"/>
            </w:tcBorders>
          </w:tcPr>
          <w:p>
            <w:pPr>
              <w:pStyle w:val="TableParagraph"/>
              <w:spacing w:line="220" w:lineRule="exact"/>
              <w:ind w:left="78"/>
              <w:rPr>
                <w:sz w:val="20"/>
              </w:rPr>
            </w:pPr>
            <w:r>
              <w:rPr>
                <w:sz w:val="20"/>
              </w:rPr>
              <w:t>trabalhada</w:t>
            </w:r>
            <w:r>
              <w:rPr>
                <w:spacing w:val="17"/>
                <w:sz w:val="20"/>
              </w:rPr>
              <w:t> </w:t>
            </w:r>
            <w:r>
              <w:rPr>
                <w:sz w:val="20"/>
              </w:rPr>
              <w:t>do</w:t>
            </w:r>
            <w:r>
              <w:rPr>
                <w:spacing w:val="17"/>
                <w:sz w:val="20"/>
              </w:rPr>
              <w:t> </w:t>
            </w:r>
            <w:r>
              <w:rPr>
                <w:sz w:val="20"/>
              </w:rPr>
              <w:t>fiscal.</w:t>
            </w:r>
            <w:r>
              <w:rPr>
                <w:spacing w:val="18"/>
                <w:sz w:val="20"/>
              </w:rPr>
              <w:t> </w:t>
            </w:r>
            <w:r>
              <w:rPr>
                <w:sz w:val="20"/>
              </w:rPr>
              <w:t>Compara</w:t>
            </w:r>
            <w:r>
              <w:rPr>
                <w:spacing w:val="17"/>
                <w:sz w:val="20"/>
              </w:rPr>
              <w:t> </w:t>
            </w:r>
            <w:r>
              <w:rPr>
                <w:sz w:val="20"/>
              </w:rPr>
              <w:t>a</w:t>
            </w:r>
            <w:r>
              <w:rPr>
                <w:spacing w:val="17"/>
                <w:sz w:val="20"/>
              </w:rPr>
              <w:t> </w:t>
            </w:r>
            <w:r>
              <w:rPr>
                <w:sz w:val="20"/>
              </w:rPr>
              <w:t>quantidade</w:t>
            </w:r>
          </w:p>
          <w:p>
            <w:pPr>
              <w:pStyle w:val="TableParagraph"/>
              <w:ind w:left="78" w:right="47"/>
              <w:rPr>
                <w:sz w:val="20"/>
              </w:rPr>
            </w:pPr>
            <w:r>
              <w:rPr>
                <w:sz w:val="20"/>
              </w:rPr>
              <w:t>de ações de fiscalização realizadas no mês com  a  quantidade de horas de </w:t>
            </w:r>
            <w:r>
              <w:rPr>
                <w:spacing w:val="15"/>
                <w:sz w:val="20"/>
              </w:rPr>
              <w:t> </w:t>
            </w:r>
            <w:r>
              <w:rPr>
                <w:sz w:val="20"/>
              </w:rPr>
              <w:t>fiscalização.</w:t>
            </w:r>
          </w:p>
          <w:p>
            <w:pPr>
              <w:pStyle w:val="TableParagraph"/>
              <w:spacing w:line="237" w:lineRule="exact" w:before="2"/>
              <w:ind w:left="78"/>
              <w:rPr>
                <w:sz w:val="20"/>
              </w:rPr>
            </w:pPr>
            <w:r>
              <w:rPr>
                <w:b/>
                <w:sz w:val="20"/>
              </w:rPr>
              <w:t>Para    calcular    o    número    </w:t>
            </w:r>
            <w:r>
              <w:rPr>
                <w:sz w:val="20"/>
              </w:rPr>
              <w:t>de    horas</w:t>
            </w:r>
            <w:r>
              <w:rPr>
                <w:spacing w:val="37"/>
                <w:sz w:val="20"/>
              </w:rPr>
              <w:t> </w:t>
            </w:r>
            <w:r>
              <w:rPr>
                <w:sz w:val="20"/>
              </w:rPr>
              <w:t>de</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Calibri Light"/>
                <w:b w:val="0"/>
                <w:sz w:val="28"/>
              </w:rPr>
            </w:pPr>
          </w:p>
          <w:p>
            <w:pPr>
              <w:pStyle w:val="TableParagraph"/>
              <w:spacing w:before="1"/>
              <w:ind w:left="220" w:right="196"/>
              <w:jc w:val="center"/>
              <w:rPr>
                <w:sz w:val="20"/>
              </w:rPr>
            </w:pPr>
            <w:r>
              <w:rPr>
                <w:sz w:val="20"/>
              </w:rPr>
              <w:t>Mensal</w:t>
            </w:r>
          </w:p>
        </w:tc>
        <w:tc>
          <w:tcPr>
            <w:tcW w:w="1277" w:type="dxa"/>
            <w:tcBorders>
              <w:top w:val="nil"/>
              <w:left w:val="single" w:sz="4" w:space="0" w:color="000000"/>
              <w:bottom w:val="nil"/>
            </w:tcBorders>
          </w:tcPr>
          <w:p>
            <w:pPr>
              <w:pStyle w:val="TableParagraph"/>
              <w:rPr>
                <w:rFonts w:ascii="Calibri Light"/>
                <w:b w:val="0"/>
                <w:sz w:val="28"/>
              </w:rPr>
            </w:pPr>
          </w:p>
          <w:p>
            <w:pPr>
              <w:pStyle w:val="TableParagraph"/>
              <w:spacing w:before="1"/>
              <w:ind w:left="134" w:right="110"/>
              <w:jc w:val="center"/>
              <w:rPr>
                <w:sz w:val="20"/>
              </w:rPr>
            </w:pPr>
            <w:r>
              <w:rPr>
                <w:sz w:val="20"/>
              </w:rPr>
              <w:t>SICCAU</w:t>
            </w:r>
          </w:p>
        </w:tc>
      </w:tr>
      <w:tr>
        <w:trPr>
          <w:trHeight w:val="233" w:hRule="atLeast"/>
        </w:trPr>
        <w:tc>
          <w:tcPr>
            <w:tcW w:w="1560" w:type="dxa"/>
            <w:tcBorders>
              <w:top w:val="nil"/>
              <w:bottom w:val="nil"/>
              <w:right w:val="single" w:sz="4" w:space="0" w:color="000000"/>
            </w:tcBorders>
          </w:tcPr>
          <w:p>
            <w:pPr>
              <w:pStyle w:val="TableParagraph"/>
              <w:rPr>
                <w:rFonts w:ascii="Times New Roman"/>
                <w:sz w:val="16"/>
              </w:rPr>
            </w:pPr>
          </w:p>
        </w:tc>
        <w:tc>
          <w:tcPr>
            <w:tcW w:w="1852" w:type="dxa"/>
            <w:tcBorders>
              <w:top w:val="nil"/>
              <w:left w:val="single" w:sz="4" w:space="0" w:color="000000"/>
              <w:bottom w:val="nil"/>
              <w:right w:val="single" w:sz="4" w:space="0" w:color="000000"/>
            </w:tcBorders>
          </w:tcPr>
          <w:p>
            <w:pPr>
              <w:pStyle w:val="TableParagraph"/>
              <w:rPr>
                <w:rFonts w:ascii="Times New Roman"/>
                <w:sz w:val="16"/>
              </w:rPr>
            </w:pPr>
          </w:p>
        </w:tc>
        <w:tc>
          <w:tcPr>
            <w:tcW w:w="2441" w:type="dxa"/>
            <w:tcBorders>
              <w:top w:val="nil"/>
              <w:left w:val="single" w:sz="4" w:space="0" w:color="000000"/>
              <w:bottom w:val="nil"/>
              <w:right w:val="single" w:sz="4" w:space="0" w:color="000000"/>
            </w:tcBorders>
          </w:tcPr>
          <w:p>
            <w:pPr>
              <w:pStyle w:val="TableParagraph"/>
              <w:rPr>
                <w:rFonts w:ascii="Times New Roman"/>
                <w:sz w:val="16"/>
              </w:rPr>
            </w:pPr>
          </w:p>
        </w:tc>
        <w:tc>
          <w:tcPr>
            <w:tcW w:w="3784" w:type="dxa"/>
            <w:gridSpan w:val="3"/>
            <w:tcBorders>
              <w:top w:val="nil"/>
              <w:left w:val="single" w:sz="4" w:space="0" w:color="000000"/>
              <w:bottom w:val="nil"/>
              <w:right w:val="single" w:sz="4" w:space="0" w:color="000000"/>
            </w:tcBorders>
          </w:tcPr>
          <w:p>
            <w:pPr>
              <w:pStyle w:val="TableParagraph"/>
              <w:spacing w:line="214" w:lineRule="exact"/>
              <w:ind w:left="78"/>
              <w:rPr>
                <w:sz w:val="20"/>
              </w:rPr>
            </w:pPr>
            <w:r>
              <w:rPr>
                <w:sz w:val="20"/>
              </w:rPr>
              <w:t>fiscalização utiliza-se a quantidade de fiscais</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572" w:hRule="atLeast"/>
        </w:trPr>
        <w:tc>
          <w:tcPr>
            <w:tcW w:w="1560" w:type="dxa"/>
            <w:tcBorders>
              <w:top w:val="nil"/>
              <w:bottom w:val="single" w:sz="4" w:space="0" w:color="000000"/>
              <w:right w:val="single" w:sz="4" w:space="0" w:color="000000"/>
            </w:tcBorders>
          </w:tcPr>
          <w:p>
            <w:pPr>
              <w:pStyle w:val="TableParagraph"/>
              <w:rPr>
                <w:rFonts w:ascii="Times New Roman"/>
                <w:sz w:val="20"/>
              </w:rPr>
            </w:pPr>
          </w:p>
        </w:tc>
        <w:tc>
          <w:tcPr>
            <w:tcW w:w="185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44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784" w:type="dxa"/>
            <w:gridSpan w:val="3"/>
            <w:tcBorders>
              <w:top w:val="nil"/>
              <w:left w:val="single" w:sz="4" w:space="0" w:color="000000"/>
              <w:bottom w:val="single" w:sz="4" w:space="0" w:color="000000"/>
              <w:right w:val="single" w:sz="4" w:space="0" w:color="000000"/>
            </w:tcBorders>
          </w:tcPr>
          <w:p>
            <w:pPr>
              <w:pStyle w:val="TableParagraph"/>
              <w:spacing w:line="221" w:lineRule="exact"/>
              <w:ind w:left="78"/>
              <w:rPr>
                <w:sz w:val="20"/>
              </w:rPr>
            </w:pPr>
            <w:r>
              <w:rPr>
                <w:sz w:val="20"/>
              </w:rPr>
              <w:t>x horas trabalhadas por mês.</w:t>
            </w:r>
          </w:p>
        </w:tc>
        <w:tc>
          <w:tcPr>
            <w:tcW w:w="2685" w:type="dxa"/>
            <w:vMerge/>
            <w:tcBorders>
              <w:top w:val="nil"/>
              <w:left w:val="single" w:sz="4" w:space="0" w:color="000000"/>
              <w:bottom w:val="single" w:sz="4" w:space="0" w:color="000000"/>
              <w:right w:val="nil"/>
            </w:tcBorders>
          </w:tcPr>
          <w:p>
            <w:pPr>
              <w:rPr>
                <w:sz w:val="2"/>
                <w:szCs w:val="2"/>
              </w:rPr>
            </w:pPr>
          </w:p>
        </w:tc>
        <w:tc>
          <w:tcPr>
            <w:tcW w:w="720" w:type="dxa"/>
            <w:vMerge/>
            <w:tcBorders>
              <w:top w:val="nil"/>
              <w:left w:val="nil"/>
              <w:bottom w:val="single" w:sz="4" w:space="0" w:color="000000"/>
              <w:right w:val="single" w:sz="4" w:space="0" w:color="000000"/>
            </w:tcBorders>
          </w:tcPr>
          <w:p>
            <w:pPr>
              <w:rPr>
                <w:sz w:val="2"/>
                <w:szCs w:val="2"/>
              </w:rPr>
            </w:pPr>
          </w:p>
        </w:tc>
        <w:tc>
          <w:tcPr>
            <w:tcW w:w="1275"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590" w:footer="618" w:top="146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98"/>
        <w:gridCol w:w="1903"/>
        <w:gridCol w:w="2410"/>
        <w:gridCol w:w="1412"/>
        <w:gridCol w:w="2558"/>
        <w:gridCol w:w="2686"/>
        <w:gridCol w:w="718"/>
        <w:gridCol w:w="1133"/>
        <w:gridCol w:w="1277"/>
      </w:tblGrid>
      <w:tr>
        <w:trPr>
          <w:trHeight w:val="1574" w:hRule="atLeast"/>
        </w:trPr>
        <w:tc>
          <w:tcPr>
            <w:tcW w:w="1498"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93" w:right="85"/>
              <w:jc w:val="center"/>
              <w:rPr>
                <w:b/>
                <w:sz w:val="20"/>
              </w:rPr>
            </w:pPr>
            <w:r>
              <w:rPr>
                <w:b/>
                <w:color w:val="FFFFFF"/>
                <w:sz w:val="20"/>
              </w:rPr>
              <w:t>Perspectiva</w:t>
            </w:r>
          </w:p>
        </w:tc>
        <w:tc>
          <w:tcPr>
            <w:tcW w:w="190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17"/>
              <w:rPr>
                <w:b/>
                <w:sz w:val="20"/>
              </w:rPr>
            </w:pPr>
            <w:r>
              <w:rPr>
                <w:b/>
                <w:color w:val="FFFFFF"/>
                <w:sz w:val="20"/>
              </w:rPr>
              <w:t>Objetivo Estratégico</w:t>
            </w:r>
          </w:p>
        </w:tc>
        <w:tc>
          <w:tcPr>
            <w:tcW w:w="2410"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57" w:right="35"/>
              <w:jc w:val="center"/>
              <w:rPr>
                <w:b/>
                <w:sz w:val="20"/>
              </w:rPr>
            </w:pPr>
            <w:r>
              <w:rPr>
                <w:b/>
                <w:color w:val="FFFFFF"/>
                <w:sz w:val="20"/>
              </w:rPr>
              <w:t>Indicador</w:t>
            </w:r>
          </w:p>
        </w:tc>
        <w:tc>
          <w:tcPr>
            <w:tcW w:w="3970"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567" w:right="1551"/>
              <w:jc w:val="center"/>
              <w:rPr>
                <w:b/>
                <w:sz w:val="20"/>
              </w:rPr>
            </w:pPr>
            <w:r>
              <w:rPr>
                <w:b/>
                <w:color w:val="FFFFFF"/>
                <w:sz w:val="20"/>
              </w:rPr>
              <w:t>Descrição</w:t>
            </w:r>
          </w:p>
        </w:tc>
        <w:tc>
          <w:tcPr>
            <w:tcW w:w="3404"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915"/>
              <w:rPr>
                <w:b/>
                <w:sz w:val="20"/>
              </w:rPr>
            </w:pPr>
            <w:r>
              <w:rPr>
                <w:b/>
                <w:color w:val="FFFFFF"/>
                <w:sz w:val="20"/>
              </w:rPr>
              <w:t>Fórmula de Cálculo</w:t>
            </w:r>
          </w:p>
        </w:tc>
        <w:tc>
          <w:tcPr>
            <w:tcW w:w="113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86" w:right="41" w:firstLine="28"/>
              <w:rPr>
                <w:b/>
                <w:sz w:val="20"/>
              </w:rPr>
            </w:pPr>
            <w:r>
              <w:rPr>
                <w:b/>
                <w:color w:val="FFFFFF"/>
                <w:sz w:val="20"/>
              </w:rPr>
              <w:t>Frequência de Medição</w:t>
            </w:r>
          </w:p>
        </w:tc>
        <w:tc>
          <w:tcPr>
            <w:tcW w:w="1277"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52" w:right="204" w:firstLine="21"/>
              <w:rPr>
                <w:b/>
                <w:sz w:val="20"/>
              </w:rPr>
            </w:pPr>
            <w:r>
              <w:rPr>
                <w:b/>
                <w:color w:val="FFFFFF"/>
                <w:sz w:val="20"/>
              </w:rPr>
              <w:t>Fonte do Indicador</w:t>
            </w:r>
          </w:p>
        </w:tc>
      </w:tr>
      <w:tr>
        <w:trPr>
          <w:trHeight w:val="575" w:hRule="atLeast"/>
        </w:trPr>
        <w:tc>
          <w:tcPr>
            <w:tcW w:w="1498" w:type="dxa"/>
            <w:tcBorders>
              <w:bottom w:val="nil"/>
              <w:right w:val="single" w:sz="4" w:space="0" w:color="000000"/>
            </w:tcBorders>
          </w:tcPr>
          <w:p>
            <w:pPr>
              <w:pStyle w:val="TableParagraph"/>
              <w:rPr>
                <w:rFonts w:ascii="Times New Roman"/>
                <w:sz w:val="20"/>
              </w:rPr>
            </w:pPr>
          </w:p>
        </w:tc>
        <w:tc>
          <w:tcPr>
            <w:tcW w:w="1903" w:type="dxa"/>
            <w:tcBorders>
              <w:left w:val="single" w:sz="4" w:space="0" w:color="000000"/>
              <w:bottom w:val="nil"/>
              <w:right w:val="single" w:sz="4" w:space="0" w:color="000000"/>
            </w:tcBorders>
          </w:tcPr>
          <w:p>
            <w:pPr>
              <w:pStyle w:val="TableParagraph"/>
              <w:rPr>
                <w:rFonts w:ascii="Times New Roman"/>
                <w:sz w:val="20"/>
              </w:rPr>
            </w:pPr>
          </w:p>
        </w:tc>
        <w:tc>
          <w:tcPr>
            <w:tcW w:w="2410" w:type="dxa"/>
            <w:tcBorders>
              <w:left w:val="single" w:sz="4" w:space="0" w:color="000000"/>
              <w:bottom w:val="nil"/>
              <w:right w:val="single" w:sz="4" w:space="0" w:color="000000"/>
            </w:tcBorders>
          </w:tcPr>
          <w:p>
            <w:pPr>
              <w:pStyle w:val="TableParagraph"/>
              <w:rPr>
                <w:rFonts w:ascii="Times New Roman"/>
                <w:sz w:val="20"/>
              </w:rPr>
            </w:pPr>
          </w:p>
        </w:tc>
        <w:tc>
          <w:tcPr>
            <w:tcW w:w="3970" w:type="dxa"/>
            <w:gridSpan w:val="2"/>
            <w:tcBorders>
              <w:left w:val="single" w:sz="4" w:space="0" w:color="000000"/>
              <w:bottom w:val="nil"/>
              <w:right w:val="single" w:sz="4" w:space="0" w:color="000000"/>
            </w:tcBorders>
          </w:tcPr>
          <w:p>
            <w:pPr>
              <w:pStyle w:val="TableParagraph"/>
              <w:spacing w:before="5"/>
              <w:rPr>
                <w:rFonts w:ascii="Calibri Light"/>
                <w:b w:val="0"/>
                <w:sz w:val="24"/>
              </w:rPr>
            </w:pPr>
          </w:p>
          <w:p>
            <w:pPr>
              <w:pStyle w:val="TableParagraph"/>
              <w:ind w:left="77"/>
              <w:rPr>
                <w:sz w:val="20"/>
              </w:rPr>
            </w:pPr>
            <w:r>
              <w:rPr>
                <w:sz w:val="20"/>
              </w:rPr>
              <w:t>O Índice de Regularidade corresponde ao</w:t>
            </w:r>
          </w:p>
        </w:tc>
        <w:tc>
          <w:tcPr>
            <w:tcW w:w="2686" w:type="dxa"/>
            <w:vMerge w:val="restart"/>
            <w:tcBorders>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19"/>
              </w:rPr>
            </w:pPr>
          </w:p>
          <w:p>
            <w:pPr>
              <w:pStyle w:val="TableParagraph"/>
              <w:ind w:left="70" w:right="48"/>
              <w:jc w:val="center"/>
              <w:rPr>
                <w:sz w:val="20"/>
              </w:rPr>
            </w:pPr>
            <w:r>
              <w:rPr>
                <w:sz w:val="20"/>
              </w:rPr>
              <w:t>quantidade obras e serviços</w:t>
            </w:r>
          </w:p>
          <w:p>
            <w:pPr>
              <w:pStyle w:val="TableParagraph"/>
              <w:tabs>
                <w:tab w:pos="999" w:val="left" w:leader="none"/>
                <w:tab w:pos="2698" w:val="left" w:leader="none"/>
              </w:tabs>
              <w:spacing w:line="244" w:lineRule="auto" w:before="1"/>
              <w:ind w:left="9" w:right="-29"/>
              <w:jc w:val="center"/>
              <w:rPr>
                <w:sz w:val="20"/>
              </w:rPr>
            </w:pPr>
            <w:r>
              <w:rPr>
                <w:w w:val="99"/>
                <w:sz w:val="20"/>
                <w:u w:val="single"/>
              </w:rPr>
              <w:t> </w:t>
            </w:r>
            <w:r>
              <w:rPr>
                <w:sz w:val="20"/>
                <w:u w:val="single"/>
              </w:rPr>
              <w:tab/>
              <w:t>com</w:t>
            </w:r>
            <w:r>
              <w:rPr>
                <w:spacing w:val="-2"/>
                <w:sz w:val="20"/>
                <w:u w:val="single"/>
              </w:rPr>
              <w:t> </w:t>
            </w:r>
            <w:r>
              <w:rPr>
                <w:sz w:val="20"/>
                <w:u w:val="single"/>
              </w:rPr>
              <w:t>RRT</w:t>
              <w:tab/>
            </w:r>
            <w:r>
              <w:rPr>
                <w:sz w:val="20"/>
              </w:rPr>
              <w:t> quantidade de obras e serviços regulares</w:t>
            </w:r>
          </w:p>
        </w:tc>
        <w:tc>
          <w:tcPr>
            <w:tcW w:w="718"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24"/>
              </w:rPr>
            </w:pPr>
          </w:p>
          <w:p>
            <w:pPr>
              <w:pStyle w:val="TableParagraph"/>
              <w:ind w:left="89"/>
              <w:rPr>
                <w:sz w:val="20"/>
              </w:rPr>
            </w:pPr>
            <w:r>
              <w:rPr>
                <w:sz w:val="20"/>
              </w:rPr>
              <w:t>x 100</w:t>
            </w:r>
          </w:p>
        </w:tc>
        <w:tc>
          <w:tcPr>
            <w:tcW w:w="1133" w:type="dxa"/>
            <w:tcBorders>
              <w:left w:val="single" w:sz="4" w:space="0" w:color="000000"/>
              <w:bottom w:val="nil"/>
              <w:right w:val="single" w:sz="4" w:space="0" w:color="000000"/>
            </w:tcBorders>
          </w:tcPr>
          <w:p>
            <w:pPr>
              <w:pStyle w:val="TableParagraph"/>
              <w:rPr>
                <w:rFonts w:ascii="Times New Roman"/>
                <w:sz w:val="20"/>
              </w:rPr>
            </w:pPr>
          </w:p>
        </w:tc>
        <w:tc>
          <w:tcPr>
            <w:tcW w:w="1277" w:type="dxa"/>
            <w:tcBorders>
              <w:left w:val="single" w:sz="4" w:space="0" w:color="000000"/>
              <w:bottom w:val="nil"/>
            </w:tcBorders>
          </w:tcPr>
          <w:p>
            <w:pPr>
              <w:pStyle w:val="TableParagraph"/>
              <w:rPr>
                <w:rFonts w:ascii="Times New Roman"/>
                <w:sz w:val="20"/>
              </w:rPr>
            </w:pPr>
          </w:p>
        </w:tc>
      </w:tr>
      <w:tr>
        <w:trPr>
          <w:trHeight w:val="234"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rPr>
                <w:rFonts w:ascii="Times New Roman"/>
                <w:sz w:val="16"/>
              </w:rPr>
            </w:pP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quociente do número de obras e serviços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4"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2" w:lineRule="exact"/>
              <w:ind w:left="55" w:right="35"/>
              <w:jc w:val="center"/>
              <w:rPr>
                <w:sz w:val="20"/>
              </w:rPr>
            </w:pPr>
            <w:r>
              <w:rPr>
                <w:sz w:val="20"/>
              </w:rPr>
              <w:t>Índice de regularidade no</w:t>
            </w: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regulares de Arquitetura e Urbanismo (Lei</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2" w:lineRule="exact"/>
              <w:ind w:left="55" w:right="35"/>
              <w:jc w:val="center"/>
              <w:rPr>
                <w:sz w:val="20"/>
              </w:rPr>
            </w:pPr>
            <w:r>
              <w:rPr>
                <w:sz w:val="20"/>
              </w:rPr>
              <w:t>CAU (%)</w:t>
            </w:r>
          </w:p>
        </w:tc>
        <w:tc>
          <w:tcPr>
            <w:tcW w:w="1412" w:type="dxa"/>
            <w:tcBorders>
              <w:top w:val="nil"/>
              <w:left w:val="single" w:sz="4" w:space="0" w:color="000000"/>
              <w:bottom w:val="nil"/>
              <w:right w:val="nil"/>
            </w:tcBorders>
          </w:tcPr>
          <w:p>
            <w:pPr>
              <w:pStyle w:val="TableParagraph"/>
              <w:spacing w:line="202" w:lineRule="exact"/>
              <w:ind w:left="77"/>
              <w:rPr>
                <w:sz w:val="20"/>
              </w:rPr>
            </w:pPr>
            <w:r>
              <w:rPr>
                <w:sz w:val="20"/>
              </w:rPr>
              <w:t>12.378/2010).</w:t>
            </w:r>
          </w:p>
        </w:tc>
        <w:tc>
          <w:tcPr>
            <w:tcW w:w="2558" w:type="dxa"/>
            <w:tcBorders>
              <w:top w:val="nil"/>
              <w:left w:val="nil"/>
              <w:bottom w:val="nil"/>
              <w:right w:val="single" w:sz="4" w:space="0" w:color="000000"/>
            </w:tcBorders>
          </w:tcPr>
          <w:p>
            <w:pPr>
              <w:pStyle w:val="TableParagraph"/>
              <w:tabs>
                <w:tab w:pos="584" w:val="left" w:leader="none"/>
                <w:tab w:pos="1148" w:val="left" w:leader="none"/>
                <w:tab w:pos="2179" w:val="left" w:leader="none"/>
              </w:tabs>
              <w:spacing w:line="202" w:lineRule="exact"/>
              <w:ind w:right="53"/>
              <w:jc w:val="right"/>
              <w:rPr>
                <w:sz w:val="20"/>
              </w:rPr>
            </w:pPr>
            <w:r>
              <w:rPr>
                <w:sz w:val="20"/>
              </w:rPr>
              <w:t>Para</w:t>
              <w:tab/>
              <w:t>este</w:t>
              <w:tab/>
              <w:t>indicador,</w:t>
              <w:tab/>
            </w:r>
            <w:r>
              <w:rPr>
                <w:spacing w:val="-1"/>
                <w:sz w:val="20"/>
              </w:rPr>
              <w:t>são</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spacing w:line="202" w:lineRule="exact"/>
              <w:ind w:left="255" w:right="231"/>
              <w:jc w:val="center"/>
              <w:rPr>
                <w:sz w:val="20"/>
              </w:rPr>
            </w:pPr>
            <w:r>
              <w:rPr>
                <w:sz w:val="20"/>
              </w:rPr>
              <w:t>Mensal</w:t>
            </w:r>
          </w:p>
        </w:tc>
        <w:tc>
          <w:tcPr>
            <w:tcW w:w="1277" w:type="dxa"/>
            <w:tcBorders>
              <w:top w:val="nil"/>
              <w:left w:val="single" w:sz="4" w:space="0" w:color="000000"/>
              <w:bottom w:val="nil"/>
            </w:tcBorders>
          </w:tcPr>
          <w:p>
            <w:pPr>
              <w:pStyle w:val="TableParagraph"/>
              <w:spacing w:line="202" w:lineRule="exact"/>
              <w:ind w:left="132" w:right="110"/>
              <w:jc w:val="center"/>
              <w:rPr>
                <w:sz w:val="20"/>
              </w:rPr>
            </w:pPr>
            <w:r>
              <w:rPr>
                <w:sz w:val="20"/>
              </w:rPr>
              <w:t>SICCAU</w:t>
            </w: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0" w:lineRule="exact"/>
              <w:ind w:left="55" w:right="35"/>
              <w:jc w:val="center"/>
              <w:rPr>
                <w:b/>
                <w:sz w:val="20"/>
              </w:rPr>
            </w:pPr>
            <w:r>
              <w:rPr>
                <w:b/>
                <w:sz w:val="20"/>
              </w:rPr>
              <w:t>(CAU/UF)</w:t>
            </w:r>
          </w:p>
        </w:tc>
        <w:tc>
          <w:tcPr>
            <w:tcW w:w="3970" w:type="dxa"/>
            <w:gridSpan w:val="2"/>
            <w:tcBorders>
              <w:top w:val="nil"/>
              <w:left w:val="single" w:sz="4" w:space="0" w:color="000000"/>
              <w:bottom w:val="nil"/>
              <w:right w:val="single" w:sz="4" w:space="0" w:color="000000"/>
            </w:tcBorders>
          </w:tcPr>
          <w:p>
            <w:pPr>
              <w:pStyle w:val="TableParagraph"/>
              <w:spacing w:line="200" w:lineRule="exact"/>
              <w:ind w:left="77"/>
              <w:rPr>
                <w:sz w:val="20"/>
              </w:rPr>
            </w:pPr>
            <w:r>
              <w:rPr>
                <w:sz w:val="20"/>
              </w:rPr>
              <w:t>consideradas regulares aquelas obras que, no</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5"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rPr>
                <w:rFonts w:ascii="Times New Roman"/>
                <w:sz w:val="16"/>
              </w:rPr>
            </w:pP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momento da ação de fiscalização, apresentam</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536" w:hRule="atLeast"/>
        </w:trPr>
        <w:tc>
          <w:tcPr>
            <w:tcW w:w="1498" w:type="dxa"/>
            <w:tcBorders>
              <w:top w:val="nil"/>
              <w:bottom w:val="nil"/>
              <w:right w:val="single" w:sz="4" w:space="0" w:color="000000"/>
            </w:tcBorders>
          </w:tcPr>
          <w:p>
            <w:pPr>
              <w:pStyle w:val="TableParagraph"/>
              <w:rPr>
                <w:rFonts w:ascii="Times New Roman"/>
                <w:sz w:val="20"/>
              </w:rPr>
            </w:pPr>
          </w:p>
        </w:tc>
        <w:tc>
          <w:tcPr>
            <w:tcW w:w="1903" w:type="dxa"/>
            <w:tcBorders>
              <w:top w:val="nil"/>
              <w:left w:val="single" w:sz="4" w:space="0" w:color="000000"/>
              <w:bottom w:val="nil"/>
              <w:right w:val="single" w:sz="4" w:space="0" w:color="000000"/>
            </w:tcBorders>
          </w:tcPr>
          <w:p>
            <w:pPr>
              <w:pStyle w:val="TableParagraph"/>
              <w:rPr>
                <w:rFonts w:ascii="Times New Roman"/>
                <w:sz w:val="20"/>
              </w:rPr>
            </w:pPr>
          </w:p>
        </w:tc>
        <w:tc>
          <w:tcPr>
            <w:tcW w:w="241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70" w:type="dxa"/>
            <w:gridSpan w:val="2"/>
            <w:tcBorders>
              <w:top w:val="nil"/>
              <w:left w:val="single" w:sz="4" w:space="0" w:color="000000"/>
              <w:bottom w:val="single" w:sz="4" w:space="0" w:color="000000"/>
              <w:right w:val="single" w:sz="4" w:space="0" w:color="000000"/>
            </w:tcBorders>
          </w:tcPr>
          <w:p>
            <w:pPr>
              <w:pStyle w:val="TableParagraph"/>
              <w:spacing w:line="202" w:lineRule="exact"/>
              <w:ind w:left="77"/>
              <w:rPr>
                <w:b/>
                <w:sz w:val="20"/>
              </w:rPr>
            </w:pPr>
            <w:r>
              <w:rPr>
                <w:b/>
                <w:sz w:val="20"/>
                <w:u w:val="single"/>
              </w:rPr>
              <w:t>RRT.</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nil"/>
              <w:left w:val="single" w:sz="4" w:space="0" w:color="000000"/>
              <w:bottom w:val="single" w:sz="4" w:space="0" w:color="000000"/>
            </w:tcBorders>
          </w:tcPr>
          <w:p>
            <w:pPr>
              <w:pStyle w:val="TableParagraph"/>
              <w:rPr>
                <w:rFonts w:ascii="Times New Roman"/>
                <w:sz w:val="20"/>
              </w:rPr>
            </w:pPr>
          </w:p>
        </w:tc>
      </w:tr>
      <w:tr>
        <w:trPr>
          <w:trHeight w:val="595" w:hRule="atLeast"/>
        </w:trPr>
        <w:tc>
          <w:tcPr>
            <w:tcW w:w="1498" w:type="dxa"/>
            <w:tcBorders>
              <w:top w:val="nil"/>
              <w:bottom w:val="nil"/>
              <w:right w:val="single" w:sz="4" w:space="0" w:color="000000"/>
            </w:tcBorders>
          </w:tcPr>
          <w:p>
            <w:pPr>
              <w:pStyle w:val="TableParagraph"/>
              <w:rPr>
                <w:rFonts w:ascii="Times New Roman"/>
                <w:sz w:val="20"/>
              </w:rPr>
            </w:pPr>
          </w:p>
        </w:tc>
        <w:tc>
          <w:tcPr>
            <w:tcW w:w="1903" w:type="dxa"/>
            <w:tcBorders>
              <w:top w:val="nil"/>
              <w:left w:val="single" w:sz="4" w:space="0" w:color="000000"/>
              <w:bottom w:val="nil"/>
              <w:right w:val="single" w:sz="4" w:space="0" w:color="000000"/>
            </w:tcBorders>
          </w:tcPr>
          <w:p>
            <w:pPr>
              <w:pStyle w:val="TableParagraph"/>
              <w:rPr>
                <w:rFonts w:ascii="Times New Roman"/>
                <w:sz w:val="20"/>
              </w:rPr>
            </w:pPr>
          </w:p>
        </w:tc>
        <w:tc>
          <w:tcPr>
            <w:tcW w:w="2410"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970" w:type="dxa"/>
            <w:gridSpan w:val="2"/>
            <w:tcBorders>
              <w:top w:val="single" w:sz="4" w:space="0" w:color="000000"/>
              <w:left w:val="single" w:sz="4" w:space="0" w:color="000000"/>
              <w:bottom w:val="nil"/>
              <w:right w:val="single" w:sz="4" w:space="0" w:color="000000"/>
            </w:tcBorders>
          </w:tcPr>
          <w:p>
            <w:pPr>
              <w:pStyle w:val="TableParagraph"/>
              <w:rPr>
                <w:rFonts w:ascii="Calibri Light"/>
                <w:b w:val="0"/>
                <w:sz w:val="26"/>
              </w:rPr>
            </w:pPr>
          </w:p>
          <w:p>
            <w:pPr>
              <w:pStyle w:val="TableParagraph"/>
              <w:ind w:left="77"/>
              <w:rPr>
                <w:sz w:val="20"/>
              </w:rPr>
            </w:pPr>
            <w:r>
              <w:rPr>
                <w:sz w:val="20"/>
              </w:rPr>
              <w:t>O Índice de Regularização corresponde ao</w:t>
            </w:r>
          </w:p>
        </w:tc>
        <w:tc>
          <w:tcPr>
            <w:tcW w:w="2686"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137"/>
              <w:ind w:left="70" w:right="48"/>
              <w:jc w:val="center"/>
              <w:rPr>
                <w:sz w:val="20"/>
              </w:rPr>
            </w:pPr>
            <w:r>
              <w:rPr>
                <w:sz w:val="20"/>
              </w:rPr>
              <w:t>quantidade de obras e serviços</w:t>
            </w:r>
          </w:p>
          <w:p>
            <w:pPr>
              <w:pStyle w:val="TableParagraph"/>
              <w:tabs>
                <w:tab w:pos="809" w:val="left" w:leader="none"/>
                <w:tab w:pos="2698" w:val="left" w:leader="none"/>
              </w:tabs>
              <w:spacing w:line="244" w:lineRule="auto"/>
              <w:ind w:left="9" w:right="-29"/>
              <w:jc w:val="center"/>
              <w:rPr>
                <w:sz w:val="20"/>
              </w:rPr>
            </w:pPr>
            <w:r>
              <w:rPr>
                <w:w w:val="99"/>
                <w:sz w:val="20"/>
                <w:u w:val="single"/>
              </w:rPr>
              <w:t> </w:t>
            </w:r>
            <w:r>
              <w:rPr>
                <w:sz w:val="20"/>
                <w:u w:val="single"/>
              </w:rPr>
              <w:tab/>
              <w:t>regularizados</w:t>
              <w:tab/>
            </w:r>
            <w:r>
              <w:rPr>
                <w:sz w:val="20"/>
              </w:rPr>
              <w:t> quantidade de obras e serviços fiscalizados pelo</w:t>
            </w:r>
            <w:r>
              <w:rPr>
                <w:spacing w:val="-2"/>
                <w:sz w:val="20"/>
              </w:rPr>
              <w:t> </w:t>
            </w:r>
            <w:r>
              <w:rPr>
                <w:sz w:val="20"/>
              </w:rPr>
              <w:t>CAU/UF</w:t>
            </w:r>
          </w:p>
        </w:tc>
        <w:tc>
          <w:tcPr>
            <w:tcW w:w="71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2"/>
              <w:rPr>
                <w:rFonts w:ascii="Calibri Light"/>
                <w:b w:val="0"/>
                <w:sz w:val="15"/>
              </w:rPr>
            </w:pPr>
          </w:p>
          <w:p>
            <w:pPr>
              <w:pStyle w:val="TableParagraph"/>
              <w:ind w:left="89"/>
              <w:rPr>
                <w:sz w:val="20"/>
              </w:rPr>
            </w:pPr>
            <w:r>
              <w:rPr>
                <w:sz w:val="20"/>
              </w:rPr>
              <w:t>x 100</w:t>
            </w:r>
          </w:p>
        </w:tc>
        <w:tc>
          <w:tcPr>
            <w:tcW w:w="113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77" w:type="dxa"/>
            <w:tcBorders>
              <w:top w:val="single" w:sz="4" w:space="0" w:color="000000"/>
              <w:left w:val="single" w:sz="4" w:space="0" w:color="000000"/>
              <w:bottom w:val="nil"/>
            </w:tcBorders>
          </w:tcPr>
          <w:p>
            <w:pPr>
              <w:pStyle w:val="TableParagraph"/>
              <w:rPr>
                <w:rFonts w:ascii="Times New Roman"/>
                <w:sz w:val="20"/>
              </w:rPr>
            </w:pPr>
          </w:p>
        </w:tc>
      </w:tr>
      <w:tr>
        <w:trPr>
          <w:trHeight w:val="240" w:hRule="atLeast"/>
        </w:trPr>
        <w:tc>
          <w:tcPr>
            <w:tcW w:w="1498" w:type="dxa"/>
            <w:tcBorders>
              <w:top w:val="nil"/>
              <w:bottom w:val="nil"/>
              <w:right w:val="single" w:sz="4" w:space="0" w:color="000000"/>
            </w:tcBorders>
          </w:tcPr>
          <w:p>
            <w:pPr>
              <w:pStyle w:val="TableParagraph"/>
              <w:spacing w:line="216" w:lineRule="exact"/>
              <w:ind w:left="94" w:right="85"/>
              <w:jc w:val="center"/>
              <w:rPr>
                <w:sz w:val="20"/>
              </w:rPr>
            </w:pPr>
            <w:r>
              <w:rPr>
                <w:sz w:val="20"/>
              </w:rPr>
              <w:t>Processos</w:t>
            </w:r>
          </w:p>
        </w:tc>
        <w:tc>
          <w:tcPr>
            <w:tcW w:w="1903" w:type="dxa"/>
            <w:vMerge w:val="restart"/>
            <w:tcBorders>
              <w:top w:val="nil"/>
              <w:left w:val="single" w:sz="4" w:space="0" w:color="000000"/>
              <w:bottom w:val="nil"/>
              <w:right w:val="single" w:sz="4" w:space="0" w:color="000000"/>
            </w:tcBorders>
          </w:tcPr>
          <w:p>
            <w:pPr>
              <w:pStyle w:val="TableParagraph"/>
              <w:spacing w:before="94"/>
              <w:ind w:left="115" w:right="93"/>
              <w:jc w:val="center"/>
              <w:rPr>
                <w:sz w:val="20"/>
              </w:rPr>
            </w:pPr>
            <w:r>
              <w:rPr>
                <w:sz w:val="20"/>
              </w:rPr>
              <w:t>Tornar a fiscalização um vetor de melhoria</w:t>
            </w:r>
          </w:p>
        </w:tc>
        <w:tc>
          <w:tcPr>
            <w:tcW w:w="2410" w:type="dxa"/>
            <w:vMerge w:val="restart"/>
            <w:tcBorders>
              <w:top w:val="nil"/>
              <w:left w:val="single" w:sz="4" w:space="0" w:color="000000"/>
              <w:bottom w:val="nil"/>
              <w:right w:val="single" w:sz="4" w:space="0" w:color="000000"/>
            </w:tcBorders>
          </w:tcPr>
          <w:p>
            <w:pPr>
              <w:pStyle w:val="TableParagraph"/>
              <w:spacing w:before="77"/>
              <w:ind w:left="58" w:right="35"/>
              <w:jc w:val="center"/>
              <w:rPr>
                <w:b/>
                <w:sz w:val="20"/>
              </w:rPr>
            </w:pPr>
            <w:r>
              <w:rPr>
                <w:sz w:val="20"/>
              </w:rPr>
              <w:t>Índice de regularização de obras e serviços (%) </w:t>
            </w:r>
            <w:r>
              <w:rPr>
                <w:b/>
                <w:sz w:val="20"/>
              </w:rPr>
              <w:t>(CAU/UF)</w:t>
            </w: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quociente do número de obras e serviços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479" w:hRule="atLeast"/>
        </w:trPr>
        <w:tc>
          <w:tcPr>
            <w:tcW w:w="1498" w:type="dxa"/>
            <w:tcBorders>
              <w:top w:val="nil"/>
              <w:bottom w:val="nil"/>
              <w:right w:val="single" w:sz="4" w:space="0" w:color="000000"/>
            </w:tcBorders>
          </w:tcPr>
          <w:p>
            <w:pPr>
              <w:pStyle w:val="TableParagraph"/>
              <w:spacing w:line="210" w:lineRule="exact"/>
              <w:ind w:left="95" w:right="84"/>
              <w:jc w:val="center"/>
              <w:rPr>
                <w:sz w:val="20"/>
              </w:rPr>
            </w:pPr>
            <w:r>
              <w:rPr>
                <w:sz w:val="20"/>
              </w:rPr>
              <w:t>Internos</w:t>
            </w:r>
          </w:p>
          <w:p>
            <w:pPr>
              <w:pStyle w:val="TableParagraph"/>
              <w:ind w:left="95" w:right="85"/>
              <w:jc w:val="center"/>
              <w:rPr>
                <w:sz w:val="20"/>
              </w:rPr>
            </w:pPr>
            <w:r>
              <w:rPr>
                <w:sz w:val="20"/>
              </w:rPr>
              <w:t>(Excelência</w:t>
            </w:r>
          </w:p>
        </w:tc>
        <w:tc>
          <w:tcPr>
            <w:tcW w:w="1903" w:type="dxa"/>
            <w:vMerge/>
            <w:tcBorders>
              <w:top w:val="nil"/>
              <w:left w:val="single" w:sz="4" w:space="0" w:color="000000"/>
              <w:bottom w:val="nil"/>
              <w:right w:val="single" w:sz="4" w:space="0" w:color="000000"/>
            </w:tcBorders>
          </w:tcPr>
          <w:p>
            <w:pPr>
              <w:rPr>
                <w:sz w:val="2"/>
                <w:szCs w:val="2"/>
              </w:rPr>
            </w:pPr>
          </w:p>
        </w:tc>
        <w:tc>
          <w:tcPr>
            <w:tcW w:w="2410" w:type="dxa"/>
            <w:vMerge/>
            <w:tcBorders>
              <w:top w:val="nil"/>
              <w:left w:val="single" w:sz="4" w:space="0" w:color="000000"/>
              <w:bottom w:val="nil"/>
              <w:right w:val="single" w:sz="4" w:space="0" w:color="000000"/>
            </w:tcBorders>
          </w:tcPr>
          <w:p>
            <w:pPr>
              <w:rPr>
                <w:sz w:val="2"/>
                <w:szCs w:val="2"/>
              </w:rPr>
            </w:pPr>
          </w:p>
        </w:tc>
        <w:tc>
          <w:tcPr>
            <w:tcW w:w="3970" w:type="dxa"/>
            <w:gridSpan w:val="2"/>
            <w:tcBorders>
              <w:top w:val="nil"/>
              <w:left w:val="single" w:sz="4" w:space="0" w:color="000000"/>
              <w:bottom w:val="nil"/>
              <w:right w:val="single" w:sz="4" w:space="0" w:color="000000"/>
            </w:tcBorders>
          </w:tcPr>
          <w:p>
            <w:pPr>
              <w:pStyle w:val="TableParagraph"/>
              <w:spacing w:line="193" w:lineRule="exact"/>
              <w:ind w:left="77"/>
              <w:rPr>
                <w:sz w:val="20"/>
              </w:rPr>
            </w:pPr>
            <w:r>
              <w:rPr>
                <w:sz w:val="20"/>
              </w:rPr>
              <w:t>regularizados   segundo   a   legislação</w:t>
            </w:r>
            <w:r>
              <w:rPr>
                <w:spacing w:val="40"/>
                <w:sz w:val="20"/>
              </w:rPr>
              <w:t> </w:t>
            </w:r>
            <w:r>
              <w:rPr>
                <w:sz w:val="20"/>
              </w:rPr>
              <w:t>vigente.</w:t>
            </w:r>
          </w:p>
          <w:p>
            <w:pPr>
              <w:pStyle w:val="TableParagraph"/>
              <w:tabs>
                <w:tab w:pos="681" w:val="left" w:leader="none"/>
                <w:tab w:pos="1264" w:val="left" w:leader="none"/>
                <w:tab w:pos="2316" w:val="left" w:leader="none"/>
                <w:tab w:pos="2834" w:val="left" w:leader="none"/>
              </w:tabs>
              <w:ind w:left="77"/>
              <w:rPr>
                <w:sz w:val="20"/>
              </w:rPr>
            </w:pPr>
            <w:r>
              <w:rPr>
                <w:sz w:val="20"/>
              </w:rPr>
              <w:t>Para</w:t>
              <w:tab/>
              <w:t>este</w:t>
              <w:tab/>
              <w:t>indicador,</w:t>
              <w:tab/>
              <w:t>são</w:t>
              <w:tab/>
              <w:t>consideradas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spacing w:before="71"/>
              <w:ind w:left="255" w:right="231"/>
              <w:jc w:val="center"/>
              <w:rPr>
                <w:sz w:val="20"/>
              </w:rPr>
            </w:pPr>
            <w:r>
              <w:rPr>
                <w:sz w:val="20"/>
              </w:rPr>
              <w:t>Mensal</w:t>
            </w:r>
          </w:p>
        </w:tc>
        <w:tc>
          <w:tcPr>
            <w:tcW w:w="1277" w:type="dxa"/>
            <w:tcBorders>
              <w:top w:val="nil"/>
              <w:left w:val="single" w:sz="4" w:space="0" w:color="000000"/>
              <w:bottom w:val="nil"/>
            </w:tcBorders>
          </w:tcPr>
          <w:p>
            <w:pPr>
              <w:pStyle w:val="TableParagraph"/>
              <w:spacing w:before="71"/>
              <w:ind w:left="132" w:right="110"/>
              <w:jc w:val="center"/>
              <w:rPr>
                <w:sz w:val="20"/>
              </w:rPr>
            </w:pPr>
            <w:r>
              <w:rPr>
                <w:sz w:val="20"/>
              </w:rPr>
              <w:t>SICCAU</w:t>
            </w:r>
          </w:p>
        </w:tc>
      </w:tr>
      <w:tr>
        <w:trPr>
          <w:trHeight w:val="232" w:hRule="atLeast"/>
        </w:trPr>
        <w:tc>
          <w:tcPr>
            <w:tcW w:w="1498" w:type="dxa"/>
            <w:tcBorders>
              <w:top w:val="nil"/>
              <w:bottom w:val="nil"/>
              <w:right w:val="single" w:sz="4" w:space="0" w:color="000000"/>
            </w:tcBorders>
          </w:tcPr>
          <w:p>
            <w:pPr>
              <w:pStyle w:val="TableParagraph"/>
              <w:spacing w:line="208" w:lineRule="exact"/>
              <w:ind w:left="95" w:right="85"/>
              <w:jc w:val="center"/>
              <w:rPr>
                <w:sz w:val="20"/>
              </w:rPr>
            </w:pPr>
            <w:r>
              <w:rPr>
                <w:sz w:val="20"/>
              </w:rPr>
              <w:t>Organizacional)</w:t>
            </w:r>
          </w:p>
        </w:tc>
        <w:tc>
          <w:tcPr>
            <w:tcW w:w="1903" w:type="dxa"/>
            <w:vMerge/>
            <w:tcBorders>
              <w:top w:val="nil"/>
              <w:left w:val="single" w:sz="4" w:space="0" w:color="000000"/>
              <w:bottom w:val="nil"/>
              <w:right w:val="single" w:sz="4" w:space="0" w:color="000000"/>
            </w:tcBorders>
          </w:tcPr>
          <w:p>
            <w:pPr>
              <w:rPr>
                <w:sz w:val="2"/>
                <w:szCs w:val="2"/>
              </w:rPr>
            </w:pPr>
          </w:p>
        </w:tc>
        <w:tc>
          <w:tcPr>
            <w:tcW w:w="2410" w:type="dxa"/>
            <w:vMerge/>
            <w:tcBorders>
              <w:top w:val="nil"/>
              <w:left w:val="single" w:sz="4" w:space="0" w:color="000000"/>
              <w:bottom w:val="nil"/>
              <w:right w:val="single" w:sz="4" w:space="0" w:color="000000"/>
            </w:tcBorders>
          </w:tcPr>
          <w:p>
            <w:pPr>
              <w:rPr>
                <w:sz w:val="2"/>
                <w:szCs w:val="2"/>
              </w:rPr>
            </w:pPr>
          </w:p>
        </w:tc>
        <w:tc>
          <w:tcPr>
            <w:tcW w:w="3970" w:type="dxa"/>
            <w:gridSpan w:val="2"/>
            <w:tcBorders>
              <w:top w:val="nil"/>
              <w:left w:val="single" w:sz="4" w:space="0" w:color="000000"/>
              <w:bottom w:val="nil"/>
              <w:right w:val="single" w:sz="4" w:space="0" w:color="000000"/>
            </w:tcBorders>
          </w:tcPr>
          <w:p>
            <w:pPr>
              <w:pStyle w:val="TableParagraph"/>
              <w:spacing w:line="193" w:lineRule="exact"/>
              <w:ind w:left="77"/>
              <w:rPr>
                <w:sz w:val="20"/>
              </w:rPr>
            </w:pPr>
            <w:r>
              <w:rPr>
                <w:sz w:val="20"/>
              </w:rPr>
              <w:t>regularizadas</w:t>
            </w:r>
            <w:r>
              <w:rPr>
                <w:spacing w:val="-10"/>
                <w:sz w:val="20"/>
              </w:rPr>
              <w:t> </w:t>
            </w:r>
            <w:r>
              <w:rPr>
                <w:sz w:val="20"/>
              </w:rPr>
              <w:t>aquelas</w:t>
            </w:r>
            <w:r>
              <w:rPr>
                <w:spacing w:val="-12"/>
                <w:sz w:val="20"/>
              </w:rPr>
              <w:t> </w:t>
            </w:r>
            <w:r>
              <w:rPr>
                <w:sz w:val="20"/>
              </w:rPr>
              <w:t>obras</w:t>
            </w:r>
            <w:r>
              <w:rPr>
                <w:spacing w:val="-13"/>
                <w:sz w:val="20"/>
              </w:rPr>
              <w:t> </w:t>
            </w:r>
            <w:r>
              <w:rPr>
                <w:sz w:val="20"/>
              </w:rPr>
              <w:t>que,</w:t>
            </w:r>
            <w:r>
              <w:rPr>
                <w:spacing w:val="-11"/>
                <w:sz w:val="20"/>
              </w:rPr>
              <w:t> </w:t>
            </w:r>
            <w:r>
              <w:rPr>
                <w:sz w:val="20"/>
              </w:rPr>
              <w:t>após</w:t>
            </w:r>
            <w:r>
              <w:rPr>
                <w:spacing w:val="-13"/>
                <w:sz w:val="20"/>
              </w:rPr>
              <w:t> </w:t>
            </w:r>
            <w:r>
              <w:rPr>
                <w:sz w:val="20"/>
              </w:rPr>
              <w:t>a</w:t>
            </w:r>
            <w:r>
              <w:rPr>
                <w:spacing w:val="-11"/>
                <w:sz w:val="20"/>
              </w:rPr>
              <w:t> </w:t>
            </w:r>
            <w:r>
              <w:rPr>
                <w:sz w:val="20"/>
              </w:rPr>
              <w:t>ação</w:t>
            </w:r>
            <w:r>
              <w:rPr>
                <w:spacing w:val="-13"/>
                <w:sz w:val="20"/>
              </w:rPr>
              <w:t> </w:t>
            </w:r>
            <w:r>
              <w:rPr>
                <w:sz w:val="20"/>
              </w:rPr>
              <w:t>de</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547" w:hRule="atLeast"/>
        </w:trPr>
        <w:tc>
          <w:tcPr>
            <w:tcW w:w="1498" w:type="dxa"/>
            <w:tcBorders>
              <w:top w:val="nil"/>
              <w:bottom w:val="nil"/>
              <w:right w:val="single" w:sz="4" w:space="0" w:color="000000"/>
            </w:tcBorders>
          </w:tcPr>
          <w:p>
            <w:pPr>
              <w:pStyle w:val="TableParagraph"/>
              <w:rPr>
                <w:rFonts w:ascii="Times New Roman"/>
                <w:sz w:val="20"/>
              </w:rPr>
            </w:pPr>
          </w:p>
        </w:tc>
        <w:tc>
          <w:tcPr>
            <w:tcW w:w="1903" w:type="dxa"/>
            <w:tcBorders>
              <w:top w:val="nil"/>
              <w:left w:val="single" w:sz="4" w:space="0" w:color="000000"/>
              <w:bottom w:val="nil"/>
              <w:right w:val="single" w:sz="4" w:space="0" w:color="000000"/>
            </w:tcBorders>
          </w:tcPr>
          <w:p>
            <w:pPr>
              <w:pStyle w:val="TableParagraph"/>
              <w:rPr>
                <w:rFonts w:ascii="Times New Roman"/>
                <w:sz w:val="20"/>
              </w:rPr>
            </w:pPr>
          </w:p>
        </w:tc>
        <w:tc>
          <w:tcPr>
            <w:tcW w:w="241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70" w:type="dxa"/>
            <w:gridSpan w:val="2"/>
            <w:tcBorders>
              <w:top w:val="nil"/>
              <w:left w:val="single" w:sz="4" w:space="0" w:color="000000"/>
              <w:bottom w:val="single" w:sz="4" w:space="0" w:color="000000"/>
              <w:right w:val="single" w:sz="4" w:space="0" w:color="000000"/>
            </w:tcBorders>
          </w:tcPr>
          <w:p>
            <w:pPr>
              <w:pStyle w:val="TableParagraph"/>
              <w:spacing w:line="193" w:lineRule="exact"/>
              <w:ind w:left="77"/>
              <w:rPr>
                <w:b/>
                <w:sz w:val="20"/>
              </w:rPr>
            </w:pPr>
            <w:r>
              <w:rPr>
                <w:sz w:val="20"/>
              </w:rPr>
              <w:t>fiscalização, apresentam </w:t>
            </w:r>
            <w:r>
              <w:rPr>
                <w:b/>
                <w:sz w:val="20"/>
                <w:u w:val="single"/>
              </w:rPr>
              <w:t>ART ou RRT.</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nil"/>
              <w:left w:val="single" w:sz="4" w:space="0" w:color="000000"/>
              <w:bottom w:val="single" w:sz="4" w:space="0" w:color="000000"/>
            </w:tcBorders>
          </w:tcPr>
          <w:p>
            <w:pPr>
              <w:pStyle w:val="TableParagraph"/>
              <w:rPr>
                <w:rFonts w:ascii="Times New Roman"/>
                <w:sz w:val="20"/>
              </w:rPr>
            </w:pPr>
          </w:p>
        </w:tc>
      </w:tr>
      <w:tr>
        <w:trPr>
          <w:trHeight w:val="592" w:hRule="atLeast"/>
        </w:trPr>
        <w:tc>
          <w:tcPr>
            <w:tcW w:w="1498" w:type="dxa"/>
            <w:tcBorders>
              <w:top w:val="nil"/>
              <w:bottom w:val="nil"/>
              <w:right w:val="single" w:sz="4" w:space="0" w:color="000000"/>
            </w:tcBorders>
          </w:tcPr>
          <w:p>
            <w:pPr>
              <w:pStyle w:val="TableParagraph"/>
              <w:rPr>
                <w:rFonts w:ascii="Times New Roman"/>
                <w:sz w:val="20"/>
              </w:rPr>
            </w:pPr>
          </w:p>
        </w:tc>
        <w:tc>
          <w:tcPr>
            <w:tcW w:w="1903" w:type="dxa"/>
            <w:tcBorders>
              <w:top w:val="nil"/>
              <w:left w:val="single" w:sz="4" w:space="0" w:color="000000"/>
              <w:bottom w:val="nil"/>
              <w:right w:val="single" w:sz="4" w:space="0" w:color="000000"/>
            </w:tcBorders>
          </w:tcPr>
          <w:p>
            <w:pPr>
              <w:pStyle w:val="TableParagraph"/>
              <w:rPr>
                <w:rFonts w:ascii="Times New Roman"/>
                <w:sz w:val="20"/>
              </w:rPr>
            </w:pPr>
          </w:p>
        </w:tc>
        <w:tc>
          <w:tcPr>
            <w:tcW w:w="2410"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412" w:type="dxa"/>
            <w:tcBorders>
              <w:top w:val="single" w:sz="4" w:space="0" w:color="000000"/>
              <w:left w:val="single" w:sz="4" w:space="0" w:color="000000"/>
              <w:bottom w:val="nil"/>
              <w:right w:val="nil"/>
            </w:tcBorders>
          </w:tcPr>
          <w:p>
            <w:pPr>
              <w:pStyle w:val="TableParagraph"/>
              <w:spacing w:before="10"/>
              <w:rPr>
                <w:rFonts w:ascii="Calibri Light"/>
                <w:b w:val="0"/>
                <w:sz w:val="25"/>
              </w:rPr>
            </w:pPr>
          </w:p>
          <w:p>
            <w:pPr>
              <w:pStyle w:val="TableParagraph"/>
              <w:tabs>
                <w:tab w:pos="451" w:val="left" w:leader="none"/>
                <w:tab w:pos="1182" w:val="left" w:leader="none"/>
              </w:tabs>
              <w:ind w:left="77"/>
              <w:rPr>
                <w:sz w:val="20"/>
              </w:rPr>
            </w:pPr>
            <w:r>
              <w:rPr>
                <w:sz w:val="20"/>
              </w:rPr>
              <w:t>O</w:t>
              <w:tab/>
              <w:t>Índice</w:t>
              <w:tab/>
              <w:t>de</w:t>
            </w:r>
          </w:p>
        </w:tc>
        <w:tc>
          <w:tcPr>
            <w:tcW w:w="2558" w:type="dxa"/>
            <w:tcBorders>
              <w:top w:val="single" w:sz="4" w:space="0" w:color="000000"/>
              <w:left w:val="nil"/>
              <w:bottom w:val="nil"/>
              <w:right w:val="single" w:sz="4" w:space="0" w:color="000000"/>
            </w:tcBorders>
          </w:tcPr>
          <w:p>
            <w:pPr>
              <w:pStyle w:val="TableParagraph"/>
              <w:spacing w:before="10"/>
              <w:rPr>
                <w:rFonts w:ascii="Calibri Light"/>
                <w:b w:val="0"/>
                <w:sz w:val="25"/>
              </w:rPr>
            </w:pPr>
          </w:p>
          <w:p>
            <w:pPr>
              <w:pStyle w:val="TableParagraph"/>
              <w:tabs>
                <w:tab w:pos="1369" w:val="left" w:leader="none"/>
                <w:tab w:pos="1960" w:val="left" w:leader="none"/>
              </w:tabs>
              <w:ind w:right="53"/>
              <w:jc w:val="right"/>
              <w:rPr>
                <w:sz w:val="20"/>
              </w:rPr>
            </w:pPr>
            <w:r>
              <w:rPr>
                <w:sz w:val="20"/>
              </w:rPr>
              <w:t>Regularização</w:t>
              <w:tab/>
              <w:t>com</w:t>
              <w:tab/>
            </w:r>
            <w:r>
              <w:rPr>
                <w:w w:val="95"/>
                <w:sz w:val="20"/>
              </w:rPr>
              <w:t>RRT</w:t>
            </w:r>
          </w:p>
        </w:tc>
        <w:tc>
          <w:tcPr>
            <w:tcW w:w="2686"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1"/>
              </w:rPr>
            </w:pPr>
          </w:p>
          <w:p>
            <w:pPr>
              <w:pStyle w:val="TableParagraph"/>
              <w:ind w:left="69" w:right="49"/>
              <w:jc w:val="center"/>
              <w:rPr>
                <w:sz w:val="20"/>
              </w:rPr>
            </w:pPr>
            <w:r>
              <w:rPr>
                <w:sz w:val="20"/>
              </w:rPr>
              <w:t>quantidade de obras e serviços</w:t>
            </w:r>
          </w:p>
          <w:p>
            <w:pPr>
              <w:pStyle w:val="TableParagraph"/>
              <w:tabs>
                <w:tab w:pos="432" w:val="left" w:leader="none"/>
                <w:tab w:pos="2698" w:val="left" w:leader="none"/>
              </w:tabs>
              <w:spacing w:line="244" w:lineRule="auto" w:before="1"/>
              <w:ind w:left="9" w:right="-29"/>
              <w:jc w:val="center"/>
              <w:rPr>
                <w:sz w:val="20"/>
              </w:rPr>
            </w:pPr>
            <w:r>
              <w:rPr>
                <w:w w:val="99"/>
                <w:sz w:val="20"/>
                <w:u w:val="single"/>
              </w:rPr>
              <w:t> </w:t>
            </w:r>
            <w:r>
              <w:rPr>
                <w:sz w:val="20"/>
                <w:u w:val="single"/>
              </w:rPr>
              <w:tab/>
              <w:t>regularizados</w:t>
            </w:r>
            <w:r>
              <w:rPr>
                <w:spacing w:val="-4"/>
                <w:sz w:val="20"/>
                <w:u w:val="single"/>
              </w:rPr>
              <w:t> </w:t>
            </w:r>
            <w:r>
              <w:rPr>
                <w:sz w:val="20"/>
                <w:u w:val="single"/>
              </w:rPr>
              <w:t>com</w:t>
            </w:r>
            <w:r>
              <w:rPr>
                <w:spacing w:val="-5"/>
                <w:sz w:val="20"/>
                <w:u w:val="single"/>
              </w:rPr>
              <w:t> </w:t>
            </w:r>
            <w:r>
              <w:rPr>
                <w:sz w:val="20"/>
                <w:u w:val="single"/>
              </w:rPr>
              <w:t>RRT</w:t>
              <w:tab/>
            </w:r>
            <w:r>
              <w:rPr>
                <w:sz w:val="20"/>
              </w:rPr>
              <w:t> quantidade obras e serviços regularizados</w:t>
            </w:r>
          </w:p>
        </w:tc>
        <w:tc>
          <w:tcPr>
            <w:tcW w:w="71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0"/>
              <w:rPr>
                <w:rFonts w:ascii="Calibri Light"/>
                <w:b w:val="0"/>
                <w:sz w:val="25"/>
              </w:rPr>
            </w:pPr>
          </w:p>
          <w:p>
            <w:pPr>
              <w:pStyle w:val="TableParagraph"/>
              <w:ind w:left="89"/>
              <w:rPr>
                <w:sz w:val="20"/>
              </w:rPr>
            </w:pPr>
            <w:r>
              <w:rPr>
                <w:sz w:val="20"/>
              </w:rPr>
              <w:t>x 100</w:t>
            </w:r>
          </w:p>
        </w:tc>
        <w:tc>
          <w:tcPr>
            <w:tcW w:w="113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77" w:type="dxa"/>
            <w:tcBorders>
              <w:top w:val="single" w:sz="4" w:space="0" w:color="000000"/>
              <w:left w:val="single" w:sz="4" w:space="0" w:color="000000"/>
              <w:bottom w:val="nil"/>
            </w:tcBorders>
          </w:tcPr>
          <w:p>
            <w:pPr>
              <w:pStyle w:val="TableParagraph"/>
              <w:rPr>
                <w:rFonts w:ascii="Times New Roman"/>
                <w:sz w:val="20"/>
              </w:rPr>
            </w:pPr>
          </w:p>
        </w:tc>
      </w:tr>
      <w:tr>
        <w:trPr>
          <w:trHeight w:val="234"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rPr>
                <w:rFonts w:ascii="Times New Roman"/>
                <w:sz w:val="16"/>
              </w:rPr>
            </w:pP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corresponde ao quociente do número de obras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2" w:lineRule="exact"/>
              <w:ind w:left="58" w:right="35"/>
              <w:jc w:val="center"/>
              <w:rPr>
                <w:sz w:val="20"/>
              </w:rPr>
            </w:pPr>
            <w:r>
              <w:rPr>
                <w:sz w:val="20"/>
              </w:rPr>
              <w:t>Índice de regularização com</w:t>
            </w: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e serviços regularizados segundo a legislação</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0" w:lineRule="exact"/>
              <w:ind w:left="58" w:right="35"/>
              <w:jc w:val="center"/>
              <w:rPr>
                <w:sz w:val="20"/>
              </w:rPr>
            </w:pPr>
            <w:r>
              <w:rPr>
                <w:sz w:val="20"/>
              </w:rPr>
              <w:t>RRT (%)</w:t>
            </w:r>
          </w:p>
        </w:tc>
        <w:tc>
          <w:tcPr>
            <w:tcW w:w="3970" w:type="dxa"/>
            <w:gridSpan w:val="2"/>
            <w:tcBorders>
              <w:top w:val="nil"/>
              <w:left w:val="single" w:sz="4" w:space="0" w:color="000000"/>
              <w:bottom w:val="nil"/>
              <w:right w:val="single" w:sz="4" w:space="0" w:color="000000"/>
            </w:tcBorders>
          </w:tcPr>
          <w:p>
            <w:pPr>
              <w:pStyle w:val="TableParagraph"/>
              <w:spacing w:line="200" w:lineRule="exact"/>
              <w:ind w:left="77"/>
              <w:rPr>
                <w:sz w:val="20"/>
              </w:rPr>
            </w:pPr>
            <w:r>
              <w:rPr>
                <w:sz w:val="20"/>
              </w:rPr>
              <w:t>do CAU ((Lei 12.378/2010). Para este indicador,</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spacing w:line="200" w:lineRule="exact"/>
              <w:ind w:left="255" w:right="231"/>
              <w:jc w:val="center"/>
              <w:rPr>
                <w:sz w:val="20"/>
              </w:rPr>
            </w:pPr>
            <w:r>
              <w:rPr>
                <w:sz w:val="20"/>
              </w:rPr>
              <w:t>Mensal</w:t>
            </w:r>
          </w:p>
        </w:tc>
        <w:tc>
          <w:tcPr>
            <w:tcW w:w="1277" w:type="dxa"/>
            <w:tcBorders>
              <w:top w:val="nil"/>
              <w:left w:val="single" w:sz="4" w:space="0" w:color="000000"/>
              <w:bottom w:val="nil"/>
            </w:tcBorders>
          </w:tcPr>
          <w:p>
            <w:pPr>
              <w:pStyle w:val="TableParagraph"/>
              <w:spacing w:line="200" w:lineRule="exact"/>
              <w:ind w:left="133" w:right="110"/>
              <w:jc w:val="center"/>
              <w:rPr>
                <w:sz w:val="20"/>
              </w:rPr>
            </w:pPr>
            <w:r>
              <w:rPr>
                <w:sz w:val="20"/>
              </w:rPr>
              <w:t>SICCAU</w:t>
            </w:r>
          </w:p>
        </w:tc>
      </w:tr>
      <w:tr>
        <w:trPr>
          <w:trHeight w:val="235"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spacing w:line="202" w:lineRule="exact"/>
              <w:ind w:left="55" w:right="35"/>
              <w:jc w:val="center"/>
              <w:rPr>
                <w:b/>
                <w:sz w:val="20"/>
              </w:rPr>
            </w:pPr>
            <w:r>
              <w:rPr>
                <w:b/>
                <w:sz w:val="20"/>
              </w:rPr>
              <w:t>(CAU/UF)</w:t>
            </w: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são consideradas regularizadas aquelas obras</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233" w:hRule="atLeast"/>
        </w:trPr>
        <w:tc>
          <w:tcPr>
            <w:tcW w:w="1498" w:type="dxa"/>
            <w:tcBorders>
              <w:top w:val="nil"/>
              <w:bottom w:val="nil"/>
              <w:right w:val="single" w:sz="4" w:space="0" w:color="000000"/>
            </w:tcBorders>
          </w:tcPr>
          <w:p>
            <w:pPr>
              <w:pStyle w:val="TableParagraph"/>
              <w:rPr>
                <w:rFonts w:ascii="Times New Roman"/>
                <w:sz w:val="16"/>
              </w:rPr>
            </w:pPr>
          </w:p>
        </w:tc>
        <w:tc>
          <w:tcPr>
            <w:tcW w:w="1903" w:type="dxa"/>
            <w:tcBorders>
              <w:top w:val="nil"/>
              <w:left w:val="single" w:sz="4" w:space="0" w:color="000000"/>
              <w:bottom w:val="nil"/>
              <w:right w:val="single" w:sz="4" w:space="0" w:color="000000"/>
            </w:tcBorders>
          </w:tcPr>
          <w:p>
            <w:pPr>
              <w:pStyle w:val="TableParagraph"/>
              <w:rPr>
                <w:rFonts w:ascii="Times New Roman"/>
                <w:sz w:val="16"/>
              </w:rPr>
            </w:pPr>
          </w:p>
        </w:tc>
        <w:tc>
          <w:tcPr>
            <w:tcW w:w="2410" w:type="dxa"/>
            <w:tcBorders>
              <w:top w:val="nil"/>
              <w:left w:val="single" w:sz="4" w:space="0" w:color="000000"/>
              <w:bottom w:val="nil"/>
              <w:right w:val="single" w:sz="4" w:space="0" w:color="000000"/>
            </w:tcBorders>
          </w:tcPr>
          <w:p>
            <w:pPr>
              <w:pStyle w:val="TableParagraph"/>
              <w:rPr>
                <w:rFonts w:ascii="Times New Roman"/>
                <w:sz w:val="16"/>
              </w:rPr>
            </w:pPr>
          </w:p>
        </w:tc>
        <w:tc>
          <w:tcPr>
            <w:tcW w:w="3970" w:type="dxa"/>
            <w:gridSpan w:val="2"/>
            <w:tcBorders>
              <w:top w:val="nil"/>
              <w:left w:val="single" w:sz="4" w:space="0" w:color="000000"/>
              <w:bottom w:val="nil"/>
              <w:right w:val="single" w:sz="4" w:space="0" w:color="000000"/>
            </w:tcBorders>
          </w:tcPr>
          <w:p>
            <w:pPr>
              <w:pStyle w:val="TableParagraph"/>
              <w:spacing w:line="202" w:lineRule="exact"/>
              <w:ind w:left="77"/>
              <w:rPr>
                <w:sz w:val="20"/>
              </w:rPr>
            </w:pPr>
            <w:r>
              <w:rPr>
                <w:sz w:val="20"/>
              </w:rPr>
              <w:t>que, após a ação de fiscalização, apresentam o</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277" w:type="dxa"/>
            <w:tcBorders>
              <w:top w:val="nil"/>
              <w:left w:val="single" w:sz="4" w:space="0" w:color="000000"/>
              <w:bottom w:val="nil"/>
            </w:tcBorders>
          </w:tcPr>
          <w:p>
            <w:pPr>
              <w:pStyle w:val="TableParagraph"/>
              <w:rPr>
                <w:rFonts w:ascii="Times New Roman"/>
                <w:sz w:val="16"/>
              </w:rPr>
            </w:pPr>
          </w:p>
        </w:tc>
      </w:tr>
      <w:tr>
        <w:trPr>
          <w:trHeight w:val="554" w:hRule="atLeast"/>
        </w:trPr>
        <w:tc>
          <w:tcPr>
            <w:tcW w:w="1498" w:type="dxa"/>
            <w:tcBorders>
              <w:top w:val="nil"/>
              <w:bottom w:val="single" w:sz="4" w:space="0" w:color="000000"/>
              <w:right w:val="single" w:sz="4" w:space="0" w:color="000000"/>
            </w:tcBorders>
          </w:tcPr>
          <w:p>
            <w:pPr>
              <w:pStyle w:val="TableParagraph"/>
              <w:rPr>
                <w:rFonts w:ascii="Times New Roman"/>
                <w:sz w:val="20"/>
              </w:rPr>
            </w:pPr>
          </w:p>
        </w:tc>
        <w:tc>
          <w:tcPr>
            <w:tcW w:w="190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41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970" w:type="dxa"/>
            <w:gridSpan w:val="2"/>
            <w:tcBorders>
              <w:top w:val="nil"/>
              <w:left w:val="single" w:sz="4" w:space="0" w:color="000000"/>
              <w:bottom w:val="single" w:sz="4" w:space="0" w:color="000000"/>
              <w:right w:val="single" w:sz="4" w:space="0" w:color="000000"/>
            </w:tcBorders>
          </w:tcPr>
          <w:p>
            <w:pPr>
              <w:pStyle w:val="TableParagraph"/>
              <w:spacing w:line="200" w:lineRule="exact"/>
              <w:ind w:left="77"/>
              <w:rPr>
                <w:b/>
                <w:sz w:val="20"/>
              </w:rPr>
            </w:pPr>
            <w:r>
              <w:rPr>
                <w:b/>
                <w:sz w:val="20"/>
                <w:u w:val="single"/>
              </w:rPr>
              <w:t>RRT.</w:t>
            </w:r>
          </w:p>
        </w:tc>
        <w:tc>
          <w:tcPr>
            <w:tcW w:w="2686" w:type="dxa"/>
            <w:vMerge/>
            <w:tcBorders>
              <w:top w:val="nil"/>
              <w:left w:val="single" w:sz="4" w:space="0" w:color="000000"/>
              <w:bottom w:val="single" w:sz="4" w:space="0" w:color="000000"/>
              <w:right w:val="nil"/>
            </w:tcBorders>
          </w:tcPr>
          <w:p>
            <w:pPr>
              <w:rPr>
                <w:sz w:val="2"/>
                <w:szCs w:val="2"/>
              </w:rPr>
            </w:pPr>
          </w:p>
        </w:tc>
        <w:tc>
          <w:tcPr>
            <w:tcW w:w="718"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headerReference w:type="default" r:id="rId27"/>
          <w:footerReference w:type="default" r:id="rId28"/>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9"/>
        <w:gridCol w:w="1699"/>
        <w:gridCol w:w="1702"/>
        <w:gridCol w:w="5672"/>
        <w:gridCol w:w="2837"/>
        <w:gridCol w:w="1135"/>
        <w:gridCol w:w="1274"/>
      </w:tblGrid>
      <w:tr>
        <w:trPr>
          <w:trHeight w:val="1574" w:hRule="atLeast"/>
        </w:trPr>
        <w:tc>
          <w:tcPr>
            <w:tcW w:w="1419"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225"/>
              <w:rPr>
                <w:b/>
                <w:sz w:val="20"/>
              </w:rPr>
            </w:pPr>
            <w:r>
              <w:rPr>
                <w:b/>
                <w:color w:val="FFFFFF"/>
                <w:sz w:val="20"/>
              </w:rPr>
              <w:t>Perspectiva</w:t>
            </w:r>
          </w:p>
        </w:tc>
        <w:tc>
          <w:tcPr>
            <w:tcW w:w="169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93" w:firstLine="103"/>
              <w:rPr>
                <w:b/>
                <w:sz w:val="20"/>
              </w:rPr>
            </w:pPr>
            <w:r>
              <w:rPr>
                <w:b/>
                <w:color w:val="FFFFFF"/>
                <w:sz w:val="20"/>
              </w:rPr>
              <w:t>Objetivo </w:t>
            </w:r>
            <w:r>
              <w:rPr>
                <w:b/>
                <w:color w:val="FFFFFF"/>
                <w:w w:val="95"/>
                <w:sz w:val="20"/>
              </w:rPr>
              <w:t>Estratégico</w:t>
            </w:r>
          </w:p>
        </w:tc>
        <w:tc>
          <w:tcPr>
            <w:tcW w:w="170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62"/>
              <w:rPr>
                <w:b/>
                <w:sz w:val="20"/>
              </w:rPr>
            </w:pPr>
            <w:r>
              <w:rPr>
                <w:b/>
                <w:color w:val="FFFFFF"/>
                <w:sz w:val="20"/>
              </w:rPr>
              <w:t>Indicador</w:t>
            </w:r>
          </w:p>
        </w:tc>
        <w:tc>
          <w:tcPr>
            <w:tcW w:w="567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2419" w:right="2401"/>
              <w:jc w:val="center"/>
              <w:rPr>
                <w:b/>
                <w:sz w:val="20"/>
              </w:rPr>
            </w:pPr>
            <w:r>
              <w:rPr>
                <w:b/>
                <w:color w:val="FFFFFF"/>
                <w:sz w:val="20"/>
              </w:rPr>
              <w:t>Descrição</w:t>
            </w:r>
          </w:p>
        </w:tc>
        <w:tc>
          <w:tcPr>
            <w:tcW w:w="283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628"/>
              <w:rPr>
                <w:b/>
                <w:sz w:val="20"/>
              </w:rPr>
            </w:pPr>
            <w:r>
              <w:rPr>
                <w:b/>
                <w:color w:val="FFFFFF"/>
                <w:sz w:val="20"/>
              </w:rPr>
              <w:t>Fórmula de Cálculo</w:t>
            </w:r>
          </w:p>
        </w:tc>
        <w:tc>
          <w:tcPr>
            <w:tcW w:w="1135"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86" w:right="43" w:firstLine="28"/>
              <w:rPr>
                <w:b/>
                <w:sz w:val="20"/>
              </w:rPr>
            </w:pPr>
            <w:r>
              <w:rPr>
                <w:b/>
                <w:color w:val="FFFFFF"/>
                <w:sz w:val="20"/>
              </w:rPr>
              <w:t>Frequência de Medição</w:t>
            </w:r>
          </w:p>
        </w:tc>
        <w:tc>
          <w:tcPr>
            <w:tcW w:w="1274"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50" w:right="203" w:firstLine="21"/>
              <w:rPr>
                <w:b/>
                <w:sz w:val="20"/>
              </w:rPr>
            </w:pPr>
            <w:r>
              <w:rPr>
                <w:b/>
                <w:color w:val="FFFFFF"/>
                <w:sz w:val="20"/>
              </w:rPr>
              <w:t>Fonte do Indicador</w:t>
            </w:r>
          </w:p>
        </w:tc>
      </w:tr>
      <w:tr>
        <w:trPr>
          <w:trHeight w:val="2930" w:hRule="atLeast"/>
        </w:trPr>
        <w:tc>
          <w:tcPr>
            <w:tcW w:w="1419"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27"/>
              </w:rPr>
            </w:pPr>
          </w:p>
          <w:p>
            <w:pPr>
              <w:pStyle w:val="TableParagraph"/>
              <w:spacing w:before="1"/>
              <w:ind w:left="76" w:right="61" w:hanging="2"/>
              <w:jc w:val="center"/>
              <w:rPr>
                <w:sz w:val="20"/>
              </w:rPr>
            </w:pPr>
            <w:r>
              <w:rPr>
                <w:sz w:val="20"/>
              </w:rPr>
              <w:t>Processos Internos (Excelência </w:t>
            </w:r>
            <w:r>
              <w:rPr>
                <w:w w:val="95"/>
                <w:sz w:val="20"/>
              </w:rPr>
              <w:t>Organizacional)</w:t>
            </w:r>
          </w:p>
        </w:tc>
        <w:tc>
          <w:tcPr>
            <w:tcW w:w="1699"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7"/>
              </w:rPr>
            </w:pPr>
          </w:p>
          <w:p>
            <w:pPr>
              <w:pStyle w:val="TableParagraph"/>
              <w:spacing w:before="1"/>
              <w:ind w:left="121" w:right="102" w:hanging="2"/>
              <w:jc w:val="center"/>
              <w:rPr>
                <w:sz w:val="20"/>
              </w:rPr>
            </w:pPr>
            <w:r>
              <w:rPr>
                <w:sz w:val="20"/>
              </w:rPr>
              <w:t>Assegurar a eficácia no atendimento e no relacionamento com os arquitetos e urbanistas e a sociedade</w:t>
            </w:r>
          </w:p>
        </w:tc>
        <w:tc>
          <w:tcPr>
            <w:tcW w:w="1702" w:type="dxa"/>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28"/>
              </w:rPr>
            </w:pPr>
          </w:p>
          <w:p>
            <w:pPr>
              <w:pStyle w:val="TableParagraph"/>
              <w:spacing w:before="1"/>
              <w:ind w:left="172" w:right="155" w:firstLine="6"/>
              <w:jc w:val="center"/>
              <w:rPr>
                <w:b/>
                <w:sz w:val="20"/>
              </w:rPr>
            </w:pPr>
            <w:r>
              <w:rPr>
                <w:sz w:val="20"/>
              </w:rPr>
              <w:t>Índice de atendimento (%) </w:t>
            </w:r>
            <w:r>
              <w:rPr>
                <w:b/>
                <w:sz w:val="20"/>
              </w:rPr>
              <w:t>(CAU/UF)</w:t>
            </w:r>
          </w:p>
        </w:tc>
        <w:tc>
          <w:tcPr>
            <w:tcW w:w="5672" w:type="dxa"/>
            <w:tcBorders>
              <w:left w:val="single" w:sz="4" w:space="0" w:color="000000"/>
              <w:bottom w:val="single" w:sz="4" w:space="0" w:color="000000"/>
              <w:right w:val="single" w:sz="4" w:space="0" w:color="000000"/>
            </w:tcBorders>
          </w:tcPr>
          <w:p>
            <w:pPr>
              <w:pStyle w:val="TableParagraph"/>
              <w:spacing w:line="226" w:lineRule="exact"/>
              <w:ind w:left="76"/>
              <w:jc w:val="both"/>
              <w:rPr>
                <w:sz w:val="20"/>
              </w:rPr>
            </w:pPr>
            <w:r>
              <w:rPr>
                <w:sz w:val="20"/>
              </w:rPr>
              <w:t>Permite acompanhar a capacidade de atendimento dos CAU/UF. É</w:t>
            </w:r>
          </w:p>
          <w:p>
            <w:pPr>
              <w:pStyle w:val="TableParagraph"/>
              <w:ind w:left="76" w:right="54"/>
              <w:jc w:val="both"/>
              <w:rPr>
                <w:sz w:val="20"/>
              </w:rPr>
            </w:pPr>
            <w:r>
              <w:rPr>
                <w:sz w:val="20"/>
              </w:rPr>
              <w:t>esperado que a grande maioria das solicitações sejam tratadas em tempo razoável, independentemente se a questão é do CAU/UF ou CAU/BR. Por isso foi estabelecido 30 dias como um tempo máximo que</w:t>
            </w:r>
            <w:r>
              <w:rPr>
                <w:spacing w:val="-8"/>
                <w:sz w:val="20"/>
              </w:rPr>
              <w:t> </w:t>
            </w:r>
            <w:r>
              <w:rPr>
                <w:sz w:val="20"/>
              </w:rPr>
              <w:t>o</w:t>
            </w:r>
            <w:r>
              <w:rPr>
                <w:spacing w:val="-7"/>
                <w:sz w:val="20"/>
              </w:rPr>
              <w:t> </w:t>
            </w:r>
            <w:r>
              <w:rPr>
                <w:sz w:val="20"/>
              </w:rPr>
              <w:t>profissional</w:t>
            </w:r>
            <w:r>
              <w:rPr>
                <w:spacing w:val="-6"/>
                <w:sz w:val="20"/>
              </w:rPr>
              <w:t> </w:t>
            </w:r>
            <w:r>
              <w:rPr>
                <w:sz w:val="20"/>
              </w:rPr>
              <w:t>poderia</w:t>
            </w:r>
            <w:r>
              <w:rPr>
                <w:spacing w:val="-5"/>
                <w:sz w:val="20"/>
              </w:rPr>
              <w:t> </w:t>
            </w:r>
            <w:r>
              <w:rPr>
                <w:sz w:val="20"/>
              </w:rPr>
              <w:t>esperar</w:t>
            </w:r>
            <w:r>
              <w:rPr>
                <w:spacing w:val="-7"/>
                <w:sz w:val="20"/>
              </w:rPr>
              <w:t> </w:t>
            </w:r>
            <w:r>
              <w:rPr>
                <w:sz w:val="20"/>
              </w:rPr>
              <w:t>para</w:t>
            </w:r>
            <w:r>
              <w:rPr>
                <w:spacing w:val="-6"/>
                <w:sz w:val="20"/>
              </w:rPr>
              <w:t> </w:t>
            </w:r>
            <w:r>
              <w:rPr>
                <w:sz w:val="20"/>
              </w:rPr>
              <w:t>ter</w:t>
            </w:r>
            <w:r>
              <w:rPr>
                <w:spacing w:val="-7"/>
                <w:sz w:val="20"/>
              </w:rPr>
              <w:t> </w:t>
            </w:r>
            <w:r>
              <w:rPr>
                <w:sz w:val="20"/>
              </w:rPr>
              <w:t>sua</w:t>
            </w:r>
            <w:r>
              <w:rPr>
                <w:spacing w:val="-5"/>
                <w:sz w:val="20"/>
              </w:rPr>
              <w:t> </w:t>
            </w:r>
            <w:r>
              <w:rPr>
                <w:sz w:val="20"/>
              </w:rPr>
              <w:t>questão</w:t>
            </w:r>
            <w:r>
              <w:rPr>
                <w:spacing w:val="-7"/>
                <w:sz w:val="20"/>
              </w:rPr>
              <w:t> </w:t>
            </w:r>
            <w:r>
              <w:rPr>
                <w:sz w:val="20"/>
              </w:rPr>
              <w:t>tratada.</w:t>
            </w:r>
            <w:r>
              <w:rPr>
                <w:spacing w:val="-6"/>
                <w:sz w:val="20"/>
              </w:rPr>
              <w:t> </w:t>
            </w:r>
            <w:r>
              <w:rPr>
                <w:sz w:val="20"/>
              </w:rPr>
              <w:t>Não significa, necessariamente, que uma solução final foi alcançada. Se uma resposta foi dada ao profissional que demanda um retorno de sua parte, é considerado que houve um tratamento de sua questão. Não é possível contabilizar quanto tempo ele levará para retornar (por exemplo uma solicitação de documento para o profissional). Assim</w:t>
            </w:r>
            <w:r>
              <w:rPr>
                <w:spacing w:val="-8"/>
                <w:sz w:val="20"/>
              </w:rPr>
              <w:t> </w:t>
            </w:r>
            <w:r>
              <w:rPr>
                <w:sz w:val="20"/>
              </w:rPr>
              <w:t>que</w:t>
            </w:r>
            <w:r>
              <w:rPr>
                <w:spacing w:val="-6"/>
                <w:sz w:val="20"/>
              </w:rPr>
              <w:t> </w:t>
            </w:r>
            <w:r>
              <w:rPr>
                <w:sz w:val="20"/>
              </w:rPr>
              <w:t>ele</w:t>
            </w:r>
            <w:r>
              <w:rPr>
                <w:spacing w:val="-7"/>
                <w:sz w:val="20"/>
              </w:rPr>
              <w:t> </w:t>
            </w:r>
            <w:r>
              <w:rPr>
                <w:sz w:val="20"/>
              </w:rPr>
              <w:t>der</w:t>
            </w:r>
            <w:r>
              <w:rPr>
                <w:spacing w:val="-4"/>
                <w:sz w:val="20"/>
              </w:rPr>
              <w:t> </w:t>
            </w:r>
            <w:r>
              <w:rPr>
                <w:sz w:val="20"/>
              </w:rPr>
              <w:t>o</w:t>
            </w:r>
            <w:r>
              <w:rPr>
                <w:spacing w:val="-6"/>
                <w:sz w:val="20"/>
              </w:rPr>
              <w:t> </w:t>
            </w:r>
            <w:r>
              <w:rPr>
                <w:sz w:val="20"/>
              </w:rPr>
              <w:t>retorno,</w:t>
            </w:r>
            <w:r>
              <w:rPr>
                <w:spacing w:val="-6"/>
                <w:sz w:val="20"/>
              </w:rPr>
              <w:t> </w:t>
            </w:r>
            <w:r>
              <w:rPr>
                <w:sz w:val="20"/>
              </w:rPr>
              <w:t>uma</w:t>
            </w:r>
            <w:r>
              <w:rPr>
                <w:spacing w:val="-5"/>
                <w:sz w:val="20"/>
              </w:rPr>
              <w:t> </w:t>
            </w:r>
            <w:r>
              <w:rPr>
                <w:sz w:val="20"/>
              </w:rPr>
              <w:t>nova</w:t>
            </w:r>
            <w:r>
              <w:rPr>
                <w:spacing w:val="-5"/>
                <w:sz w:val="20"/>
              </w:rPr>
              <w:t> </w:t>
            </w:r>
            <w:r>
              <w:rPr>
                <w:sz w:val="20"/>
              </w:rPr>
              <w:t>entrada</w:t>
            </w:r>
            <w:r>
              <w:rPr>
                <w:spacing w:val="-5"/>
                <w:sz w:val="20"/>
              </w:rPr>
              <w:t> </w:t>
            </w:r>
            <w:r>
              <w:rPr>
                <w:sz w:val="20"/>
              </w:rPr>
              <w:t>e</w:t>
            </w:r>
            <w:r>
              <w:rPr>
                <w:spacing w:val="-4"/>
                <w:sz w:val="20"/>
              </w:rPr>
              <w:t> </w:t>
            </w:r>
            <w:r>
              <w:rPr>
                <w:sz w:val="20"/>
              </w:rPr>
              <w:t>contagem</w:t>
            </w:r>
            <w:r>
              <w:rPr>
                <w:spacing w:val="-3"/>
                <w:sz w:val="20"/>
              </w:rPr>
              <w:t> </w:t>
            </w:r>
            <w:r>
              <w:rPr>
                <w:sz w:val="20"/>
              </w:rPr>
              <w:t>deve</w:t>
            </w:r>
            <w:r>
              <w:rPr>
                <w:spacing w:val="-7"/>
                <w:sz w:val="20"/>
              </w:rPr>
              <w:t> </w:t>
            </w:r>
            <w:r>
              <w:rPr>
                <w:sz w:val="20"/>
              </w:rPr>
              <w:t>ser iniciada.</w:t>
            </w:r>
          </w:p>
        </w:tc>
        <w:tc>
          <w:tcPr>
            <w:tcW w:w="2837" w:type="dxa"/>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6"/>
              <w:rPr>
                <w:rFonts w:ascii="Calibri Light"/>
                <w:b w:val="0"/>
                <w:sz w:val="22"/>
              </w:rPr>
            </w:pPr>
          </w:p>
          <w:p>
            <w:pPr>
              <w:pStyle w:val="TableParagraph"/>
              <w:ind w:left="79" w:right="771" w:hanging="1"/>
              <w:jc w:val="center"/>
              <w:rPr>
                <w:sz w:val="20"/>
              </w:rPr>
            </w:pPr>
            <w:r>
              <w:rPr>
                <w:sz w:val="20"/>
              </w:rPr>
              <w:t>número de solicitações tratadas no prazo estipulado pela Carta de</w:t>
            </w:r>
          </w:p>
          <w:p>
            <w:pPr>
              <w:pStyle w:val="TableParagraph"/>
              <w:tabs>
                <w:tab w:pos="2128" w:val="left" w:leader="none"/>
              </w:tabs>
              <w:spacing w:line="213" w:lineRule="auto" w:before="13"/>
              <w:ind w:left="129" w:right="189" w:hanging="120"/>
              <w:rPr>
                <w:sz w:val="20"/>
              </w:rPr>
            </w:pPr>
            <w:r>
              <w:rPr>
                <w:w w:val="99"/>
                <w:sz w:val="20"/>
                <w:u w:val="single"/>
              </w:rPr>
              <w:t> </w:t>
            </w:r>
            <w:r>
              <w:rPr>
                <w:sz w:val="20"/>
                <w:u w:val="single"/>
              </w:rPr>
              <w:t>  </w:t>
            </w:r>
            <w:r>
              <w:rPr>
                <w:spacing w:val="16"/>
                <w:sz w:val="20"/>
                <w:u w:val="single"/>
              </w:rPr>
              <w:t> </w:t>
            </w:r>
            <w:r>
              <w:rPr>
                <w:sz w:val="20"/>
                <w:u w:val="single"/>
              </w:rPr>
              <w:t>Serviços</w:t>
            </w:r>
            <w:r>
              <w:rPr>
                <w:spacing w:val="-1"/>
                <w:sz w:val="20"/>
                <w:u w:val="single"/>
              </w:rPr>
              <w:t> </w:t>
            </w:r>
            <w:r>
              <w:rPr>
                <w:sz w:val="20"/>
                <w:u w:val="single"/>
              </w:rPr>
              <w:t>no</w:t>
            </w:r>
            <w:r>
              <w:rPr>
                <w:spacing w:val="-2"/>
                <w:sz w:val="20"/>
                <w:u w:val="single"/>
              </w:rPr>
              <w:t> </w:t>
            </w:r>
            <w:r>
              <w:rPr>
                <w:sz w:val="20"/>
                <w:u w:val="single"/>
              </w:rPr>
              <w:t>trimestre</w:t>
              <w:tab/>
            </w:r>
            <w:r>
              <w:rPr>
                <w:position w:val="-6"/>
                <w:sz w:val="20"/>
              </w:rPr>
              <w:t>x </w:t>
            </w:r>
            <w:r>
              <w:rPr>
                <w:spacing w:val="-6"/>
                <w:position w:val="-6"/>
                <w:sz w:val="20"/>
              </w:rPr>
              <w:t>100 </w:t>
            </w:r>
            <w:r>
              <w:rPr>
                <w:sz w:val="20"/>
              </w:rPr>
              <w:t>número de solicitações abertas no</w:t>
            </w:r>
            <w:r>
              <w:rPr>
                <w:spacing w:val="-1"/>
                <w:sz w:val="20"/>
              </w:rPr>
              <w:t> </w:t>
            </w:r>
            <w:r>
              <w:rPr>
                <w:sz w:val="20"/>
              </w:rPr>
              <w:t>trimestre</w:t>
            </w:r>
          </w:p>
        </w:tc>
        <w:tc>
          <w:tcPr>
            <w:tcW w:w="1135" w:type="dxa"/>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28"/>
              </w:rPr>
            </w:pPr>
          </w:p>
          <w:p>
            <w:pPr>
              <w:pStyle w:val="TableParagraph"/>
              <w:ind w:left="138" w:right="118"/>
              <w:jc w:val="center"/>
              <w:rPr>
                <w:sz w:val="20"/>
              </w:rPr>
            </w:pPr>
            <w:r>
              <w:rPr>
                <w:sz w:val="20"/>
              </w:rPr>
              <w:t>Trimestral</w:t>
            </w:r>
          </w:p>
        </w:tc>
        <w:tc>
          <w:tcPr>
            <w:tcW w:w="1274" w:type="dxa"/>
            <w:tcBorders>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18"/>
              </w:rPr>
            </w:pPr>
          </w:p>
          <w:p>
            <w:pPr>
              <w:pStyle w:val="TableParagraph"/>
              <w:spacing w:before="1"/>
              <w:ind w:left="170" w:right="146" w:firstLine="47"/>
              <w:jc w:val="center"/>
              <w:rPr>
                <w:sz w:val="20"/>
              </w:rPr>
            </w:pPr>
            <w:r>
              <w:rPr>
                <w:sz w:val="20"/>
              </w:rPr>
              <w:t>presencial, site, </w:t>
            </w:r>
            <w:r>
              <w:rPr>
                <w:spacing w:val="-4"/>
                <w:sz w:val="20"/>
              </w:rPr>
              <w:t>e-mail, </w:t>
            </w:r>
            <w:r>
              <w:rPr>
                <w:sz w:val="20"/>
              </w:rPr>
              <w:t>telefone, SICCAU, 0800,</w:t>
            </w:r>
          </w:p>
          <w:p>
            <w:pPr>
              <w:pStyle w:val="TableParagraph"/>
              <w:spacing w:before="1"/>
              <w:ind w:left="112" w:right="88"/>
              <w:jc w:val="center"/>
              <w:rPr>
                <w:sz w:val="20"/>
              </w:rPr>
            </w:pPr>
            <w:r>
              <w:rPr>
                <w:sz w:val="20"/>
              </w:rPr>
              <w:t>Ouvidoria,</w:t>
            </w:r>
          </w:p>
        </w:tc>
      </w:tr>
      <w:tr>
        <w:trPr>
          <w:trHeight w:val="2198" w:hRule="atLeast"/>
        </w:trPr>
        <w:tc>
          <w:tcPr>
            <w:tcW w:w="1419" w:type="dxa"/>
            <w:vMerge/>
            <w:tcBorders>
              <w:top w:val="nil"/>
              <w:bottom w:val="single" w:sz="4" w:space="0" w:color="000000"/>
              <w:right w:val="single" w:sz="4" w:space="0" w:color="000000"/>
            </w:tcBorders>
          </w:tcPr>
          <w:p>
            <w:pPr>
              <w:rPr>
                <w:sz w:val="2"/>
                <w:szCs w:val="2"/>
              </w:rPr>
            </w:pPr>
          </w:p>
        </w:tc>
        <w:tc>
          <w:tcPr>
            <w:tcW w:w="1699" w:type="dxa"/>
            <w:vMerge/>
            <w:tcBorders>
              <w:top w:val="nil"/>
              <w:left w:val="single" w:sz="4" w:space="0" w:color="000000"/>
              <w:bottom w:val="single" w:sz="4" w:space="0" w:color="000000"/>
              <w:right w:val="single" w:sz="4" w:space="0" w:color="000000"/>
            </w:tcBorders>
          </w:tcPr>
          <w:p>
            <w:pPr>
              <w:rPr>
                <w:sz w:val="2"/>
                <w:szCs w:val="2"/>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5"/>
              <w:rPr>
                <w:rFonts w:ascii="Calibri Light"/>
                <w:b w:val="0"/>
                <w:sz w:val="18"/>
              </w:rPr>
            </w:pPr>
          </w:p>
          <w:p>
            <w:pPr>
              <w:pStyle w:val="TableParagraph"/>
              <w:ind w:left="184" w:right="163" w:firstLine="2"/>
              <w:jc w:val="center"/>
              <w:rPr>
                <w:b/>
                <w:sz w:val="20"/>
              </w:rPr>
            </w:pPr>
            <w:r>
              <w:rPr>
                <w:sz w:val="20"/>
              </w:rPr>
              <w:t>Índice de satisfação com a solução da demanda (%) </w:t>
            </w:r>
            <w:r>
              <w:rPr>
                <w:b/>
                <w:sz w:val="20"/>
              </w:rPr>
              <w:t>(CAU/UF)</w:t>
            </w:r>
          </w:p>
        </w:tc>
        <w:tc>
          <w:tcPr>
            <w:tcW w:w="5672"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28"/>
              </w:rPr>
            </w:pPr>
          </w:p>
          <w:p>
            <w:pPr>
              <w:pStyle w:val="TableParagraph"/>
              <w:spacing w:before="1"/>
              <w:ind w:left="76"/>
              <w:rPr>
                <w:sz w:val="20"/>
              </w:rPr>
            </w:pPr>
            <w:r>
              <w:rPr>
                <w:sz w:val="20"/>
              </w:rPr>
              <w:t>Mede se, na média, os profissionais estão satisfeitos com o tratamento dado às suas demandas.</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before="7"/>
              <w:rPr>
                <w:rFonts w:ascii="Calibri Light"/>
                <w:b w:val="0"/>
                <w:sz w:val="29"/>
              </w:rPr>
            </w:pPr>
          </w:p>
          <w:p>
            <w:pPr>
              <w:pStyle w:val="TableParagraph"/>
              <w:ind w:left="254" w:right="948"/>
              <w:jc w:val="center"/>
              <w:rPr>
                <w:sz w:val="20"/>
              </w:rPr>
            </w:pPr>
            <w:r>
              <w:rPr>
                <w:sz w:val="20"/>
              </w:rPr>
              <w:t>número de usuários satisfeitos com a</w:t>
            </w:r>
          </w:p>
          <w:p>
            <w:pPr>
              <w:pStyle w:val="TableParagraph"/>
              <w:tabs>
                <w:tab w:pos="2128" w:val="left" w:leader="none"/>
              </w:tabs>
              <w:spacing w:line="172" w:lineRule="auto" w:before="24"/>
              <w:ind w:left="76" w:right="189" w:hanging="68"/>
              <w:rPr>
                <w:sz w:val="20"/>
              </w:rPr>
            </w:pPr>
            <w:r>
              <w:rPr>
                <w:w w:val="99"/>
                <w:sz w:val="20"/>
                <w:u w:val="single"/>
              </w:rPr>
              <w:t> </w:t>
            </w:r>
            <w:r>
              <w:rPr>
                <w:sz w:val="20"/>
                <w:u w:val="single"/>
              </w:rPr>
              <w:t>   </w:t>
            </w:r>
            <w:r>
              <w:rPr>
                <w:spacing w:val="-8"/>
                <w:sz w:val="20"/>
                <w:u w:val="single"/>
              </w:rPr>
              <w:t> </w:t>
            </w:r>
            <w:r>
              <w:rPr>
                <w:sz w:val="20"/>
                <w:u w:val="single"/>
              </w:rPr>
              <w:t>solução</w:t>
            </w:r>
            <w:r>
              <w:rPr>
                <w:spacing w:val="-1"/>
                <w:sz w:val="20"/>
                <w:u w:val="single"/>
              </w:rPr>
              <w:t> </w:t>
            </w:r>
            <w:r>
              <w:rPr>
                <w:sz w:val="20"/>
                <w:u w:val="single"/>
              </w:rPr>
              <w:t>da</w:t>
            </w:r>
            <w:r>
              <w:rPr>
                <w:spacing w:val="-1"/>
                <w:sz w:val="20"/>
                <w:u w:val="single"/>
              </w:rPr>
              <w:t> </w:t>
            </w:r>
            <w:r>
              <w:rPr>
                <w:sz w:val="20"/>
                <w:u w:val="single"/>
              </w:rPr>
              <w:t>demanda</w:t>
              <w:tab/>
            </w:r>
            <w:r>
              <w:rPr>
                <w:position w:val="-10"/>
                <w:sz w:val="20"/>
              </w:rPr>
              <w:t>x </w:t>
            </w:r>
            <w:r>
              <w:rPr>
                <w:spacing w:val="-6"/>
                <w:position w:val="-10"/>
                <w:sz w:val="20"/>
              </w:rPr>
              <w:t>100 </w:t>
            </w:r>
            <w:r>
              <w:rPr>
                <w:sz w:val="20"/>
              </w:rPr>
              <w:t>número de usuários</w:t>
            </w:r>
            <w:r>
              <w:rPr>
                <w:spacing w:val="-1"/>
                <w:sz w:val="20"/>
              </w:rPr>
              <w:t> </w:t>
            </w:r>
            <w:r>
              <w:rPr>
                <w:sz w:val="20"/>
              </w:rPr>
              <w:t>que</w:t>
            </w:r>
          </w:p>
          <w:p>
            <w:pPr>
              <w:pStyle w:val="TableParagraph"/>
              <w:spacing w:before="13"/>
              <w:ind w:left="254" w:right="943"/>
              <w:jc w:val="center"/>
              <w:rPr>
                <w:sz w:val="20"/>
              </w:rPr>
            </w:pPr>
            <w:r>
              <w:rPr>
                <w:sz w:val="20"/>
              </w:rPr>
              <w:t>responderam à pesquisa</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7"/>
              <w:rPr>
                <w:rFonts w:ascii="Calibri Light"/>
                <w:b w:val="0"/>
                <w:sz w:val="18"/>
              </w:rPr>
            </w:pPr>
          </w:p>
          <w:p>
            <w:pPr>
              <w:pStyle w:val="TableParagraph"/>
              <w:ind w:left="138" w:right="118"/>
              <w:jc w:val="center"/>
              <w:rPr>
                <w:sz w:val="20"/>
              </w:rPr>
            </w:pPr>
            <w:r>
              <w:rPr>
                <w:sz w:val="20"/>
              </w:rPr>
              <w:t>Trimestral</w:t>
            </w:r>
          </w:p>
        </w:tc>
        <w:tc>
          <w:tcPr>
            <w:tcW w:w="1274" w:type="dxa"/>
            <w:tcBorders>
              <w:top w:val="single" w:sz="4" w:space="0" w:color="000000"/>
              <w:left w:val="single" w:sz="4" w:space="0" w:color="000000"/>
              <w:bottom w:val="single" w:sz="4" w:space="0" w:color="000000"/>
            </w:tcBorders>
          </w:tcPr>
          <w:p>
            <w:pPr>
              <w:pStyle w:val="TableParagraph"/>
              <w:spacing w:line="226" w:lineRule="exact"/>
              <w:ind w:left="113" w:right="88"/>
              <w:jc w:val="center"/>
              <w:rPr>
                <w:sz w:val="20"/>
              </w:rPr>
            </w:pPr>
            <w:r>
              <w:rPr>
                <w:sz w:val="20"/>
              </w:rPr>
              <w:t>0800,</w:t>
            </w:r>
          </w:p>
          <w:p>
            <w:pPr>
              <w:pStyle w:val="TableParagraph"/>
              <w:ind w:left="84" w:right="57" w:hanging="3"/>
              <w:jc w:val="center"/>
              <w:rPr>
                <w:sz w:val="20"/>
              </w:rPr>
            </w:pPr>
            <w:r>
              <w:rPr>
                <w:sz w:val="20"/>
              </w:rPr>
              <w:t>ouvidoria, site, </w:t>
            </w:r>
            <w:r>
              <w:rPr>
                <w:spacing w:val="-3"/>
                <w:sz w:val="20"/>
              </w:rPr>
              <w:t>telefone, </w:t>
            </w:r>
            <w:r>
              <w:rPr>
                <w:sz w:val="20"/>
              </w:rPr>
              <w:t>SICCAU,</w:t>
            </w:r>
          </w:p>
          <w:p>
            <w:pPr>
              <w:pStyle w:val="TableParagraph"/>
              <w:spacing w:before="1"/>
              <w:ind w:left="74" w:right="51" w:firstLine="3"/>
              <w:jc w:val="center"/>
              <w:rPr>
                <w:sz w:val="20"/>
              </w:rPr>
            </w:pPr>
            <w:r>
              <w:rPr>
                <w:sz w:val="20"/>
              </w:rPr>
              <w:t>Sistema próprios de controle dos atendimentos nos CAU/UF</w:t>
            </w:r>
          </w:p>
        </w:tc>
      </w:tr>
      <w:tr>
        <w:trPr>
          <w:trHeight w:val="1910" w:hRule="atLeast"/>
        </w:trPr>
        <w:tc>
          <w:tcPr>
            <w:tcW w:w="1419" w:type="dxa"/>
            <w:vMerge/>
            <w:tcBorders>
              <w:top w:val="nil"/>
              <w:bottom w:val="single" w:sz="4" w:space="0" w:color="000000"/>
              <w:right w:val="single" w:sz="4" w:space="0" w:color="000000"/>
            </w:tcBorders>
          </w:tcPr>
          <w:p>
            <w:pPr>
              <w:rPr>
                <w:sz w:val="2"/>
                <w:szCs w:val="2"/>
              </w:rPr>
            </w:pPr>
          </w:p>
        </w:tc>
        <w:tc>
          <w:tcPr>
            <w:tcW w:w="1699" w:type="dxa"/>
            <w:vMerge/>
            <w:tcBorders>
              <w:top w:val="nil"/>
              <w:left w:val="single" w:sz="4" w:space="0" w:color="000000"/>
              <w:bottom w:val="single" w:sz="4" w:space="0" w:color="000000"/>
              <w:right w:val="single" w:sz="4" w:space="0" w:color="000000"/>
            </w:tcBorders>
          </w:tcPr>
          <w:p>
            <w:pPr>
              <w:rPr>
                <w:sz w:val="2"/>
                <w:szCs w:val="2"/>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7"/>
              <w:rPr>
                <w:rFonts w:ascii="Calibri Light"/>
                <w:b w:val="0"/>
                <w:sz w:val="26"/>
              </w:rPr>
            </w:pPr>
          </w:p>
          <w:p>
            <w:pPr>
              <w:pStyle w:val="TableParagraph"/>
              <w:spacing w:before="1"/>
              <w:ind w:left="302" w:right="283" w:firstLine="5"/>
              <w:jc w:val="center"/>
              <w:rPr>
                <w:b/>
                <w:sz w:val="20"/>
              </w:rPr>
            </w:pPr>
            <w:r>
              <w:rPr>
                <w:sz w:val="20"/>
              </w:rPr>
              <w:t>Índice de reclamações recebidas na Ouvidoria (%) </w:t>
            </w:r>
            <w:r>
              <w:rPr>
                <w:b/>
                <w:sz w:val="20"/>
              </w:rPr>
              <w:t>(CAU/UF)</w:t>
            </w:r>
          </w:p>
        </w:tc>
        <w:tc>
          <w:tcPr>
            <w:tcW w:w="5672"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16"/>
              </w:rPr>
            </w:pPr>
          </w:p>
          <w:p>
            <w:pPr>
              <w:pStyle w:val="TableParagraph"/>
              <w:ind w:left="76" w:right="52"/>
              <w:jc w:val="both"/>
              <w:rPr>
                <w:sz w:val="20"/>
              </w:rPr>
            </w:pPr>
            <w:r>
              <w:rPr>
                <w:sz w:val="20"/>
              </w:rPr>
              <w:t>Indicador</w:t>
            </w:r>
            <w:r>
              <w:rPr>
                <w:spacing w:val="-10"/>
                <w:sz w:val="20"/>
              </w:rPr>
              <w:t> </w:t>
            </w:r>
            <w:r>
              <w:rPr>
                <w:sz w:val="20"/>
              </w:rPr>
              <w:t>para</w:t>
            </w:r>
            <w:r>
              <w:rPr>
                <w:spacing w:val="-9"/>
                <w:sz w:val="20"/>
              </w:rPr>
              <w:t> </w:t>
            </w:r>
            <w:r>
              <w:rPr>
                <w:sz w:val="20"/>
              </w:rPr>
              <w:t>medir</w:t>
            </w:r>
            <w:r>
              <w:rPr>
                <w:spacing w:val="-9"/>
                <w:sz w:val="20"/>
              </w:rPr>
              <w:t> </w:t>
            </w:r>
            <w:r>
              <w:rPr>
                <w:sz w:val="20"/>
              </w:rPr>
              <w:t>se</w:t>
            </w:r>
            <w:r>
              <w:rPr>
                <w:spacing w:val="-9"/>
                <w:sz w:val="20"/>
              </w:rPr>
              <w:t> </w:t>
            </w:r>
            <w:r>
              <w:rPr>
                <w:sz w:val="20"/>
              </w:rPr>
              <w:t>a</w:t>
            </w:r>
            <w:r>
              <w:rPr>
                <w:spacing w:val="-9"/>
                <w:sz w:val="20"/>
              </w:rPr>
              <w:t> </w:t>
            </w:r>
            <w:r>
              <w:rPr>
                <w:sz w:val="20"/>
              </w:rPr>
              <w:t>Ouvidoria</w:t>
            </w:r>
            <w:r>
              <w:rPr>
                <w:spacing w:val="-9"/>
                <w:sz w:val="20"/>
              </w:rPr>
              <w:t> </w:t>
            </w:r>
            <w:r>
              <w:rPr>
                <w:sz w:val="20"/>
              </w:rPr>
              <w:t>dos</w:t>
            </w:r>
            <w:r>
              <w:rPr>
                <w:spacing w:val="-8"/>
                <w:sz w:val="20"/>
              </w:rPr>
              <w:t> </w:t>
            </w:r>
            <w:r>
              <w:rPr>
                <w:sz w:val="20"/>
              </w:rPr>
              <w:t>CAU/UF</w:t>
            </w:r>
            <w:r>
              <w:rPr>
                <w:spacing w:val="-10"/>
                <w:sz w:val="20"/>
              </w:rPr>
              <w:t> </w:t>
            </w:r>
            <w:r>
              <w:rPr>
                <w:sz w:val="20"/>
              </w:rPr>
              <w:t>possui</w:t>
            </w:r>
            <w:r>
              <w:rPr>
                <w:spacing w:val="-9"/>
                <w:sz w:val="20"/>
              </w:rPr>
              <w:t> </w:t>
            </w:r>
            <w:r>
              <w:rPr>
                <w:sz w:val="20"/>
              </w:rPr>
              <w:t>a</w:t>
            </w:r>
            <w:r>
              <w:rPr>
                <w:spacing w:val="-9"/>
                <w:sz w:val="20"/>
              </w:rPr>
              <w:t> </w:t>
            </w:r>
            <w:r>
              <w:rPr>
                <w:sz w:val="20"/>
              </w:rPr>
              <w:t>capacidade necessária para atendimento das reclamações. Compara a quantidade de reclamações atendidas com a quantidade de atendimentos recebidos na</w:t>
            </w:r>
            <w:r>
              <w:rPr>
                <w:spacing w:val="-1"/>
                <w:sz w:val="20"/>
              </w:rPr>
              <w:t> </w:t>
            </w:r>
            <w:r>
              <w:rPr>
                <w:sz w:val="20"/>
              </w:rPr>
              <w:t>Ouvidoria.</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spacing w:before="11"/>
              <w:rPr>
                <w:rFonts w:ascii="Calibri Light"/>
                <w:b w:val="0"/>
                <w:sz w:val="22"/>
              </w:rPr>
            </w:pPr>
          </w:p>
          <w:p>
            <w:pPr>
              <w:pStyle w:val="TableParagraph"/>
              <w:ind w:left="480" w:right="760" w:hanging="392"/>
              <w:rPr>
                <w:sz w:val="20"/>
              </w:rPr>
            </w:pPr>
            <w:r>
              <w:rPr>
                <w:sz w:val="20"/>
              </w:rPr>
              <w:t>número de reclamações recebidas pela</w:t>
            </w:r>
          </w:p>
          <w:p>
            <w:pPr>
              <w:pStyle w:val="TableParagraph"/>
              <w:spacing w:line="223" w:lineRule="auto" w:before="9"/>
              <w:ind w:left="305" w:right="189" w:hanging="296"/>
              <w:rPr>
                <w:sz w:val="20"/>
              </w:rPr>
            </w:pPr>
            <w:r>
              <w:rPr>
                <w:w w:val="99"/>
                <w:sz w:val="20"/>
                <w:u w:val="single"/>
              </w:rPr>
              <w:t> </w:t>
            </w:r>
            <w:r>
              <w:rPr>
                <w:sz w:val="20"/>
                <w:u w:val="single"/>
              </w:rPr>
              <w:t>  Ouvidoria no trimestre</w:t>
            </w:r>
            <w:r>
              <w:rPr>
                <w:sz w:val="20"/>
              </w:rPr>
              <w:t> </w:t>
            </w:r>
            <w:r>
              <w:rPr>
                <w:position w:val="-4"/>
                <w:sz w:val="20"/>
              </w:rPr>
              <w:t>x 100 </w:t>
            </w:r>
            <w:r>
              <w:rPr>
                <w:sz w:val="20"/>
              </w:rPr>
              <w:t>número total de atendimentos pela</w:t>
            </w:r>
          </w:p>
          <w:p>
            <w:pPr>
              <w:pStyle w:val="TableParagraph"/>
              <w:spacing w:before="1"/>
              <w:ind w:left="141"/>
              <w:rPr>
                <w:sz w:val="20"/>
              </w:rPr>
            </w:pPr>
            <w:r>
              <w:rPr>
                <w:sz w:val="20"/>
              </w:rPr>
              <w:t>Ouvidoria no trimestre</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26"/>
              </w:rPr>
            </w:pPr>
          </w:p>
          <w:p>
            <w:pPr>
              <w:pStyle w:val="TableParagraph"/>
              <w:ind w:left="138" w:right="118"/>
              <w:jc w:val="center"/>
              <w:rPr>
                <w:sz w:val="20"/>
              </w:rPr>
            </w:pPr>
            <w:r>
              <w:rPr>
                <w:sz w:val="20"/>
              </w:rPr>
              <w:t>Trimestral</w:t>
            </w:r>
          </w:p>
        </w:tc>
        <w:tc>
          <w:tcPr>
            <w:tcW w:w="1274" w:type="dxa"/>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8"/>
              <w:rPr>
                <w:rFonts w:ascii="Calibri Light"/>
                <w:b w:val="0"/>
                <w:sz w:val="26"/>
              </w:rPr>
            </w:pPr>
          </w:p>
          <w:p>
            <w:pPr>
              <w:pStyle w:val="TableParagraph"/>
              <w:ind w:left="115" w:right="88"/>
              <w:jc w:val="center"/>
              <w:rPr>
                <w:sz w:val="20"/>
              </w:rPr>
            </w:pPr>
            <w:r>
              <w:rPr>
                <w:sz w:val="20"/>
              </w:rPr>
              <w:t>Ouvidoria do CAU/BR ou CAU/UF</w:t>
            </w:r>
          </w:p>
        </w:tc>
      </w:tr>
    </w:tbl>
    <w:p>
      <w:pPr>
        <w:spacing w:after="0"/>
        <w:jc w:val="center"/>
        <w:rPr>
          <w:sz w:val="20"/>
        </w:rPr>
        <w:sectPr>
          <w:headerReference w:type="default" r:id="rId29"/>
          <w:footerReference w:type="default" r:id="rId30"/>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2"/>
        <w:gridCol w:w="1569"/>
        <w:gridCol w:w="1698"/>
        <w:gridCol w:w="4822"/>
        <w:gridCol w:w="3128"/>
        <w:gridCol w:w="670"/>
        <w:gridCol w:w="1138"/>
        <w:gridCol w:w="1277"/>
      </w:tblGrid>
      <w:tr>
        <w:trPr>
          <w:trHeight w:val="1574" w:hRule="atLeast"/>
        </w:trPr>
        <w:tc>
          <w:tcPr>
            <w:tcW w:w="1412"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222"/>
              <w:rPr>
                <w:b/>
                <w:sz w:val="20"/>
              </w:rPr>
            </w:pPr>
            <w:r>
              <w:rPr>
                <w:b/>
                <w:color w:val="FFFFFF"/>
                <w:sz w:val="20"/>
              </w:rPr>
              <w:t>Perspectiva</w:t>
            </w:r>
          </w:p>
        </w:tc>
        <w:tc>
          <w:tcPr>
            <w:tcW w:w="156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8" w:firstLine="103"/>
              <w:rPr>
                <w:b/>
                <w:sz w:val="20"/>
              </w:rPr>
            </w:pPr>
            <w:r>
              <w:rPr>
                <w:b/>
                <w:color w:val="FFFFFF"/>
                <w:sz w:val="20"/>
              </w:rPr>
              <w:t>Objetivo </w:t>
            </w:r>
            <w:r>
              <w:rPr>
                <w:b/>
                <w:color w:val="FFFFFF"/>
                <w:w w:val="95"/>
                <w:sz w:val="20"/>
              </w:rPr>
              <w:t>Estratégico</w:t>
            </w:r>
          </w:p>
        </w:tc>
        <w:tc>
          <w:tcPr>
            <w:tcW w:w="1698"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58"/>
              <w:rPr>
                <w:b/>
                <w:sz w:val="20"/>
              </w:rPr>
            </w:pPr>
            <w:r>
              <w:rPr>
                <w:b/>
                <w:color w:val="FFFFFF"/>
                <w:sz w:val="20"/>
              </w:rPr>
              <w:t>Indicador</w:t>
            </w:r>
          </w:p>
        </w:tc>
        <w:tc>
          <w:tcPr>
            <w:tcW w:w="482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993" w:right="1977"/>
              <w:jc w:val="center"/>
              <w:rPr>
                <w:b/>
                <w:sz w:val="20"/>
              </w:rPr>
            </w:pPr>
            <w:r>
              <w:rPr>
                <w:b/>
                <w:color w:val="FFFFFF"/>
                <w:sz w:val="20"/>
              </w:rPr>
              <w:t>Descrição</w:t>
            </w:r>
          </w:p>
        </w:tc>
        <w:tc>
          <w:tcPr>
            <w:tcW w:w="3798"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111"/>
              <w:rPr>
                <w:b/>
                <w:sz w:val="20"/>
              </w:rPr>
            </w:pPr>
            <w:r>
              <w:rPr>
                <w:b/>
                <w:color w:val="FFFFFF"/>
                <w:sz w:val="20"/>
              </w:rPr>
              <w:t>Fórmula de Cálculo</w:t>
            </w:r>
          </w:p>
        </w:tc>
        <w:tc>
          <w:tcPr>
            <w:tcW w:w="1138"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88" w:right="44" w:firstLine="28"/>
              <w:rPr>
                <w:b/>
                <w:sz w:val="20"/>
              </w:rPr>
            </w:pPr>
            <w:r>
              <w:rPr>
                <w:b/>
                <w:color w:val="FFFFFF"/>
                <w:sz w:val="20"/>
              </w:rPr>
              <w:t>Frequência de Medição</w:t>
            </w:r>
          </w:p>
        </w:tc>
        <w:tc>
          <w:tcPr>
            <w:tcW w:w="1277"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50" w:right="206" w:firstLine="21"/>
              <w:rPr>
                <w:b/>
                <w:sz w:val="20"/>
              </w:rPr>
            </w:pPr>
            <w:r>
              <w:rPr>
                <w:b/>
                <w:color w:val="FFFFFF"/>
                <w:sz w:val="20"/>
              </w:rPr>
              <w:t>Fonte do Indicador</w:t>
            </w:r>
          </w:p>
        </w:tc>
      </w:tr>
      <w:tr>
        <w:trPr>
          <w:trHeight w:val="896" w:hRule="atLeast"/>
        </w:trPr>
        <w:tc>
          <w:tcPr>
            <w:tcW w:w="1412"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4"/>
              <w:rPr>
                <w:rFonts w:ascii="Calibri Light"/>
                <w:b w:val="0"/>
                <w:sz w:val="21"/>
              </w:rPr>
            </w:pPr>
          </w:p>
          <w:p>
            <w:pPr>
              <w:pStyle w:val="TableParagraph"/>
              <w:ind w:left="74" w:right="61" w:hanging="2"/>
              <w:jc w:val="center"/>
              <w:rPr>
                <w:sz w:val="20"/>
              </w:rPr>
            </w:pPr>
            <w:r>
              <w:rPr>
                <w:sz w:val="20"/>
              </w:rPr>
              <w:t>Processos Internos (Excelência </w:t>
            </w:r>
            <w:r>
              <w:rPr>
                <w:w w:val="95"/>
                <w:sz w:val="20"/>
              </w:rPr>
              <w:t>Organizacional)</w:t>
            </w:r>
          </w:p>
        </w:tc>
        <w:tc>
          <w:tcPr>
            <w:tcW w:w="1569"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39"/>
              <w:ind w:left="93" w:right="76" w:firstLine="3"/>
              <w:jc w:val="center"/>
              <w:rPr>
                <w:sz w:val="20"/>
              </w:rPr>
            </w:pPr>
            <w:r>
              <w:rPr>
                <w:sz w:val="20"/>
              </w:rPr>
              <w:t>Estimular o conhecimento, o uso de processos criativos e a difusão das melhores práticas em Arquitetura e Urbanismo</w:t>
            </w:r>
          </w:p>
        </w:tc>
        <w:tc>
          <w:tcPr>
            <w:tcW w:w="1698" w:type="dxa"/>
            <w:vMerge w:val="restart"/>
            <w:tcBorders>
              <w:left w:val="single" w:sz="4" w:space="0" w:color="000000"/>
              <w:bottom w:val="single" w:sz="4" w:space="0" w:color="000000"/>
              <w:right w:val="single" w:sz="4" w:space="0" w:color="000000"/>
            </w:tcBorders>
          </w:tcPr>
          <w:p>
            <w:pPr>
              <w:pStyle w:val="TableParagraph"/>
              <w:spacing w:before="126"/>
              <w:ind w:left="127" w:right="109" w:hanging="4"/>
              <w:jc w:val="center"/>
              <w:rPr>
                <w:b/>
                <w:sz w:val="20"/>
              </w:rPr>
            </w:pPr>
            <w:r>
              <w:rPr>
                <w:sz w:val="20"/>
              </w:rPr>
              <w:t>Índice da capacidade de execução dos investimentos em patrocínios (%) </w:t>
            </w:r>
            <w:r>
              <w:rPr>
                <w:b/>
                <w:sz w:val="20"/>
              </w:rPr>
              <w:t>(CAU/UF)</w:t>
            </w:r>
          </w:p>
        </w:tc>
        <w:tc>
          <w:tcPr>
            <w:tcW w:w="4822"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76" w:right="58"/>
              <w:jc w:val="both"/>
              <w:rPr>
                <w:sz w:val="20"/>
              </w:rPr>
            </w:pPr>
            <w:r>
              <w:rPr>
                <w:sz w:val="20"/>
              </w:rPr>
              <w:t>Para</w:t>
            </w:r>
            <w:r>
              <w:rPr>
                <w:spacing w:val="-12"/>
                <w:sz w:val="20"/>
              </w:rPr>
              <w:t> </w:t>
            </w:r>
            <w:r>
              <w:rPr>
                <w:sz w:val="20"/>
              </w:rPr>
              <w:t>medir</w:t>
            </w:r>
            <w:r>
              <w:rPr>
                <w:spacing w:val="-12"/>
                <w:sz w:val="20"/>
              </w:rPr>
              <w:t> </w:t>
            </w:r>
            <w:r>
              <w:rPr>
                <w:sz w:val="20"/>
              </w:rPr>
              <w:t>se</w:t>
            </w:r>
            <w:r>
              <w:rPr>
                <w:spacing w:val="-12"/>
                <w:sz w:val="20"/>
              </w:rPr>
              <w:t> </w:t>
            </w:r>
            <w:r>
              <w:rPr>
                <w:sz w:val="20"/>
              </w:rPr>
              <w:t>o</w:t>
            </w:r>
            <w:r>
              <w:rPr>
                <w:spacing w:val="-11"/>
                <w:sz w:val="20"/>
              </w:rPr>
              <w:t> </w:t>
            </w:r>
            <w:r>
              <w:rPr>
                <w:sz w:val="20"/>
              </w:rPr>
              <w:t>valor</w:t>
            </w:r>
            <w:r>
              <w:rPr>
                <w:spacing w:val="-13"/>
                <w:sz w:val="20"/>
              </w:rPr>
              <w:t> </w:t>
            </w:r>
            <w:r>
              <w:rPr>
                <w:sz w:val="20"/>
              </w:rPr>
              <w:t>alocado</w:t>
            </w:r>
            <w:r>
              <w:rPr>
                <w:spacing w:val="-11"/>
                <w:sz w:val="20"/>
              </w:rPr>
              <w:t> </w:t>
            </w:r>
            <w:r>
              <w:rPr>
                <w:sz w:val="20"/>
              </w:rPr>
              <w:t>no</w:t>
            </w:r>
            <w:r>
              <w:rPr>
                <w:spacing w:val="-11"/>
                <w:sz w:val="20"/>
              </w:rPr>
              <w:t> </w:t>
            </w:r>
            <w:r>
              <w:rPr>
                <w:sz w:val="20"/>
              </w:rPr>
              <w:t>orçamento</w:t>
            </w:r>
            <w:r>
              <w:rPr>
                <w:spacing w:val="-12"/>
                <w:sz w:val="20"/>
              </w:rPr>
              <w:t> </w:t>
            </w:r>
            <w:r>
              <w:rPr>
                <w:sz w:val="20"/>
              </w:rPr>
              <w:t>pelos</w:t>
            </w:r>
            <w:r>
              <w:rPr>
                <w:spacing w:val="-10"/>
                <w:sz w:val="20"/>
              </w:rPr>
              <w:t> </w:t>
            </w:r>
            <w:r>
              <w:rPr>
                <w:sz w:val="20"/>
              </w:rPr>
              <w:t>CAU/UF para patrocínios está sendo executado conforme planejado.</w:t>
            </w:r>
          </w:p>
        </w:tc>
        <w:tc>
          <w:tcPr>
            <w:tcW w:w="3128" w:type="dxa"/>
            <w:tcBorders>
              <w:left w:val="single" w:sz="4" w:space="0" w:color="000000"/>
              <w:bottom w:val="nil"/>
              <w:right w:val="nil"/>
            </w:tcBorders>
          </w:tcPr>
          <w:p>
            <w:pPr>
              <w:pStyle w:val="TableParagraph"/>
              <w:spacing w:before="9"/>
              <w:rPr>
                <w:rFonts w:ascii="Calibri Light"/>
                <w:b w:val="0"/>
                <w:sz w:val="29"/>
              </w:rPr>
            </w:pPr>
          </w:p>
          <w:p>
            <w:pPr>
              <w:pStyle w:val="TableParagraph"/>
              <w:ind w:right="26"/>
              <w:jc w:val="center"/>
              <w:rPr>
                <w:sz w:val="20"/>
              </w:rPr>
            </w:pPr>
            <w:r>
              <w:rPr>
                <w:sz w:val="20"/>
              </w:rPr>
              <w:t>valor orçamentário investido</w:t>
            </w:r>
          </w:p>
          <w:p>
            <w:pPr>
              <w:pStyle w:val="TableParagraph"/>
              <w:spacing w:before="1"/>
              <w:ind w:right="18"/>
              <w:jc w:val="center"/>
              <w:rPr>
                <w:sz w:val="20"/>
              </w:rPr>
            </w:pPr>
            <w:r>
              <w:rPr>
                <w:w w:val="99"/>
                <w:sz w:val="20"/>
                <w:u w:val="single"/>
              </w:rPr>
              <w:t> </w:t>
            </w:r>
            <w:r>
              <w:rPr>
                <w:sz w:val="20"/>
                <w:u w:val="single"/>
              </w:rPr>
              <w:t>  (executado) em patrocínios no ano </w:t>
            </w:r>
          </w:p>
        </w:tc>
        <w:tc>
          <w:tcPr>
            <w:tcW w:w="670"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5"/>
              <w:rPr>
                <w:sz w:val="20"/>
              </w:rPr>
            </w:pPr>
            <w:r>
              <w:rPr>
                <w:sz w:val="20"/>
              </w:rPr>
              <w:t>x 100</w:t>
            </w:r>
          </w:p>
        </w:tc>
        <w:tc>
          <w:tcPr>
            <w:tcW w:w="1138"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40"/>
              <w:rPr>
                <w:sz w:val="20"/>
              </w:rPr>
            </w:pPr>
            <w:r>
              <w:rPr>
                <w:sz w:val="20"/>
              </w:rPr>
              <w:t>Anual</w:t>
            </w:r>
          </w:p>
        </w:tc>
        <w:tc>
          <w:tcPr>
            <w:tcW w:w="1277" w:type="dxa"/>
            <w:vMerge w:val="restart"/>
            <w:tcBorders>
              <w:left w:val="single" w:sz="4" w:space="0" w:color="000000"/>
              <w:bottom w:val="single" w:sz="4" w:space="0" w:color="000000"/>
            </w:tcBorders>
          </w:tcPr>
          <w:p>
            <w:pPr>
              <w:pStyle w:val="TableParagraph"/>
              <w:spacing w:before="1"/>
              <w:rPr>
                <w:rFonts w:ascii="Calibri Light"/>
                <w:b w:val="0"/>
                <w:sz w:val="20"/>
              </w:rPr>
            </w:pPr>
          </w:p>
          <w:p>
            <w:pPr>
              <w:pStyle w:val="TableParagraph"/>
              <w:ind w:left="135" w:right="110"/>
              <w:jc w:val="center"/>
              <w:rPr>
                <w:sz w:val="20"/>
              </w:rPr>
            </w:pPr>
            <w:r>
              <w:rPr>
                <w:sz w:val="20"/>
              </w:rPr>
              <w:t>Execução do Plano de Ação e Orçamento do CAU/UF</w:t>
            </w:r>
          </w:p>
        </w:tc>
      </w:tr>
      <w:tr>
        <w:trPr>
          <w:trHeight w:val="84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tcBorders>
              <w:top w:val="nil"/>
              <w:left w:val="single" w:sz="4" w:space="0" w:color="000000"/>
              <w:bottom w:val="single" w:sz="4" w:space="0" w:color="000000"/>
              <w:right w:val="single" w:sz="4" w:space="0" w:color="000000"/>
            </w:tcBorders>
          </w:tcPr>
          <w:p>
            <w:pPr>
              <w:rPr>
                <w:sz w:val="2"/>
                <w:szCs w:val="2"/>
              </w:rPr>
            </w:pPr>
          </w:p>
        </w:tc>
        <w:tc>
          <w:tcPr>
            <w:tcW w:w="4822" w:type="dxa"/>
            <w:vMerge/>
            <w:tcBorders>
              <w:top w:val="nil"/>
              <w:left w:val="single" w:sz="4" w:space="0" w:color="000000"/>
              <w:bottom w:val="single" w:sz="4" w:space="0" w:color="000000"/>
              <w:right w:val="single" w:sz="4" w:space="0" w:color="000000"/>
            </w:tcBorders>
          </w:tcPr>
          <w:p>
            <w:pPr>
              <w:rPr>
                <w:sz w:val="2"/>
                <w:szCs w:val="2"/>
              </w:rPr>
            </w:pPr>
          </w:p>
        </w:tc>
        <w:tc>
          <w:tcPr>
            <w:tcW w:w="3128" w:type="dxa"/>
            <w:tcBorders>
              <w:top w:val="nil"/>
              <w:left w:val="single" w:sz="4" w:space="0" w:color="000000"/>
              <w:bottom w:val="single" w:sz="4" w:space="0" w:color="000000"/>
              <w:right w:val="nil"/>
            </w:tcBorders>
          </w:tcPr>
          <w:p>
            <w:pPr>
              <w:pStyle w:val="TableParagraph"/>
              <w:spacing w:line="200" w:lineRule="exact"/>
              <w:ind w:left="345"/>
              <w:rPr>
                <w:sz w:val="20"/>
              </w:rPr>
            </w:pPr>
            <w:r>
              <w:rPr>
                <w:sz w:val="20"/>
              </w:rPr>
              <w:t>valor orçamentário destinado</w:t>
            </w:r>
          </w:p>
          <w:p>
            <w:pPr>
              <w:pStyle w:val="TableParagraph"/>
              <w:ind w:left="272"/>
              <w:rPr>
                <w:sz w:val="20"/>
              </w:rPr>
            </w:pPr>
            <w:r>
              <w:rPr>
                <w:sz w:val="20"/>
              </w:rPr>
              <w:t>(orçado) em patrocínios no ano</w:t>
            </w:r>
          </w:p>
        </w:tc>
        <w:tc>
          <w:tcPr>
            <w:tcW w:w="670" w:type="dxa"/>
            <w:vMerge/>
            <w:tcBorders>
              <w:top w:val="nil"/>
              <w:left w:val="nil"/>
              <w:bottom w:val="single" w:sz="4" w:space="0" w:color="000000"/>
              <w:right w:val="single" w:sz="4" w:space="0" w:color="000000"/>
            </w:tcBorders>
          </w:tcPr>
          <w:p>
            <w:pPr>
              <w:rPr>
                <w:sz w:val="2"/>
                <w:szCs w:val="2"/>
              </w:rPr>
            </w:pPr>
          </w:p>
        </w:tc>
        <w:tc>
          <w:tcPr>
            <w:tcW w:w="1138" w:type="dxa"/>
            <w:vMerge/>
            <w:tcBorders>
              <w:top w:val="nil"/>
              <w:left w:val="single" w:sz="4" w:space="0" w:color="000000"/>
              <w:bottom w:val="single" w:sz="4" w:space="0" w:color="000000"/>
              <w:right w:val="single" w:sz="4" w:space="0" w:color="000000"/>
            </w:tcBorders>
          </w:tcPr>
          <w:p>
            <w:pPr>
              <w:rPr>
                <w:sz w:val="2"/>
                <w:szCs w:val="2"/>
              </w:rPr>
            </w:pPr>
          </w:p>
        </w:tc>
        <w:tc>
          <w:tcPr>
            <w:tcW w:w="1277" w:type="dxa"/>
            <w:vMerge/>
            <w:tcBorders>
              <w:top w:val="nil"/>
              <w:left w:val="single" w:sz="4" w:space="0" w:color="000000"/>
              <w:bottom w:val="single" w:sz="4" w:space="0" w:color="000000"/>
            </w:tcBorders>
          </w:tcPr>
          <w:p>
            <w:pPr>
              <w:rPr>
                <w:sz w:val="2"/>
                <w:szCs w:val="2"/>
              </w:rPr>
            </w:pPr>
          </w:p>
        </w:tc>
      </w:tr>
      <w:tr>
        <w:trPr>
          <w:trHeight w:val="89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143" w:right="128"/>
              <w:jc w:val="center"/>
              <w:rPr>
                <w:b/>
                <w:sz w:val="20"/>
              </w:rPr>
            </w:pPr>
            <w:r>
              <w:rPr>
                <w:sz w:val="20"/>
              </w:rPr>
              <w:t>Índice de difusão de conhecimento em eventos próprios (%) </w:t>
            </w:r>
            <w:r>
              <w:rPr>
                <w:b/>
                <w:sz w:val="20"/>
              </w:rPr>
              <w:t>(CAU/UF)</w:t>
            </w:r>
          </w:p>
        </w:tc>
        <w:tc>
          <w:tcPr>
            <w:tcW w:w="482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4"/>
              <w:ind w:left="76" w:right="56"/>
              <w:jc w:val="both"/>
              <w:rPr>
                <w:sz w:val="20"/>
              </w:rPr>
            </w:pPr>
            <w:r>
              <w:rPr>
                <w:sz w:val="20"/>
              </w:rPr>
              <w:t>Eventos: palestras, cursos, workshop, seminários, exposições, mostras e outros eventos que disseminem as boas práticas na arquitetura e urbanismo e estimulem o conhecimento e uso de processo criativos. Exemplo: realização 1 de seminário sobre patrimônio histórico/300 participantes.</w:t>
            </w:r>
          </w:p>
        </w:tc>
        <w:tc>
          <w:tcPr>
            <w:tcW w:w="3128" w:type="dxa"/>
            <w:tcBorders>
              <w:top w:val="single" w:sz="4" w:space="0" w:color="000000"/>
              <w:left w:val="single" w:sz="4" w:space="0" w:color="000000"/>
              <w:bottom w:val="nil"/>
              <w:right w:val="nil"/>
            </w:tcBorders>
          </w:tcPr>
          <w:p>
            <w:pPr>
              <w:pStyle w:val="TableParagraph"/>
              <w:spacing w:before="10"/>
              <w:rPr>
                <w:rFonts w:ascii="Calibri Light"/>
                <w:b w:val="0"/>
                <w:sz w:val="29"/>
              </w:rPr>
            </w:pPr>
          </w:p>
          <w:p>
            <w:pPr>
              <w:pStyle w:val="TableParagraph"/>
              <w:spacing w:line="243" w:lineRule="exact"/>
              <w:ind w:right="26"/>
              <w:jc w:val="center"/>
              <w:rPr>
                <w:sz w:val="20"/>
              </w:rPr>
            </w:pPr>
            <w:r>
              <w:rPr>
                <w:sz w:val="20"/>
              </w:rPr>
              <w:t>Quantidade de participantes</w:t>
            </w:r>
          </w:p>
          <w:p>
            <w:pPr>
              <w:pStyle w:val="TableParagraph"/>
              <w:tabs>
                <w:tab w:pos="1142" w:val="left" w:leader="none"/>
                <w:tab w:pos="3089" w:val="left" w:leader="none"/>
              </w:tabs>
              <w:spacing w:line="243" w:lineRule="exact"/>
              <w:ind w:right="18"/>
              <w:jc w:val="center"/>
              <w:rPr>
                <w:sz w:val="20"/>
              </w:rPr>
            </w:pPr>
            <w:r>
              <w:rPr>
                <w:w w:val="99"/>
                <w:sz w:val="20"/>
                <w:u w:val="single"/>
              </w:rPr>
              <w:t> </w:t>
            </w:r>
            <w:r>
              <w:rPr>
                <w:sz w:val="20"/>
                <w:u w:val="single"/>
              </w:rPr>
              <w:tab/>
              <w:t>presentes</w:t>
              <w:tab/>
            </w:r>
          </w:p>
        </w:tc>
        <w:tc>
          <w:tcPr>
            <w:tcW w:w="670"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45"/>
              <w:rPr>
                <w:sz w:val="20"/>
              </w:rPr>
            </w:pPr>
            <w:r>
              <w:rPr>
                <w:sz w:val="20"/>
              </w:rPr>
              <w:t>x 100</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172"/>
              <w:rPr>
                <w:sz w:val="20"/>
              </w:rPr>
            </w:pPr>
            <w:r>
              <w:rPr>
                <w:sz w:val="20"/>
              </w:rPr>
              <w:t>Semestral</w:t>
            </w:r>
          </w:p>
        </w:tc>
        <w:tc>
          <w:tcPr>
            <w:tcW w:w="1277"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344"/>
              <w:rPr>
                <w:sz w:val="20"/>
              </w:rPr>
            </w:pPr>
            <w:r>
              <w:rPr>
                <w:sz w:val="20"/>
              </w:rPr>
              <w:t>SICCAU</w:t>
            </w:r>
          </w:p>
        </w:tc>
      </w:tr>
      <w:tr>
        <w:trPr>
          <w:trHeight w:val="84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tcBorders>
              <w:top w:val="nil"/>
              <w:left w:val="single" w:sz="4" w:space="0" w:color="000000"/>
              <w:bottom w:val="single" w:sz="4" w:space="0" w:color="000000"/>
              <w:right w:val="single" w:sz="4" w:space="0" w:color="000000"/>
            </w:tcBorders>
          </w:tcPr>
          <w:p>
            <w:pPr>
              <w:rPr>
                <w:sz w:val="2"/>
                <w:szCs w:val="2"/>
              </w:rPr>
            </w:pPr>
          </w:p>
        </w:tc>
        <w:tc>
          <w:tcPr>
            <w:tcW w:w="4822" w:type="dxa"/>
            <w:vMerge/>
            <w:tcBorders>
              <w:top w:val="nil"/>
              <w:left w:val="single" w:sz="4" w:space="0" w:color="000000"/>
              <w:bottom w:val="single" w:sz="4" w:space="0" w:color="000000"/>
              <w:right w:val="single" w:sz="4" w:space="0" w:color="000000"/>
            </w:tcBorders>
          </w:tcPr>
          <w:p>
            <w:pPr>
              <w:rPr>
                <w:sz w:val="2"/>
                <w:szCs w:val="2"/>
              </w:rPr>
            </w:pPr>
          </w:p>
        </w:tc>
        <w:tc>
          <w:tcPr>
            <w:tcW w:w="3128" w:type="dxa"/>
            <w:tcBorders>
              <w:top w:val="nil"/>
              <w:left w:val="single" w:sz="4" w:space="0" w:color="000000"/>
              <w:bottom w:val="single" w:sz="4" w:space="0" w:color="000000"/>
              <w:right w:val="nil"/>
            </w:tcBorders>
          </w:tcPr>
          <w:p>
            <w:pPr>
              <w:pStyle w:val="TableParagraph"/>
              <w:spacing w:line="200" w:lineRule="exact"/>
              <w:ind w:left="402"/>
              <w:rPr>
                <w:sz w:val="20"/>
              </w:rPr>
            </w:pPr>
            <w:r>
              <w:rPr>
                <w:sz w:val="20"/>
              </w:rPr>
              <w:t>quantidade de participantes</w:t>
            </w:r>
          </w:p>
          <w:p>
            <w:pPr>
              <w:pStyle w:val="TableParagraph"/>
              <w:ind w:left="1154" w:right="463" w:hanging="697"/>
              <w:rPr>
                <w:sz w:val="20"/>
              </w:rPr>
            </w:pPr>
            <w:r>
              <w:rPr>
                <w:sz w:val="20"/>
              </w:rPr>
              <w:t>previstas no Plano de Ação Aprovado</w:t>
            </w:r>
          </w:p>
        </w:tc>
        <w:tc>
          <w:tcPr>
            <w:tcW w:w="670" w:type="dxa"/>
            <w:vMerge/>
            <w:tcBorders>
              <w:top w:val="nil"/>
              <w:left w:val="nil"/>
              <w:bottom w:val="single" w:sz="4" w:space="0" w:color="000000"/>
              <w:right w:val="single" w:sz="4" w:space="0" w:color="000000"/>
            </w:tcBorders>
          </w:tcPr>
          <w:p>
            <w:pPr>
              <w:rPr>
                <w:sz w:val="2"/>
                <w:szCs w:val="2"/>
              </w:rPr>
            </w:pPr>
          </w:p>
        </w:tc>
        <w:tc>
          <w:tcPr>
            <w:tcW w:w="1138" w:type="dxa"/>
            <w:vMerge/>
            <w:tcBorders>
              <w:top w:val="nil"/>
              <w:left w:val="single" w:sz="4" w:space="0" w:color="000000"/>
              <w:bottom w:val="single" w:sz="4" w:space="0" w:color="000000"/>
              <w:right w:val="single" w:sz="4" w:space="0" w:color="000000"/>
            </w:tcBorders>
          </w:tcPr>
          <w:p>
            <w:pPr>
              <w:rPr>
                <w:sz w:val="2"/>
                <w:szCs w:val="2"/>
              </w:rPr>
            </w:pPr>
          </w:p>
        </w:tc>
        <w:tc>
          <w:tcPr>
            <w:tcW w:w="1277" w:type="dxa"/>
            <w:vMerge/>
            <w:tcBorders>
              <w:top w:val="nil"/>
              <w:left w:val="single" w:sz="4" w:space="0" w:color="000000"/>
              <w:bottom w:val="single" w:sz="4" w:space="0" w:color="000000"/>
            </w:tcBorders>
          </w:tcPr>
          <w:p>
            <w:pPr>
              <w:rPr>
                <w:sz w:val="2"/>
                <w:szCs w:val="2"/>
              </w:rPr>
            </w:pPr>
          </w:p>
        </w:tc>
      </w:tr>
      <w:tr>
        <w:trPr>
          <w:trHeight w:val="823"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rFonts w:ascii="Calibri Light"/>
                <w:b w:val="0"/>
                <w:sz w:val="25"/>
              </w:rPr>
            </w:pPr>
          </w:p>
          <w:p>
            <w:pPr>
              <w:pStyle w:val="TableParagraph"/>
              <w:ind w:left="55" w:right="38"/>
              <w:jc w:val="center"/>
              <w:rPr>
                <w:b/>
                <w:sz w:val="20"/>
              </w:rPr>
            </w:pPr>
            <w:r>
              <w:rPr>
                <w:sz w:val="20"/>
              </w:rPr>
              <w:t>Índice de eficiência de custos de eventos próprios </w:t>
            </w:r>
            <w:r>
              <w:rPr>
                <w:b/>
                <w:sz w:val="20"/>
              </w:rPr>
              <w:t>(CAU/UF)</w:t>
            </w:r>
          </w:p>
        </w:tc>
        <w:tc>
          <w:tcPr>
            <w:tcW w:w="482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
              <w:rPr>
                <w:rFonts w:ascii="Calibri Light"/>
                <w:b w:val="0"/>
                <w:sz w:val="15"/>
              </w:rPr>
            </w:pPr>
          </w:p>
          <w:p>
            <w:pPr>
              <w:pStyle w:val="TableParagraph"/>
              <w:spacing w:before="1"/>
              <w:ind w:left="76" w:right="57"/>
              <w:jc w:val="both"/>
              <w:rPr>
                <w:sz w:val="20"/>
              </w:rPr>
            </w:pPr>
            <w:r>
              <w:rPr>
                <w:sz w:val="20"/>
              </w:rPr>
              <w:t>Este</w:t>
            </w:r>
            <w:r>
              <w:rPr>
                <w:spacing w:val="-14"/>
                <w:sz w:val="20"/>
              </w:rPr>
              <w:t> </w:t>
            </w:r>
            <w:r>
              <w:rPr>
                <w:sz w:val="20"/>
              </w:rPr>
              <w:t>indicador</w:t>
            </w:r>
            <w:r>
              <w:rPr>
                <w:spacing w:val="-15"/>
                <w:sz w:val="20"/>
              </w:rPr>
              <w:t> </w:t>
            </w:r>
            <w:r>
              <w:rPr>
                <w:sz w:val="20"/>
              </w:rPr>
              <w:t>deve</w:t>
            </w:r>
            <w:r>
              <w:rPr>
                <w:spacing w:val="-13"/>
                <w:sz w:val="20"/>
              </w:rPr>
              <w:t> </w:t>
            </w:r>
            <w:r>
              <w:rPr>
                <w:sz w:val="20"/>
              </w:rPr>
              <w:t>ser</w:t>
            </w:r>
            <w:r>
              <w:rPr>
                <w:spacing w:val="-14"/>
                <w:sz w:val="20"/>
              </w:rPr>
              <w:t> </w:t>
            </w:r>
            <w:r>
              <w:rPr>
                <w:sz w:val="20"/>
              </w:rPr>
              <w:t>acompanhado</w:t>
            </w:r>
            <w:r>
              <w:rPr>
                <w:spacing w:val="-12"/>
                <w:sz w:val="20"/>
              </w:rPr>
              <w:t> </w:t>
            </w:r>
            <w:r>
              <w:rPr>
                <w:sz w:val="20"/>
              </w:rPr>
              <w:t>comparativamente, em relação ao próprio CAU, e seu desempenho em eventos</w:t>
            </w:r>
            <w:r>
              <w:rPr>
                <w:spacing w:val="1"/>
                <w:sz w:val="20"/>
              </w:rPr>
              <w:t> </w:t>
            </w:r>
            <w:r>
              <w:rPr>
                <w:sz w:val="20"/>
              </w:rPr>
              <w:t>anteriores.</w:t>
            </w:r>
          </w:p>
        </w:tc>
        <w:tc>
          <w:tcPr>
            <w:tcW w:w="379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1"/>
              <w:rPr>
                <w:rFonts w:ascii="Calibri Light"/>
                <w:b w:val="0"/>
                <w:sz w:val="25"/>
              </w:rPr>
            </w:pPr>
          </w:p>
          <w:p>
            <w:pPr>
              <w:pStyle w:val="TableParagraph"/>
              <w:spacing w:line="242" w:lineRule="exact"/>
              <w:ind w:left="880"/>
              <w:rPr>
                <w:sz w:val="20"/>
              </w:rPr>
            </w:pPr>
            <w:r>
              <w:rPr>
                <w:sz w:val="20"/>
              </w:rPr>
              <w:t>custos totais dos eventos</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2"/>
              <w:rPr>
                <w:rFonts w:ascii="Calibri Light"/>
                <w:b w:val="0"/>
                <w:sz w:val="15"/>
              </w:rPr>
            </w:pPr>
          </w:p>
          <w:p>
            <w:pPr>
              <w:pStyle w:val="TableParagraph"/>
              <w:ind w:left="172"/>
              <w:rPr>
                <w:sz w:val="20"/>
              </w:rPr>
            </w:pPr>
            <w:r>
              <w:rPr>
                <w:sz w:val="20"/>
              </w:rPr>
              <w:t>Semestral</w:t>
            </w:r>
          </w:p>
        </w:tc>
        <w:tc>
          <w:tcPr>
            <w:tcW w:w="1277"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2"/>
              <w:rPr>
                <w:rFonts w:ascii="Calibri Light"/>
                <w:b w:val="0"/>
                <w:sz w:val="15"/>
              </w:rPr>
            </w:pPr>
          </w:p>
          <w:p>
            <w:pPr>
              <w:pStyle w:val="TableParagraph"/>
              <w:ind w:left="344"/>
              <w:rPr>
                <w:sz w:val="20"/>
              </w:rPr>
            </w:pPr>
            <w:r>
              <w:rPr>
                <w:sz w:val="20"/>
              </w:rPr>
              <w:t>SICCAU</w:t>
            </w:r>
          </w:p>
        </w:tc>
      </w:tr>
      <w:tr>
        <w:trPr>
          <w:trHeight w:val="793"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tcBorders>
              <w:top w:val="nil"/>
              <w:left w:val="single" w:sz="4" w:space="0" w:color="000000"/>
              <w:bottom w:val="single" w:sz="4" w:space="0" w:color="000000"/>
              <w:right w:val="single" w:sz="4" w:space="0" w:color="000000"/>
            </w:tcBorders>
          </w:tcPr>
          <w:p>
            <w:pPr>
              <w:rPr>
                <w:sz w:val="2"/>
                <w:szCs w:val="2"/>
              </w:rPr>
            </w:pPr>
          </w:p>
        </w:tc>
        <w:tc>
          <w:tcPr>
            <w:tcW w:w="4822" w:type="dxa"/>
            <w:vMerge/>
            <w:tcBorders>
              <w:top w:val="nil"/>
              <w:left w:val="single" w:sz="4" w:space="0" w:color="000000"/>
              <w:bottom w:val="single" w:sz="4" w:space="0" w:color="000000"/>
              <w:right w:val="single" w:sz="4" w:space="0" w:color="000000"/>
            </w:tcBorders>
          </w:tcPr>
          <w:p>
            <w:pPr>
              <w:rPr>
                <w:sz w:val="2"/>
                <w:szCs w:val="2"/>
              </w:rPr>
            </w:pPr>
          </w:p>
        </w:tc>
        <w:tc>
          <w:tcPr>
            <w:tcW w:w="379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337"/>
              <w:rPr>
                <w:sz w:val="20"/>
              </w:rPr>
            </w:pPr>
            <w:r>
              <w:rPr>
                <w:sz w:val="20"/>
              </w:rPr>
              <w:t>quantidade de participantes presentes</w:t>
            </w:r>
          </w:p>
        </w:tc>
        <w:tc>
          <w:tcPr>
            <w:tcW w:w="1138" w:type="dxa"/>
            <w:vMerge/>
            <w:tcBorders>
              <w:top w:val="nil"/>
              <w:left w:val="single" w:sz="4" w:space="0" w:color="000000"/>
              <w:bottom w:val="single" w:sz="4" w:space="0" w:color="000000"/>
              <w:right w:val="single" w:sz="4" w:space="0" w:color="000000"/>
            </w:tcBorders>
          </w:tcPr>
          <w:p>
            <w:pPr>
              <w:rPr>
                <w:sz w:val="2"/>
                <w:szCs w:val="2"/>
              </w:rPr>
            </w:pPr>
          </w:p>
        </w:tc>
        <w:tc>
          <w:tcPr>
            <w:tcW w:w="1277" w:type="dxa"/>
            <w:vMerge/>
            <w:tcBorders>
              <w:top w:val="nil"/>
              <w:left w:val="single" w:sz="4" w:space="0" w:color="000000"/>
              <w:bottom w:val="single" w:sz="4" w:space="0" w:color="000000"/>
            </w:tcBorders>
          </w:tcPr>
          <w:p>
            <w:pPr>
              <w:rPr>
                <w:sz w:val="2"/>
                <w:szCs w:val="2"/>
              </w:rPr>
            </w:pPr>
          </w:p>
        </w:tc>
      </w:tr>
      <w:tr>
        <w:trPr>
          <w:trHeight w:val="89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143" w:right="127"/>
              <w:jc w:val="center"/>
              <w:rPr>
                <w:b/>
                <w:sz w:val="20"/>
              </w:rPr>
            </w:pPr>
            <w:r>
              <w:rPr>
                <w:sz w:val="20"/>
              </w:rPr>
              <w:t>Índice de alcance das melhores práticas (%) </w:t>
            </w:r>
            <w:r>
              <w:rPr>
                <w:b/>
                <w:sz w:val="20"/>
              </w:rPr>
              <w:t>(CAU/UF)</w:t>
            </w:r>
          </w:p>
        </w:tc>
        <w:tc>
          <w:tcPr>
            <w:tcW w:w="482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3"/>
              <w:ind w:left="76" w:right="55"/>
              <w:jc w:val="both"/>
              <w:rPr>
                <w:sz w:val="20"/>
              </w:rPr>
            </w:pPr>
            <w:r>
              <w:rPr>
                <w:sz w:val="20"/>
              </w:rPr>
              <w:t>Folders, cartilhas, livretos, material impresso e campanhas com conteúdo sobre as melhores práticas na arquitetura</w:t>
            </w:r>
            <w:r>
              <w:rPr>
                <w:spacing w:val="-11"/>
                <w:sz w:val="20"/>
              </w:rPr>
              <w:t> </w:t>
            </w:r>
            <w:r>
              <w:rPr>
                <w:sz w:val="20"/>
              </w:rPr>
              <w:t>e</w:t>
            </w:r>
            <w:r>
              <w:rPr>
                <w:spacing w:val="-12"/>
                <w:sz w:val="20"/>
              </w:rPr>
              <w:t> </w:t>
            </w:r>
            <w:r>
              <w:rPr>
                <w:sz w:val="20"/>
              </w:rPr>
              <w:t>urbanismo</w:t>
            </w:r>
            <w:r>
              <w:rPr>
                <w:spacing w:val="-11"/>
                <w:sz w:val="20"/>
              </w:rPr>
              <w:t> </w:t>
            </w:r>
            <w:r>
              <w:rPr>
                <w:sz w:val="20"/>
              </w:rPr>
              <w:t>ou</w:t>
            </w:r>
            <w:r>
              <w:rPr>
                <w:spacing w:val="-11"/>
                <w:sz w:val="20"/>
              </w:rPr>
              <w:t> </w:t>
            </w:r>
            <w:r>
              <w:rPr>
                <w:sz w:val="20"/>
              </w:rPr>
              <w:t>material</w:t>
            </w:r>
            <w:r>
              <w:rPr>
                <w:spacing w:val="-11"/>
                <w:sz w:val="20"/>
              </w:rPr>
              <w:t> </w:t>
            </w:r>
            <w:r>
              <w:rPr>
                <w:sz w:val="20"/>
              </w:rPr>
              <w:t>técnico</w:t>
            </w:r>
            <w:r>
              <w:rPr>
                <w:spacing w:val="-11"/>
                <w:sz w:val="20"/>
              </w:rPr>
              <w:t> </w:t>
            </w:r>
            <w:r>
              <w:rPr>
                <w:sz w:val="20"/>
              </w:rPr>
              <w:t>relevante</w:t>
            </w:r>
            <w:r>
              <w:rPr>
                <w:spacing w:val="-11"/>
                <w:sz w:val="20"/>
              </w:rPr>
              <w:t> </w:t>
            </w:r>
            <w:r>
              <w:rPr>
                <w:sz w:val="20"/>
              </w:rPr>
              <w:t>aos profissionais e sociedade. Exemplo: produção de 1000 cartilhas sobre planejamento urbano/distribuição de 600 cartilhas em eventos do</w:t>
            </w:r>
            <w:r>
              <w:rPr>
                <w:spacing w:val="-3"/>
                <w:sz w:val="20"/>
              </w:rPr>
              <w:t> </w:t>
            </w:r>
            <w:r>
              <w:rPr>
                <w:sz w:val="20"/>
              </w:rPr>
              <w:t>CAU.</w:t>
            </w:r>
          </w:p>
        </w:tc>
        <w:tc>
          <w:tcPr>
            <w:tcW w:w="3128" w:type="dxa"/>
            <w:tcBorders>
              <w:top w:val="single" w:sz="4" w:space="0" w:color="000000"/>
              <w:left w:val="single" w:sz="4" w:space="0" w:color="000000"/>
              <w:bottom w:val="nil"/>
              <w:right w:val="nil"/>
            </w:tcBorders>
          </w:tcPr>
          <w:p>
            <w:pPr>
              <w:pStyle w:val="TableParagraph"/>
              <w:spacing w:before="9"/>
              <w:rPr>
                <w:rFonts w:ascii="Calibri Light"/>
                <w:b w:val="0"/>
                <w:sz w:val="29"/>
              </w:rPr>
            </w:pPr>
          </w:p>
          <w:p>
            <w:pPr>
              <w:pStyle w:val="TableParagraph"/>
              <w:spacing w:line="243" w:lineRule="exact"/>
              <w:ind w:right="25"/>
              <w:jc w:val="center"/>
              <w:rPr>
                <w:sz w:val="20"/>
              </w:rPr>
            </w:pPr>
            <w:r>
              <w:rPr>
                <w:sz w:val="20"/>
              </w:rPr>
              <w:t>número de pessoas atingida pelo</w:t>
            </w:r>
          </w:p>
          <w:p>
            <w:pPr>
              <w:pStyle w:val="TableParagraph"/>
              <w:tabs>
                <w:tab w:pos="3089" w:val="left" w:leader="none"/>
              </w:tabs>
              <w:spacing w:line="243" w:lineRule="exact"/>
              <w:ind w:right="18"/>
              <w:jc w:val="center"/>
              <w:rPr>
                <w:sz w:val="20"/>
              </w:rPr>
            </w:pPr>
            <w:r>
              <w:rPr>
                <w:w w:val="99"/>
                <w:sz w:val="20"/>
                <w:u w:val="single"/>
              </w:rPr>
              <w:t> </w:t>
            </w:r>
            <w:r>
              <w:rPr>
                <w:sz w:val="20"/>
                <w:u w:val="single"/>
              </w:rPr>
              <w:t>   </w:t>
            </w:r>
            <w:r>
              <w:rPr>
                <w:spacing w:val="6"/>
                <w:sz w:val="20"/>
                <w:u w:val="single"/>
              </w:rPr>
              <w:t> </w:t>
            </w:r>
            <w:r>
              <w:rPr>
                <w:sz w:val="20"/>
                <w:u w:val="single"/>
              </w:rPr>
              <w:t>material produzido e</w:t>
            </w:r>
            <w:r>
              <w:rPr>
                <w:spacing w:val="-9"/>
                <w:sz w:val="20"/>
                <w:u w:val="single"/>
              </w:rPr>
              <w:t> </w:t>
            </w:r>
            <w:r>
              <w:rPr>
                <w:sz w:val="20"/>
                <w:u w:val="single"/>
              </w:rPr>
              <w:t>distribuído</w:t>
              <w:tab/>
            </w:r>
          </w:p>
        </w:tc>
        <w:tc>
          <w:tcPr>
            <w:tcW w:w="670"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
              <w:ind w:left="45"/>
              <w:rPr>
                <w:sz w:val="20"/>
              </w:rPr>
            </w:pPr>
            <w:r>
              <w:rPr>
                <w:sz w:val="20"/>
              </w:rPr>
              <w:t>x 100</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
              <w:ind w:left="172"/>
              <w:rPr>
                <w:sz w:val="20"/>
              </w:rPr>
            </w:pPr>
            <w:r>
              <w:rPr>
                <w:sz w:val="20"/>
              </w:rPr>
              <w:t>Semestral</w:t>
            </w:r>
          </w:p>
        </w:tc>
        <w:tc>
          <w:tcPr>
            <w:tcW w:w="1277"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
              <w:ind w:left="344"/>
              <w:rPr>
                <w:sz w:val="20"/>
              </w:rPr>
            </w:pPr>
            <w:r>
              <w:rPr>
                <w:sz w:val="20"/>
              </w:rPr>
              <w:t>SICCAU</w:t>
            </w:r>
          </w:p>
        </w:tc>
      </w:tr>
      <w:tr>
        <w:trPr>
          <w:trHeight w:val="844" w:hRule="atLeast"/>
        </w:trPr>
        <w:tc>
          <w:tcPr>
            <w:tcW w:w="1412" w:type="dxa"/>
            <w:vMerge/>
            <w:tcBorders>
              <w:top w:val="nil"/>
              <w:bottom w:val="single" w:sz="4" w:space="0" w:color="000000"/>
              <w:right w:val="single" w:sz="4" w:space="0" w:color="000000"/>
            </w:tcBorders>
          </w:tcPr>
          <w:p>
            <w:pPr>
              <w:rPr>
                <w:sz w:val="2"/>
                <w:szCs w:val="2"/>
              </w:rPr>
            </w:pPr>
          </w:p>
        </w:tc>
        <w:tc>
          <w:tcPr>
            <w:tcW w:w="1569" w:type="dxa"/>
            <w:vMerge/>
            <w:tcBorders>
              <w:top w:val="nil"/>
              <w:left w:val="single" w:sz="4" w:space="0" w:color="000000"/>
              <w:bottom w:val="single" w:sz="4" w:space="0" w:color="000000"/>
              <w:right w:val="single" w:sz="4" w:space="0" w:color="000000"/>
            </w:tcBorders>
          </w:tcPr>
          <w:p>
            <w:pPr>
              <w:rPr>
                <w:sz w:val="2"/>
                <w:szCs w:val="2"/>
              </w:rPr>
            </w:pPr>
          </w:p>
        </w:tc>
        <w:tc>
          <w:tcPr>
            <w:tcW w:w="1698" w:type="dxa"/>
            <w:vMerge/>
            <w:tcBorders>
              <w:top w:val="nil"/>
              <w:left w:val="single" w:sz="4" w:space="0" w:color="000000"/>
              <w:bottom w:val="single" w:sz="4" w:space="0" w:color="000000"/>
              <w:right w:val="single" w:sz="4" w:space="0" w:color="000000"/>
            </w:tcBorders>
          </w:tcPr>
          <w:p>
            <w:pPr>
              <w:rPr>
                <w:sz w:val="2"/>
                <w:szCs w:val="2"/>
              </w:rPr>
            </w:pPr>
          </w:p>
        </w:tc>
        <w:tc>
          <w:tcPr>
            <w:tcW w:w="4822" w:type="dxa"/>
            <w:vMerge/>
            <w:tcBorders>
              <w:top w:val="nil"/>
              <w:left w:val="single" w:sz="4" w:space="0" w:color="000000"/>
              <w:bottom w:val="single" w:sz="4" w:space="0" w:color="000000"/>
              <w:right w:val="single" w:sz="4" w:space="0" w:color="000000"/>
            </w:tcBorders>
          </w:tcPr>
          <w:p>
            <w:pPr>
              <w:rPr>
                <w:sz w:val="2"/>
                <w:szCs w:val="2"/>
              </w:rPr>
            </w:pPr>
          </w:p>
        </w:tc>
        <w:tc>
          <w:tcPr>
            <w:tcW w:w="3128" w:type="dxa"/>
            <w:tcBorders>
              <w:top w:val="nil"/>
              <w:left w:val="single" w:sz="4" w:space="0" w:color="000000"/>
              <w:bottom w:val="single" w:sz="4" w:space="0" w:color="000000"/>
              <w:right w:val="nil"/>
            </w:tcBorders>
          </w:tcPr>
          <w:p>
            <w:pPr>
              <w:pStyle w:val="TableParagraph"/>
              <w:spacing w:line="200" w:lineRule="exact"/>
              <w:ind w:right="26"/>
              <w:jc w:val="center"/>
              <w:rPr>
                <w:sz w:val="20"/>
              </w:rPr>
            </w:pPr>
            <w:r>
              <w:rPr>
                <w:sz w:val="20"/>
              </w:rPr>
              <w:t>quantidade de material informativo</w:t>
            </w:r>
          </w:p>
          <w:p>
            <w:pPr>
              <w:pStyle w:val="TableParagraph"/>
              <w:ind w:right="19"/>
              <w:jc w:val="center"/>
              <w:rPr>
                <w:sz w:val="20"/>
              </w:rPr>
            </w:pPr>
            <w:r>
              <w:rPr>
                <w:sz w:val="20"/>
              </w:rPr>
              <w:t>produzido</w:t>
            </w:r>
          </w:p>
        </w:tc>
        <w:tc>
          <w:tcPr>
            <w:tcW w:w="670" w:type="dxa"/>
            <w:vMerge/>
            <w:tcBorders>
              <w:top w:val="nil"/>
              <w:left w:val="nil"/>
              <w:bottom w:val="single" w:sz="4" w:space="0" w:color="000000"/>
              <w:right w:val="single" w:sz="4" w:space="0" w:color="000000"/>
            </w:tcBorders>
          </w:tcPr>
          <w:p>
            <w:pPr>
              <w:rPr>
                <w:sz w:val="2"/>
                <w:szCs w:val="2"/>
              </w:rPr>
            </w:pPr>
          </w:p>
        </w:tc>
        <w:tc>
          <w:tcPr>
            <w:tcW w:w="1138" w:type="dxa"/>
            <w:vMerge/>
            <w:tcBorders>
              <w:top w:val="nil"/>
              <w:left w:val="single" w:sz="4" w:space="0" w:color="000000"/>
              <w:bottom w:val="single" w:sz="4" w:space="0" w:color="000000"/>
              <w:right w:val="single" w:sz="4" w:space="0" w:color="000000"/>
            </w:tcBorders>
          </w:tcPr>
          <w:p>
            <w:pPr>
              <w:rPr>
                <w:sz w:val="2"/>
                <w:szCs w:val="2"/>
              </w:rPr>
            </w:pPr>
          </w:p>
        </w:tc>
        <w:tc>
          <w:tcPr>
            <w:tcW w:w="1277"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31"/>
          <w:footerReference w:type="default" r:id="rId32"/>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8"/>
        <w:gridCol w:w="1456"/>
        <w:gridCol w:w="1617"/>
        <w:gridCol w:w="3738"/>
        <w:gridCol w:w="4859"/>
        <w:gridCol w:w="1251"/>
        <w:gridCol w:w="1285"/>
      </w:tblGrid>
      <w:tr>
        <w:trPr>
          <w:trHeight w:val="1574" w:hRule="atLeast"/>
        </w:trPr>
        <w:tc>
          <w:tcPr>
            <w:tcW w:w="1368"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7" w:right="79"/>
              <w:jc w:val="center"/>
              <w:rPr>
                <w:b/>
                <w:sz w:val="20"/>
              </w:rPr>
            </w:pPr>
            <w:r>
              <w:rPr>
                <w:b/>
                <w:color w:val="FFFFFF"/>
                <w:sz w:val="20"/>
              </w:rPr>
              <w:t>Perspectiva</w:t>
            </w:r>
          </w:p>
        </w:tc>
        <w:tc>
          <w:tcPr>
            <w:tcW w:w="145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71" w:firstLine="105"/>
              <w:rPr>
                <w:b/>
                <w:sz w:val="20"/>
              </w:rPr>
            </w:pPr>
            <w:r>
              <w:rPr>
                <w:b/>
                <w:color w:val="FFFFFF"/>
                <w:sz w:val="20"/>
              </w:rPr>
              <w:t>Objetivo </w:t>
            </w:r>
            <w:r>
              <w:rPr>
                <w:b/>
                <w:color w:val="FFFFFF"/>
                <w:w w:val="95"/>
                <w:sz w:val="20"/>
              </w:rPr>
              <w:t>Estratégico</w:t>
            </w:r>
          </w:p>
        </w:tc>
        <w:tc>
          <w:tcPr>
            <w:tcW w:w="161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2" w:right="58"/>
              <w:jc w:val="center"/>
              <w:rPr>
                <w:b/>
                <w:sz w:val="20"/>
              </w:rPr>
            </w:pPr>
            <w:r>
              <w:rPr>
                <w:b/>
                <w:color w:val="FFFFFF"/>
                <w:sz w:val="20"/>
              </w:rPr>
              <w:t>Indicador</w:t>
            </w:r>
          </w:p>
        </w:tc>
        <w:tc>
          <w:tcPr>
            <w:tcW w:w="3738"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456" w:right="1430"/>
              <w:jc w:val="center"/>
              <w:rPr>
                <w:b/>
                <w:sz w:val="20"/>
              </w:rPr>
            </w:pPr>
            <w:r>
              <w:rPr>
                <w:b/>
                <w:color w:val="FFFFFF"/>
                <w:sz w:val="20"/>
              </w:rPr>
              <w:t>Descrição</w:t>
            </w:r>
          </w:p>
        </w:tc>
        <w:tc>
          <w:tcPr>
            <w:tcW w:w="485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520" w:right="491"/>
              <w:jc w:val="center"/>
              <w:rPr>
                <w:b/>
                <w:sz w:val="20"/>
              </w:rPr>
            </w:pPr>
            <w:r>
              <w:rPr>
                <w:b/>
                <w:color w:val="FFFFFF"/>
                <w:sz w:val="20"/>
              </w:rPr>
              <w:t>Fórmula de Cálculo</w:t>
            </w:r>
          </w:p>
        </w:tc>
        <w:tc>
          <w:tcPr>
            <w:tcW w:w="125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49" w:right="96" w:firstLine="28"/>
              <w:rPr>
                <w:b/>
                <w:sz w:val="20"/>
              </w:rPr>
            </w:pPr>
            <w:r>
              <w:rPr>
                <w:b/>
                <w:color w:val="FFFFFF"/>
                <w:sz w:val="20"/>
              </w:rPr>
              <w:t>Frequência de Medição</w:t>
            </w:r>
          </w:p>
        </w:tc>
        <w:tc>
          <w:tcPr>
            <w:tcW w:w="1285"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62" w:firstLine="24"/>
              <w:rPr>
                <w:b/>
                <w:sz w:val="20"/>
              </w:rPr>
            </w:pPr>
            <w:r>
              <w:rPr>
                <w:b/>
                <w:color w:val="FFFFFF"/>
                <w:sz w:val="20"/>
              </w:rPr>
              <w:t>Fonte do </w:t>
            </w:r>
            <w:r>
              <w:rPr>
                <w:b/>
                <w:color w:val="FFFFFF"/>
                <w:w w:val="95"/>
                <w:sz w:val="20"/>
              </w:rPr>
              <w:t>Indicador</w:t>
            </w:r>
          </w:p>
        </w:tc>
      </w:tr>
      <w:tr>
        <w:trPr>
          <w:trHeight w:val="376" w:hRule="atLeast"/>
        </w:trPr>
        <w:tc>
          <w:tcPr>
            <w:tcW w:w="1368" w:type="dxa"/>
            <w:tcBorders>
              <w:bottom w:val="nil"/>
              <w:right w:val="single" w:sz="4" w:space="0" w:color="000000"/>
            </w:tcBorders>
          </w:tcPr>
          <w:p>
            <w:pPr>
              <w:pStyle w:val="TableParagraph"/>
              <w:rPr>
                <w:rFonts w:ascii="Times New Roman"/>
                <w:sz w:val="20"/>
              </w:rPr>
            </w:pPr>
          </w:p>
        </w:tc>
        <w:tc>
          <w:tcPr>
            <w:tcW w:w="1456" w:type="dxa"/>
            <w:tcBorders>
              <w:left w:val="single" w:sz="4" w:space="0" w:color="000000"/>
              <w:bottom w:val="nil"/>
              <w:right w:val="single" w:sz="4" w:space="0" w:color="000000"/>
            </w:tcBorders>
          </w:tcPr>
          <w:p>
            <w:pPr>
              <w:pStyle w:val="TableParagraph"/>
              <w:spacing w:before="94"/>
              <w:ind w:left="50" w:right="33"/>
              <w:jc w:val="center"/>
              <w:rPr>
                <w:sz w:val="20"/>
              </w:rPr>
            </w:pPr>
            <w:r>
              <w:rPr>
                <w:sz w:val="20"/>
              </w:rPr>
              <w:t>Garantir a</w:t>
            </w:r>
          </w:p>
        </w:tc>
        <w:tc>
          <w:tcPr>
            <w:tcW w:w="1617" w:type="dxa"/>
            <w:tcBorders>
              <w:left w:val="single" w:sz="4" w:space="0" w:color="000000"/>
              <w:bottom w:val="nil"/>
              <w:right w:val="single" w:sz="4" w:space="0" w:color="000000"/>
            </w:tcBorders>
          </w:tcPr>
          <w:p>
            <w:pPr>
              <w:pStyle w:val="TableParagraph"/>
              <w:spacing w:before="94"/>
              <w:ind w:left="82" w:right="58"/>
              <w:jc w:val="center"/>
              <w:rPr>
                <w:sz w:val="20"/>
              </w:rPr>
            </w:pPr>
            <w:r>
              <w:rPr>
                <w:sz w:val="20"/>
              </w:rPr>
              <w:t>Ações realizadas</w:t>
            </w:r>
          </w:p>
        </w:tc>
        <w:tc>
          <w:tcPr>
            <w:tcW w:w="3738" w:type="dxa"/>
            <w:tcBorders>
              <w:left w:val="single" w:sz="4" w:space="0" w:color="000000"/>
              <w:bottom w:val="nil"/>
              <w:right w:val="single" w:sz="4" w:space="0" w:color="000000"/>
            </w:tcBorders>
          </w:tcPr>
          <w:p>
            <w:pPr>
              <w:pStyle w:val="TableParagraph"/>
              <w:rPr>
                <w:rFonts w:ascii="Times New Roman"/>
                <w:sz w:val="20"/>
              </w:rPr>
            </w:pPr>
          </w:p>
        </w:tc>
        <w:tc>
          <w:tcPr>
            <w:tcW w:w="4859" w:type="dxa"/>
            <w:tcBorders>
              <w:left w:val="single" w:sz="4" w:space="0" w:color="000000"/>
              <w:bottom w:val="nil"/>
              <w:right w:val="single" w:sz="4" w:space="0" w:color="000000"/>
            </w:tcBorders>
          </w:tcPr>
          <w:p>
            <w:pPr>
              <w:pStyle w:val="TableParagraph"/>
              <w:rPr>
                <w:rFonts w:ascii="Times New Roman"/>
                <w:sz w:val="20"/>
              </w:rPr>
            </w:pPr>
          </w:p>
        </w:tc>
        <w:tc>
          <w:tcPr>
            <w:tcW w:w="1251" w:type="dxa"/>
            <w:tcBorders>
              <w:left w:val="single" w:sz="4" w:space="0" w:color="000000"/>
              <w:bottom w:val="nil"/>
              <w:right w:val="single" w:sz="4" w:space="0" w:color="000000"/>
            </w:tcBorders>
          </w:tcPr>
          <w:p>
            <w:pPr>
              <w:pStyle w:val="TableParagraph"/>
              <w:rPr>
                <w:rFonts w:ascii="Times New Roman"/>
                <w:sz w:val="20"/>
              </w:rPr>
            </w:pPr>
          </w:p>
        </w:tc>
        <w:tc>
          <w:tcPr>
            <w:tcW w:w="1285" w:type="dxa"/>
            <w:tcBorders>
              <w:left w:val="single" w:sz="4" w:space="0" w:color="000000"/>
              <w:bottom w:val="nil"/>
            </w:tcBorders>
          </w:tcPr>
          <w:p>
            <w:pPr>
              <w:pStyle w:val="TableParagraph"/>
              <w:rPr>
                <w:rFonts w:ascii="Times New Roman"/>
                <w:sz w:val="20"/>
              </w:rPr>
            </w:pPr>
          </w:p>
        </w:tc>
      </w:tr>
      <w:tr>
        <w:trPr>
          <w:trHeight w:val="24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7" w:lineRule="exact"/>
              <w:ind w:left="52" w:right="33"/>
              <w:jc w:val="center"/>
              <w:rPr>
                <w:sz w:val="20"/>
              </w:rPr>
            </w:pPr>
            <w:r>
              <w:rPr>
                <w:sz w:val="20"/>
              </w:rPr>
              <w:t>participação</w:t>
            </w:r>
          </w:p>
        </w:tc>
        <w:tc>
          <w:tcPr>
            <w:tcW w:w="1617" w:type="dxa"/>
            <w:tcBorders>
              <w:top w:val="nil"/>
              <w:left w:val="single" w:sz="4" w:space="0" w:color="000000"/>
              <w:bottom w:val="nil"/>
              <w:right w:val="single" w:sz="4" w:space="0" w:color="000000"/>
            </w:tcBorders>
          </w:tcPr>
          <w:p>
            <w:pPr>
              <w:pStyle w:val="TableParagraph"/>
              <w:spacing w:line="207" w:lineRule="exact"/>
              <w:ind w:left="82" w:right="58"/>
              <w:jc w:val="center"/>
              <w:rPr>
                <w:sz w:val="20"/>
              </w:rPr>
            </w:pPr>
            <w:r>
              <w:rPr>
                <w:sz w:val="20"/>
              </w:rPr>
              <w:t>em conjunto com</w:t>
            </w:r>
          </w:p>
        </w:tc>
        <w:tc>
          <w:tcPr>
            <w:tcW w:w="3738" w:type="dxa"/>
            <w:tcBorders>
              <w:top w:val="nil"/>
              <w:left w:val="single" w:sz="4" w:space="0" w:color="000000"/>
              <w:bottom w:val="nil"/>
              <w:right w:val="single" w:sz="4" w:space="0" w:color="000000"/>
            </w:tcBorders>
          </w:tcPr>
          <w:p>
            <w:pPr>
              <w:pStyle w:val="TableParagraph"/>
              <w:rPr>
                <w:rFonts w:ascii="Times New Roman"/>
                <w:sz w:val="16"/>
              </w:rPr>
            </w:pPr>
          </w:p>
        </w:tc>
        <w:tc>
          <w:tcPr>
            <w:tcW w:w="4859" w:type="dxa"/>
            <w:tcBorders>
              <w:top w:val="nil"/>
              <w:left w:val="single" w:sz="4" w:space="0" w:color="000000"/>
              <w:bottom w:val="nil"/>
              <w:right w:val="single" w:sz="4" w:space="0" w:color="000000"/>
            </w:tcBorders>
          </w:tcPr>
          <w:p>
            <w:pPr>
              <w:pStyle w:val="TableParagraph"/>
              <w:rPr>
                <w:rFonts w:ascii="Times New Roman"/>
                <w:sz w:val="16"/>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24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5" w:lineRule="exact"/>
              <w:ind w:left="55" w:right="33"/>
              <w:jc w:val="center"/>
              <w:rPr>
                <w:sz w:val="20"/>
              </w:rPr>
            </w:pPr>
            <w:r>
              <w:rPr>
                <w:sz w:val="20"/>
              </w:rPr>
              <w:t>dos arquitetos e</w:t>
            </w:r>
          </w:p>
        </w:tc>
        <w:tc>
          <w:tcPr>
            <w:tcW w:w="1617" w:type="dxa"/>
            <w:tcBorders>
              <w:top w:val="nil"/>
              <w:left w:val="single" w:sz="4" w:space="0" w:color="000000"/>
              <w:bottom w:val="nil"/>
              <w:right w:val="single" w:sz="4" w:space="0" w:color="000000"/>
            </w:tcBorders>
          </w:tcPr>
          <w:p>
            <w:pPr>
              <w:pStyle w:val="TableParagraph"/>
              <w:spacing w:line="205" w:lineRule="exact"/>
              <w:ind w:left="82" w:right="57"/>
              <w:jc w:val="center"/>
              <w:rPr>
                <w:sz w:val="20"/>
              </w:rPr>
            </w:pPr>
            <w:r>
              <w:rPr>
                <w:sz w:val="20"/>
              </w:rPr>
              <w:t>municípios,</w:t>
            </w:r>
          </w:p>
        </w:tc>
        <w:tc>
          <w:tcPr>
            <w:tcW w:w="3738" w:type="dxa"/>
            <w:tcBorders>
              <w:top w:val="nil"/>
              <w:left w:val="single" w:sz="4" w:space="0" w:color="000000"/>
              <w:bottom w:val="nil"/>
              <w:right w:val="single" w:sz="4" w:space="0" w:color="000000"/>
            </w:tcBorders>
          </w:tcPr>
          <w:p>
            <w:pPr>
              <w:pStyle w:val="TableParagraph"/>
              <w:spacing w:line="205" w:lineRule="exact"/>
              <w:ind w:left="78"/>
              <w:rPr>
                <w:sz w:val="20"/>
              </w:rPr>
            </w:pPr>
            <w:r>
              <w:rPr>
                <w:sz w:val="20"/>
              </w:rPr>
              <w:t>Indicador para medir a capacidade de</w:t>
            </w:r>
          </w:p>
        </w:tc>
        <w:tc>
          <w:tcPr>
            <w:tcW w:w="4859" w:type="dxa"/>
            <w:tcBorders>
              <w:top w:val="nil"/>
              <w:left w:val="single" w:sz="4" w:space="0" w:color="000000"/>
              <w:bottom w:val="nil"/>
              <w:right w:val="single" w:sz="4" w:space="0" w:color="000000"/>
            </w:tcBorders>
          </w:tcPr>
          <w:p>
            <w:pPr>
              <w:pStyle w:val="TableParagraph"/>
              <w:rPr>
                <w:rFonts w:ascii="Times New Roman"/>
                <w:sz w:val="16"/>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spacing w:line="205" w:lineRule="exact"/>
              <w:ind w:left="60" w:right="20"/>
              <w:jc w:val="center"/>
              <w:rPr>
                <w:sz w:val="20"/>
              </w:rPr>
            </w:pPr>
            <w:r>
              <w:rPr>
                <w:sz w:val="20"/>
              </w:rPr>
              <w:t>Portal da</w:t>
            </w:r>
          </w:p>
        </w:tc>
      </w:tr>
      <w:tr>
        <w:trPr>
          <w:trHeight w:val="244"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7" w:lineRule="exact"/>
              <w:ind w:left="50" w:right="33"/>
              <w:jc w:val="center"/>
              <w:rPr>
                <w:sz w:val="20"/>
              </w:rPr>
            </w:pPr>
            <w:r>
              <w:rPr>
                <w:sz w:val="20"/>
              </w:rPr>
              <w:t>urbanistas no</w:t>
            </w:r>
          </w:p>
        </w:tc>
        <w:tc>
          <w:tcPr>
            <w:tcW w:w="1617" w:type="dxa"/>
            <w:tcBorders>
              <w:top w:val="nil"/>
              <w:left w:val="single" w:sz="4" w:space="0" w:color="000000"/>
              <w:bottom w:val="nil"/>
              <w:right w:val="single" w:sz="4" w:space="0" w:color="000000"/>
            </w:tcBorders>
          </w:tcPr>
          <w:p>
            <w:pPr>
              <w:pStyle w:val="TableParagraph"/>
              <w:spacing w:line="207" w:lineRule="exact"/>
              <w:ind w:left="82" w:right="55"/>
              <w:jc w:val="center"/>
              <w:rPr>
                <w:sz w:val="20"/>
              </w:rPr>
            </w:pPr>
            <w:r>
              <w:rPr>
                <w:sz w:val="20"/>
              </w:rPr>
              <w:t>destinadas ao</w:t>
            </w:r>
          </w:p>
        </w:tc>
        <w:tc>
          <w:tcPr>
            <w:tcW w:w="3738" w:type="dxa"/>
            <w:tcBorders>
              <w:top w:val="nil"/>
              <w:left w:val="single" w:sz="4" w:space="0" w:color="000000"/>
              <w:bottom w:val="nil"/>
              <w:right w:val="single" w:sz="4" w:space="0" w:color="000000"/>
            </w:tcBorders>
          </w:tcPr>
          <w:p>
            <w:pPr>
              <w:pStyle w:val="TableParagraph"/>
              <w:spacing w:line="207" w:lineRule="exact"/>
              <w:ind w:left="78"/>
              <w:rPr>
                <w:sz w:val="20"/>
              </w:rPr>
            </w:pPr>
            <w:r>
              <w:rPr>
                <w:sz w:val="20"/>
              </w:rPr>
              <w:t>integração entre as ações do CAU/UF e dos</w:t>
            </w:r>
          </w:p>
        </w:tc>
        <w:tc>
          <w:tcPr>
            <w:tcW w:w="4859" w:type="dxa"/>
            <w:tcBorders>
              <w:top w:val="nil"/>
              <w:left w:val="single" w:sz="4" w:space="0" w:color="000000"/>
              <w:bottom w:val="nil"/>
              <w:right w:val="single" w:sz="4" w:space="0" w:color="000000"/>
            </w:tcBorders>
          </w:tcPr>
          <w:p>
            <w:pPr>
              <w:pStyle w:val="TableParagraph"/>
              <w:spacing w:line="207" w:lineRule="exact"/>
              <w:ind w:left="520" w:right="495"/>
              <w:jc w:val="center"/>
              <w:rPr>
                <w:sz w:val="20"/>
              </w:rPr>
            </w:pPr>
            <w:r>
              <w:rPr>
                <w:sz w:val="20"/>
              </w:rPr>
              <w:t>número de ações com participação do CAU/UF</w:t>
            </w:r>
          </w:p>
        </w:tc>
        <w:tc>
          <w:tcPr>
            <w:tcW w:w="1251" w:type="dxa"/>
            <w:tcBorders>
              <w:top w:val="nil"/>
              <w:left w:val="single" w:sz="4" w:space="0" w:color="000000"/>
              <w:bottom w:val="nil"/>
              <w:right w:val="single" w:sz="4" w:space="0" w:color="000000"/>
            </w:tcBorders>
          </w:tcPr>
          <w:p>
            <w:pPr>
              <w:pStyle w:val="TableParagraph"/>
              <w:spacing w:line="207" w:lineRule="exact"/>
              <w:ind w:left="381" w:right="352"/>
              <w:jc w:val="center"/>
              <w:rPr>
                <w:sz w:val="20"/>
              </w:rPr>
            </w:pPr>
            <w:r>
              <w:rPr>
                <w:sz w:val="20"/>
              </w:rPr>
              <w:t>Anual</w:t>
            </w:r>
          </w:p>
        </w:tc>
        <w:tc>
          <w:tcPr>
            <w:tcW w:w="1285" w:type="dxa"/>
            <w:tcBorders>
              <w:top w:val="nil"/>
              <w:left w:val="single" w:sz="4" w:space="0" w:color="000000"/>
              <w:bottom w:val="nil"/>
            </w:tcBorders>
          </w:tcPr>
          <w:p>
            <w:pPr>
              <w:pStyle w:val="TableParagraph"/>
              <w:spacing w:line="207" w:lineRule="exact"/>
              <w:ind w:left="60" w:right="21"/>
              <w:jc w:val="center"/>
              <w:rPr>
                <w:sz w:val="20"/>
              </w:rPr>
            </w:pPr>
            <w:r>
              <w:rPr>
                <w:sz w:val="20"/>
              </w:rPr>
              <w:t>Transparência</w:t>
            </w:r>
          </w:p>
        </w:tc>
      </w:tr>
      <w:tr>
        <w:trPr>
          <w:trHeight w:val="244"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7" w:lineRule="exact"/>
              <w:ind w:left="52" w:right="33"/>
              <w:jc w:val="center"/>
              <w:rPr>
                <w:sz w:val="20"/>
              </w:rPr>
            </w:pPr>
            <w:r>
              <w:rPr>
                <w:sz w:val="20"/>
              </w:rPr>
              <w:t>planejamento</w:t>
            </w:r>
          </w:p>
        </w:tc>
        <w:tc>
          <w:tcPr>
            <w:tcW w:w="1617" w:type="dxa"/>
            <w:tcBorders>
              <w:top w:val="nil"/>
              <w:left w:val="single" w:sz="4" w:space="0" w:color="000000"/>
              <w:bottom w:val="nil"/>
              <w:right w:val="single" w:sz="4" w:space="0" w:color="000000"/>
            </w:tcBorders>
          </w:tcPr>
          <w:p>
            <w:pPr>
              <w:pStyle w:val="TableParagraph"/>
              <w:spacing w:line="207" w:lineRule="exact"/>
              <w:ind w:left="80" w:right="58"/>
              <w:jc w:val="center"/>
              <w:rPr>
                <w:sz w:val="20"/>
              </w:rPr>
            </w:pPr>
            <w:r>
              <w:rPr>
                <w:sz w:val="20"/>
              </w:rPr>
              <w:t>planejamento</w:t>
            </w:r>
          </w:p>
        </w:tc>
        <w:tc>
          <w:tcPr>
            <w:tcW w:w="3738" w:type="dxa"/>
            <w:tcBorders>
              <w:top w:val="nil"/>
              <w:left w:val="single" w:sz="4" w:space="0" w:color="000000"/>
              <w:bottom w:val="nil"/>
              <w:right w:val="single" w:sz="4" w:space="0" w:color="000000"/>
            </w:tcBorders>
          </w:tcPr>
          <w:p>
            <w:pPr>
              <w:pStyle w:val="TableParagraph"/>
              <w:spacing w:line="207" w:lineRule="exact"/>
              <w:ind w:left="78"/>
              <w:rPr>
                <w:sz w:val="20"/>
              </w:rPr>
            </w:pPr>
            <w:r>
              <w:rPr>
                <w:sz w:val="20"/>
              </w:rPr>
              <w:t>municípios.</w:t>
            </w:r>
          </w:p>
        </w:tc>
        <w:tc>
          <w:tcPr>
            <w:tcW w:w="4859" w:type="dxa"/>
            <w:tcBorders>
              <w:top w:val="nil"/>
              <w:left w:val="single" w:sz="4" w:space="0" w:color="000000"/>
              <w:bottom w:val="nil"/>
              <w:right w:val="single" w:sz="4" w:space="0" w:color="000000"/>
            </w:tcBorders>
          </w:tcPr>
          <w:p>
            <w:pPr>
              <w:pStyle w:val="TableParagraph"/>
              <w:rPr>
                <w:rFonts w:ascii="Times New Roman"/>
                <w:sz w:val="16"/>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spacing w:line="207" w:lineRule="exact"/>
              <w:ind w:left="60" w:right="20"/>
              <w:jc w:val="center"/>
              <w:rPr>
                <w:sz w:val="20"/>
              </w:rPr>
            </w:pPr>
            <w:r>
              <w:rPr>
                <w:sz w:val="20"/>
              </w:rPr>
              <w:t>do CAU/UF</w:t>
            </w:r>
          </w:p>
        </w:tc>
      </w:tr>
      <w:tr>
        <w:trPr>
          <w:trHeight w:val="24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7" w:lineRule="exact"/>
              <w:ind w:left="50" w:right="33"/>
              <w:jc w:val="center"/>
              <w:rPr>
                <w:sz w:val="20"/>
              </w:rPr>
            </w:pPr>
            <w:r>
              <w:rPr>
                <w:sz w:val="20"/>
              </w:rPr>
              <w:t>territorial e na</w:t>
            </w:r>
          </w:p>
        </w:tc>
        <w:tc>
          <w:tcPr>
            <w:tcW w:w="1617" w:type="dxa"/>
            <w:tcBorders>
              <w:top w:val="nil"/>
              <w:left w:val="single" w:sz="4" w:space="0" w:color="000000"/>
              <w:bottom w:val="nil"/>
              <w:right w:val="single" w:sz="4" w:space="0" w:color="000000"/>
            </w:tcBorders>
          </w:tcPr>
          <w:p>
            <w:pPr>
              <w:pStyle w:val="TableParagraph"/>
              <w:spacing w:line="207" w:lineRule="exact"/>
              <w:ind w:left="82" w:right="54"/>
              <w:jc w:val="center"/>
              <w:rPr>
                <w:sz w:val="20"/>
              </w:rPr>
            </w:pPr>
            <w:r>
              <w:rPr>
                <w:sz w:val="20"/>
              </w:rPr>
              <w:t>urbano</w:t>
            </w:r>
          </w:p>
        </w:tc>
        <w:tc>
          <w:tcPr>
            <w:tcW w:w="3738" w:type="dxa"/>
            <w:tcBorders>
              <w:top w:val="nil"/>
              <w:left w:val="single" w:sz="4" w:space="0" w:color="000000"/>
              <w:bottom w:val="nil"/>
              <w:right w:val="single" w:sz="4" w:space="0" w:color="000000"/>
            </w:tcBorders>
          </w:tcPr>
          <w:p>
            <w:pPr>
              <w:pStyle w:val="TableParagraph"/>
              <w:rPr>
                <w:rFonts w:ascii="Times New Roman"/>
                <w:sz w:val="16"/>
              </w:rPr>
            </w:pPr>
          </w:p>
        </w:tc>
        <w:tc>
          <w:tcPr>
            <w:tcW w:w="4859" w:type="dxa"/>
            <w:tcBorders>
              <w:top w:val="nil"/>
              <w:left w:val="single" w:sz="4" w:space="0" w:color="000000"/>
              <w:bottom w:val="nil"/>
              <w:right w:val="single" w:sz="4" w:space="0" w:color="000000"/>
            </w:tcBorders>
          </w:tcPr>
          <w:p>
            <w:pPr>
              <w:pStyle w:val="TableParagraph"/>
              <w:rPr>
                <w:rFonts w:ascii="Times New Roman"/>
                <w:sz w:val="16"/>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336" w:hRule="atLeast"/>
        </w:trPr>
        <w:tc>
          <w:tcPr>
            <w:tcW w:w="1368" w:type="dxa"/>
            <w:tcBorders>
              <w:top w:val="nil"/>
              <w:bottom w:val="nil"/>
              <w:right w:val="single" w:sz="4" w:space="0" w:color="000000"/>
            </w:tcBorders>
          </w:tcPr>
          <w:p>
            <w:pPr>
              <w:pStyle w:val="TableParagraph"/>
              <w:rPr>
                <w:rFonts w:ascii="Times New Roman"/>
                <w:sz w:val="20"/>
              </w:rPr>
            </w:pPr>
          </w:p>
        </w:tc>
        <w:tc>
          <w:tcPr>
            <w:tcW w:w="1456" w:type="dxa"/>
            <w:tcBorders>
              <w:top w:val="nil"/>
              <w:left w:val="single" w:sz="4" w:space="0" w:color="000000"/>
              <w:bottom w:val="single" w:sz="4" w:space="0" w:color="000000"/>
              <w:right w:val="single" w:sz="4" w:space="0" w:color="000000"/>
            </w:tcBorders>
          </w:tcPr>
          <w:p>
            <w:pPr>
              <w:pStyle w:val="TableParagraph"/>
              <w:spacing w:line="205" w:lineRule="exact"/>
              <w:ind w:left="52" w:right="33"/>
              <w:jc w:val="center"/>
              <w:rPr>
                <w:sz w:val="20"/>
              </w:rPr>
            </w:pPr>
            <w:r>
              <w:rPr>
                <w:sz w:val="20"/>
              </w:rPr>
              <w:t>gestão urbana</w:t>
            </w:r>
          </w:p>
        </w:tc>
        <w:tc>
          <w:tcPr>
            <w:tcW w:w="1617" w:type="dxa"/>
            <w:tcBorders>
              <w:top w:val="nil"/>
              <w:left w:val="single" w:sz="4" w:space="0" w:color="000000"/>
              <w:bottom w:val="single" w:sz="4" w:space="0" w:color="000000"/>
              <w:right w:val="single" w:sz="4" w:space="0" w:color="000000"/>
            </w:tcBorders>
          </w:tcPr>
          <w:p>
            <w:pPr>
              <w:pStyle w:val="TableParagraph"/>
              <w:spacing w:line="205" w:lineRule="exact"/>
              <w:ind w:left="79" w:right="58"/>
              <w:jc w:val="center"/>
              <w:rPr>
                <w:b/>
                <w:sz w:val="20"/>
              </w:rPr>
            </w:pPr>
            <w:r>
              <w:rPr>
                <w:b/>
                <w:sz w:val="20"/>
              </w:rPr>
              <w:t>(CAU/UF)</w:t>
            </w:r>
          </w:p>
        </w:tc>
        <w:tc>
          <w:tcPr>
            <w:tcW w:w="3738"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485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5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85" w:type="dxa"/>
            <w:tcBorders>
              <w:top w:val="nil"/>
              <w:left w:val="single" w:sz="4" w:space="0" w:color="000000"/>
              <w:bottom w:val="single" w:sz="4" w:space="0" w:color="000000"/>
            </w:tcBorders>
          </w:tcPr>
          <w:p>
            <w:pPr>
              <w:pStyle w:val="TableParagraph"/>
              <w:rPr>
                <w:rFonts w:ascii="Times New Roman"/>
                <w:sz w:val="20"/>
              </w:rPr>
            </w:pPr>
          </w:p>
        </w:tc>
      </w:tr>
      <w:tr>
        <w:trPr>
          <w:trHeight w:val="540" w:hRule="atLeast"/>
        </w:trPr>
        <w:tc>
          <w:tcPr>
            <w:tcW w:w="1368" w:type="dxa"/>
            <w:tcBorders>
              <w:top w:val="nil"/>
              <w:bottom w:val="nil"/>
              <w:right w:val="single" w:sz="4" w:space="0" w:color="000000"/>
            </w:tcBorders>
          </w:tcPr>
          <w:p>
            <w:pPr>
              <w:pStyle w:val="TableParagraph"/>
              <w:rPr>
                <w:rFonts w:ascii="Times New Roman"/>
                <w:sz w:val="20"/>
              </w:rPr>
            </w:pPr>
          </w:p>
        </w:tc>
        <w:tc>
          <w:tcPr>
            <w:tcW w:w="1456"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617"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41"/>
              <w:ind w:left="82" w:right="55" w:hanging="2"/>
              <w:jc w:val="center"/>
              <w:rPr>
                <w:sz w:val="20"/>
              </w:rPr>
            </w:pPr>
            <w:r>
              <w:rPr>
                <w:sz w:val="20"/>
              </w:rPr>
              <w:t>Participação do CAU na elaboração ou regulamentação da Lei da Assistência Técnica Gratuita (Lei nº 11.888/08) (%)</w:t>
            </w:r>
          </w:p>
          <w:p>
            <w:pPr>
              <w:pStyle w:val="TableParagraph"/>
              <w:spacing w:before="2"/>
              <w:ind w:left="79" w:right="58"/>
              <w:jc w:val="center"/>
              <w:rPr>
                <w:b/>
                <w:sz w:val="20"/>
              </w:rPr>
            </w:pPr>
            <w:r>
              <w:rPr>
                <w:b/>
                <w:sz w:val="20"/>
              </w:rPr>
              <w:t>(CAU/UF)</w:t>
            </w:r>
          </w:p>
        </w:tc>
        <w:tc>
          <w:tcPr>
            <w:tcW w:w="3738" w:type="dxa"/>
            <w:tcBorders>
              <w:top w:val="single" w:sz="4" w:space="0" w:color="000000"/>
              <w:left w:val="single" w:sz="4" w:space="0" w:color="000000"/>
              <w:bottom w:val="nil"/>
              <w:right w:val="single" w:sz="4" w:space="0" w:color="000000"/>
            </w:tcBorders>
          </w:tcPr>
          <w:p>
            <w:pPr>
              <w:pStyle w:val="TableParagraph"/>
              <w:spacing w:before="6"/>
              <w:rPr>
                <w:rFonts w:ascii="Calibri Light"/>
                <w:b w:val="0"/>
                <w:sz w:val="21"/>
              </w:rPr>
            </w:pPr>
          </w:p>
          <w:p>
            <w:pPr>
              <w:pStyle w:val="TableParagraph"/>
              <w:ind w:left="78"/>
              <w:rPr>
                <w:sz w:val="20"/>
              </w:rPr>
            </w:pPr>
            <w:r>
              <w:rPr>
                <w:sz w:val="20"/>
              </w:rPr>
              <w:t>O CAU deve ter capacidade de influenciar</w:t>
            </w:r>
          </w:p>
        </w:tc>
        <w:tc>
          <w:tcPr>
            <w:tcW w:w="4859"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16"/>
              </w:rPr>
            </w:pPr>
          </w:p>
          <w:p>
            <w:pPr>
              <w:pStyle w:val="TableParagraph"/>
              <w:ind w:left="258"/>
              <w:rPr>
                <w:sz w:val="20"/>
              </w:rPr>
            </w:pPr>
            <w:r>
              <w:rPr>
                <w:sz w:val="20"/>
              </w:rPr>
              <w:t>número de municípios da UF que passaram a</w:t>
            </w:r>
          </w:p>
          <w:p>
            <w:pPr>
              <w:pStyle w:val="TableParagraph"/>
              <w:tabs>
                <w:tab w:pos="682" w:val="left" w:leader="none"/>
                <w:tab w:pos="4160" w:val="left" w:leader="none"/>
              </w:tabs>
              <w:spacing w:line="194" w:lineRule="auto" w:before="24"/>
              <w:ind w:left="1050" w:right="181" w:hanging="1037"/>
              <w:rPr>
                <w:sz w:val="20"/>
              </w:rPr>
            </w:pPr>
            <w:r>
              <w:rPr>
                <w:w w:val="99"/>
                <w:sz w:val="20"/>
                <w:u w:val="single"/>
              </w:rPr>
              <w:t> </w:t>
            </w:r>
            <w:r>
              <w:rPr>
                <w:sz w:val="20"/>
                <w:u w:val="single"/>
              </w:rPr>
              <w:tab/>
              <w:t>aplicar a Lei de</w:t>
            </w:r>
            <w:r>
              <w:rPr>
                <w:spacing w:val="-5"/>
                <w:sz w:val="20"/>
                <w:u w:val="single"/>
              </w:rPr>
              <w:t> </w:t>
            </w:r>
            <w:r>
              <w:rPr>
                <w:sz w:val="20"/>
                <w:u w:val="single"/>
              </w:rPr>
              <w:t>Assistência</w:t>
            </w:r>
            <w:r>
              <w:rPr>
                <w:spacing w:val="-1"/>
                <w:sz w:val="20"/>
                <w:u w:val="single"/>
              </w:rPr>
              <w:t> </w:t>
            </w:r>
            <w:r>
              <w:rPr>
                <w:sz w:val="20"/>
                <w:u w:val="single"/>
              </w:rPr>
              <w:t>Técnica</w:t>
              <w:tab/>
            </w:r>
            <w:r>
              <w:rPr>
                <w:position w:val="-6"/>
                <w:sz w:val="20"/>
              </w:rPr>
              <w:t>x </w:t>
            </w:r>
            <w:r>
              <w:rPr>
                <w:spacing w:val="-6"/>
                <w:position w:val="-6"/>
                <w:sz w:val="20"/>
              </w:rPr>
              <w:t>100 </w:t>
            </w:r>
            <w:r>
              <w:rPr>
                <w:sz w:val="20"/>
              </w:rPr>
              <w:t>total de municípios da</w:t>
            </w:r>
            <w:r>
              <w:rPr>
                <w:spacing w:val="-1"/>
                <w:sz w:val="20"/>
              </w:rPr>
              <w:t> </w:t>
            </w:r>
            <w:r>
              <w:rPr>
                <w:sz w:val="20"/>
              </w:rPr>
              <w:t>UF</w:t>
            </w:r>
          </w:p>
        </w:tc>
        <w:tc>
          <w:tcPr>
            <w:tcW w:w="125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85" w:type="dxa"/>
            <w:tcBorders>
              <w:top w:val="single" w:sz="4" w:space="0" w:color="000000"/>
              <w:left w:val="single" w:sz="4" w:space="0" w:color="000000"/>
              <w:bottom w:val="nil"/>
            </w:tcBorders>
          </w:tcPr>
          <w:p>
            <w:pPr>
              <w:pStyle w:val="TableParagraph"/>
              <w:rPr>
                <w:rFonts w:ascii="Times New Roman"/>
                <w:sz w:val="20"/>
              </w:rPr>
            </w:pPr>
          </w:p>
        </w:tc>
      </w:tr>
      <w:tr>
        <w:trPr>
          <w:trHeight w:val="234"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spacing w:line="202" w:lineRule="exact"/>
              <w:ind w:left="78"/>
              <w:rPr>
                <w:sz w:val="20"/>
              </w:rPr>
            </w:pPr>
            <w:r>
              <w:rPr>
                <w:sz w:val="20"/>
              </w:rPr>
              <w:t>ativamente na elaboração/regulamentação</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23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spacing w:line="202" w:lineRule="exact"/>
              <w:ind w:left="78"/>
              <w:rPr>
                <w:sz w:val="20"/>
              </w:rPr>
            </w:pPr>
            <w:r>
              <w:rPr>
                <w:sz w:val="20"/>
              </w:rPr>
              <w:t>da</w:t>
            </w:r>
            <w:r>
              <w:rPr>
                <w:spacing w:val="-10"/>
                <w:sz w:val="20"/>
              </w:rPr>
              <w:t> </w:t>
            </w:r>
            <w:r>
              <w:rPr>
                <w:sz w:val="20"/>
              </w:rPr>
              <w:t>Lei</w:t>
            </w:r>
            <w:r>
              <w:rPr>
                <w:spacing w:val="-11"/>
                <w:sz w:val="20"/>
              </w:rPr>
              <w:t> </w:t>
            </w:r>
            <w:r>
              <w:rPr>
                <w:sz w:val="20"/>
              </w:rPr>
              <w:t>da</w:t>
            </w:r>
            <w:r>
              <w:rPr>
                <w:spacing w:val="-11"/>
                <w:sz w:val="20"/>
              </w:rPr>
              <w:t> </w:t>
            </w:r>
            <w:r>
              <w:rPr>
                <w:sz w:val="20"/>
              </w:rPr>
              <w:t>Assistência</w:t>
            </w:r>
            <w:r>
              <w:rPr>
                <w:spacing w:val="-10"/>
                <w:sz w:val="20"/>
              </w:rPr>
              <w:t> </w:t>
            </w:r>
            <w:r>
              <w:rPr>
                <w:sz w:val="20"/>
              </w:rPr>
              <w:t>Técnica</w:t>
            </w:r>
            <w:r>
              <w:rPr>
                <w:spacing w:val="-10"/>
                <w:sz w:val="20"/>
              </w:rPr>
              <w:t> </w:t>
            </w:r>
            <w:r>
              <w:rPr>
                <w:sz w:val="20"/>
              </w:rPr>
              <w:t>Gratuita</w:t>
            </w:r>
            <w:r>
              <w:rPr>
                <w:spacing w:val="-9"/>
                <w:sz w:val="20"/>
              </w:rPr>
              <w:t> </w:t>
            </w:r>
            <w:r>
              <w:rPr>
                <w:sz w:val="20"/>
              </w:rPr>
              <w:t>(Lei</w:t>
            </w:r>
            <w:r>
              <w:rPr>
                <w:spacing w:val="-10"/>
                <w:sz w:val="20"/>
              </w:rPr>
              <w:t> </w:t>
            </w:r>
            <w:r>
              <w:rPr>
                <w:sz w:val="20"/>
              </w:rPr>
              <w:t>n.º</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249" w:hRule="atLeast"/>
        </w:trPr>
        <w:tc>
          <w:tcPr>
            <w:tcW w:w="1368" w:type="dxa"/>
            <w:tcBorders>
              <w:top w:val="nil"/>
              <w:bottom w:val="nil"/>
              <w:right w:val="single" w:sz="4" w:space="0" w:color="000000"/>
            </w:tcBorders>
          </w:tcPr>
          <w:p>
            <w:pPr>
              <w:pStyle w:val="TableParagraph"/>
              <w:spacing w:line="229" w:lineRule="exact"/>
              <w:ind w:left="89" w:right="79"/>
              <w:jc w:val="center"/>
              <w:rPr>
                <w:sz w:val="20"/>
              </w:rPr>
            </w:pPr>
            <w:r>
              <w:rPr>
                <w:sz w:val="20"/>
              </w:rPr>
              <w:t>Processos</w:t>
            </w:r>
          </w:p>
        </w:tc>
        <w:tc>
          <w:tcPr>
            <w:tcW w:w="1456" w:type="dxa"/>
            <w:tcBorders>
              <w:top w:val="nil"/>
              <w:left w:val="single" w:sz="4" w:space="0" w:color="000000"/>
              <w:bottom w:val="nil"/>
              <w:right w:val="single" w:sz="4" w:space="0" w:color="000000"/>
            </w:tcBorders>
          </w:tcPr>
          <w:p>
            <w:pPr>
              <w:pStyle w:val="TableParagraph"/>
              <w:rPr>
                <w:rFonts w:ascii="Times New Roman"/>
                <w:sz w:val="18"/>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spacing w:line="200" w:lineRule="exact"/>
              <w:ind w:left="78"/>
              <w:rPr>
                <w:sz w:val="20"/>
              </w:rPr>
            </w:pPr>
            <w:r>
              <w:rPr>
                <w:sz w:val="20"/>
              </w:rPr>
              <w:t>11.888/08) o exercício da boa Arquitetura e</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8"/>
              </w:rPr>
            </w:pPr>
          </w:p>
        </w:tc>
        <w:tc>
          <w:tcPr>
            <w:tcW w:w="1285" w:type="dxa"/>
            <w:tcBorders>
              <w:top w:val="nil"/>
              <w:left w:val="single" w:sz="4" w:space="0" w:color="000000"/>
              <w:bottom w:val="nil"/>
            </w:tcBorders>
          </w:tcPr>
          <w:p>
            <w:pPr>
              <w:pStyle w:val="TableParagraph"/>
              <w:rPr>
                <w:rFonts w:ascii="Times New Roman"/>
                <w:sz w:val="18"/>
              </w:rPr>
            </w:pPr>
          </w:p>
        </w:tc>
      </w:tr>
      <w:tr>
        <w:trPr>
          <w:trHeight w:val="234" w:hRule="atLeast"/>
        </w:trPr>
        <w:tc>
          <w:tcPr>
            <w:tcW w:w="1368" w:type="dxa"/>
            <w:tcBorders>
              <w:top w:val="nil"/>
              <w:bottom w:val="nil"/>
              <w:right w:val="single" w:sz="4" w:space="0" w:color="000000"/>
            </w:tcBorders>
          </w:tcPr>
          <w:p>
            <w:pPr>
              <w:pStyle w:val="TableParagraph"/>
              <w:spacing w:line="215" w:lineRule="exact"/>
              <w:ind w:left="91" w:right="79"/>
              <w:jc w:val="center"/>
              <w:rPr>
                <w:sz w:val="20"/>
              </w:rPr>
            </w:pPr>
            <w:r>
              <w:rPr>
                <w:sz w:val="20"/>
              </w:rPr>
              <w:t>Internos</w:t>
            </w: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tabs>
                <w:tab w:pos="1266" w:val="left" w:leader="none"/>
                <w:tab w:pos="2552" w:val="left" w:leader="none"/>
                <w:tab w:pos="2998" w:val="left" w:leader="none"/>
                <w:tab w:pos="3384" w:val="left" w:leader="none"/>
              </w:tabs>
              <w:spacing w:line="186" w:lineRule="exact"/>
              <w:ind w:left="78"/>
              <w:rPr>
                <w:sz w:val="20"/>
              </w:rPr>
            </w:pPr>
            <w:r>
              <w:rPr>
                <w:sz w:val="20"/>
              </w:rPr>
              <w:t>Urbanismo.</w:t>
              <w:tab/>
              <w:t>Acompanhar</w:t>
              <w:tab/>
              <w:t>10</w:t>
              <w:tab/>
              <w:t>%</w:t>
              <w:tab/>
              <w:t>dos</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spacing w:line="186" w:lineRule="exact"/>
              <w:ind w:left="58" w:right="21"/>
              <w:jc w:val="center"/>
              <w:rPr>
                <w:sz w:val="20"/>
              </w:rPr>
            </w:pPr>
            <w:r>
              <w:rPr>
                <w:sz w:val="20"/>
              </w:rPr>
              <w:t>Prefeituras</w:t>
            </w:r>
          </w:p>
        </w:tc>
      </w:tr>
      <w:tr>
        <w:trPr>
          <w:trHeight w:val="232" w:hRule="atLeast"/>
        </w:trPr>
        <w:tc>
          <w:tcPr>
            <w:tcW w:w="1368" w:type="dxa"/>
            <w:tcBorders>
              <w:top w:val="nil"/>
              <w:bottom w:val="nil"/>
              <w:right w:val="single" w:sz="4" w:space="0" w:color="000000"/>
            </w:tcBorders>
          </w:tcPr>
          <w:p>
            <w:pPr>
              <w:pStyle w:val="TableParagraph"/>
              <w:spacing w:line="212" w:lineRule="exact"/>
              <w:ind w:left="91" w:right="79"/>
              <w:jc w:val="center"/>
              <w:rPr>
                <w:sz w:val="20"/>
              </w:rPr>
            </w:pPr>
            <w:r>
              <w:rPr>
                <w:sz w:val="20"/>
              </w:rPr>
              <w:t>(Relações</w:t>
            </w: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spacing w:line="186" w:lineRule="exact"/>
              <w:ind w:left="78"/>
              <w:rPr>
                <w:sz w:val="20"/>
              </w:rPr>
            </w:pPr>
            <w:r>
              <w:rPr>
                <w:sz w:val="20"/>
              </w:rPr>
              <w:t>municípios do Estado (de acordo com os</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spacing w:line="186" w:lineRule="exact"/>
              <w:ind w:left="381" w:right="352"/>
              <w:jc w:val="center"/>
              <w:rPr>
                <w:sz w:val="20"/>
              </w:rPr>
            </w:pPr>
            <w:r>
              <w:rPr>
                <w:sz w:val="20"/>
              </w:rPr>
              <w:t>Anual</w:t>
            </w:r>
          </w:p>
        </w:tc>
        <w:tc>
          <w:tcPr>
            <w:tcW w:w="1285" w:type="dxa"/>
            <w:tcBorders>
              <w:top w:val="nil"/>
              <w:left w:val="single" w:sz="4" w:space="0" w:color="000000"/>
              <w:bottom w:val="nil"/>
            </w:tcBorders>
          </w:tcPr>
          <w:p>
            <w:pPr>
              <w:pStyle w:val="TableParagraph"/>
              <w:spacing w:line="186" w:lineRule="exact"/>
              <w:ind w:left="60" w:right="18"/>
              <w:jc w:val="center"/>
              <w:rPr>
                <w:sz w:val="20"/>
              </w:rPr>
            </w:pPr>
            <w:r>
              <w:rPr>
                <w:sz w:val="20"/>
              </w:rPr>
              <w:t>CAU/BR -</w:t>
            </w:r>
          </w:p>
        </w:tc>
      </w:tr>
      <w:tr>
        <w:trPr>
          <w:trHeight w:val="235" w:hRule="atLeast"/>
        </w:trPr>
        <w:tc>
          <w:tcPr>
            <w:tcW w:w="1368" w:type="dxa"/>
            <w:tcBorders>
              <w:top w:val="nil"/>
              <w:bottom w:val="nil"/>
              <w:right w:val="single" w:sz="4" w:space="0" w:color="000000"/>
            </w:tcBorders>
          </w:tcPr>
          <w:p>
            <w:pPr>
              <w:pStyle w:val="TableParagraph"/>
              <w:spacing w:line="215" w:lineRule="exact"/>
              <w:ind w:left="92" w:right="79"/>
              <w:jc w:val="center"/>
              <w:rPr>
                <w:sz w:val="20"/>
              </w:rPr>
            </w:pPr>
            <w:r>
              <w:rPr>
                <w:sz w:val="20"/>
              </w:rPr>
              <w:t>Institucionais)</w:t>
            </w:r>
          </w:p>
        </w:tc>
        <w:tc>
          <w:tcPr>
            <w:tcW w:w="1456" w:type="dxa"/>
            <w:tcBorders>
              <w:top w:val="nil"/>
              <w:left w:val="single" w:sz="4" w:space="0" w:color="000000"/>
              <w:bottom w:val="nil"/>
              <w:right w:val="single" w:sz="4" w:space="0" w:color="000000"/>
            </w:tcBorders>
          </w:tcPr>
          <w:p>
            <w:pPr>
              <w:pStyle w:val="TableParagraph"/>
              <w:spacing w:line="212" w:lineRule="exact"/>
              <w:ind w:left="51" w:right="33"/>
              <w:jc w:val="center"/>
              <w:rPr>
                <w:sz w:val="20"/>
              </w:rPr>
            </w:pPr>
            <w:r>
              <w:rPr>
                <w:sz w:val="20"/>
              </w:rPr>
              <w:t>Estimular a</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spacing w:line="186" w:lineRule="exact"/>
              <w:ind w:left="78"/>
              <w:rPr>
                <w:sz w:val="20"/>
              </w:rPr>
            </w:pPr>
            <w:r>
              <w:rPr>
                <w:sz w:val="20"/>
              </w:rPr>
              <w:t>critérios de cada Estado), limitado a 50,</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spacing w:line="186" w:lineRule="exact"/>
              <w:ind w:left="60" w:right="21"/>
              <w:jc w:val="center"/>
              <w:rPr>
                <w:sz w:val="20"/>
              </w:rPr>
            </w:pPr>
            <w:r>
              <w:rPr>
                <w:sz w:val="20"/>
              </w:rPr>
              <w:t>MUNIC</w:t>
            </w:r>
          </w:p>
        </w:tc>
      </w:tr>
      <w:tr>
        <w:trPr>
          <w:trHeight w:val="232"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13" w:lineRule="exact"/>
              <w:ind w:left="52" w:right="33"/>
              <w:jc w:val="center"/>
              <w:rPr>
                <w:sz w:val="20"/>
              </w:rPr>
            </w:pPr>
            <w:r>
              <w:rPr>
                <w:sz w:val="20"/>
              </w:rPr>
              <w:t>produção da</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tabs>
                <w:tab w:pos="1321" w:val="left" w:leader="none"/>
                <w:tab w:pos="1810" w:val="left" w:leader="none"/>
                <w:tab w:pos="2585" w:val="left" w:leader="none"/>
              </w:tabs>
              <w:spacing w:line="186" w:lineRule="exact"/>
              <w:ind w:left="78"/>
              <w:rPr>
                <w:sz w:val="20"/>
              </w:rPr>
            </w:pPr>
            <w:r>
              <w:rPr>
                <w:sz w:val="20"/>
              </w:rPr>
              <w:t>distribuídos</w:t>
              <w:tab/>
              <w:t>de</w:t>
              <w:tab/>
              <w:t>forma</w:t>
              <w:tab/>
              <w:t>proporcional.</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234"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15" w:lineRule="exact"/>
              <w:ind w:left="50" w:right="33"/>
              <w:jc w:val="center"/>
              <w:rPr>
                <w:sz w:val="20"/>
              </w:rPr>
            </w:pPr>
            <w:r>
              <w:rPr>
                <w:sz w:val="20"/>
              </w:rPr>
              <w:t>arquitetura e</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spacing w:line="188" w:lineRule="exact"/>
              <w:ind w:left="78"/>
              <w:rPr>
                <w:sz w:val="20"/>
              </w:rPr>
            </w:pPr>
            <w:r>
              <w:rPr>
                <w:sz w:val="20"/>
              </w:rPr>
              <w:t>O CAU/UF definirá a quantidade de</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232"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12" w:lineRule="exact"/>
              <w:ind w:left="52" w:right="33"/>
              <w:jc w:val="center"/>
              <w:rPr>
                <w:sz w:val="20"/>
              </w:rPr>
            </w:pPr>
            <w:r>
              <w:rPr>
                <w:sz w:val="20"/>
              </w:rPr>
              <w:t>urbanismo</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spacing w:line="188" w:lineRule="exact"/>
              <w:ind w:left="78"/>
              <w:rPr>
                <w:sz w:val="20"/>
              </w:rPr>
            </w:pPr>
            <w:r>
              <w:rPr>
                <w:sz w:val="20"/>
              </w:rPr>
              <w:t>municípios objeto da amostragem a ter a</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248" w:hRule="atLeast"/>
        </w:trPr>
        <w:tc>
          <w:tcPr>
            <w:tcW w:w="1368" w:type="dxa"/>
            <w:tcBorders>
              <w:top w:val="nil"/>
              <w:bottom w:val="nil"/>
              <w:right w:val="single" w:sz="4" w:space="0" w:color="000000"/>
            </w:tcBorders>
          </w:tcPr>
          <w:p>
            <w:pPr>
              <w:pStyle w:val="TableParagraph"/>
              <w:rPr>
                <w:rFonts w:ascii="Times New Roman"/>
                <w:sz w:val="18"/>
              </w:rPr>
            </w:pPr>
          </w:p>
        </w:tc>
        <w:tc>
          <w:tcPr>
            <w:tcW w:w="1456" w:type="dxa"/>
            <w:tcBorders>
              <w:top w:val="nil"/>
              <w:left w:val="single" w:sz="4" w:space="0" w:color="000000"/>
              <w:bottom w:val="nil"/>
              <w:right w:val="single" w:sz="4" w:space="0" w:color="000000"/>
            </w:tcBorders>
          </w:tcPr>
          <w:p>
            <w:pPr>
              <w:pStyle w:val="TableParagraph"/>
              <w:spacing w:line="215" w:lineRule="exact"/>
              <w:ind w:left="51" w:right="33"/>
              <w:jc w:val="center"/>
              <w:rPr>
                <w:sz w:val="20"/>
              </w:rPr>
            </w:pPr>
            <w:r>
              <w:rPr>
                <w:sz w:val="20"/>
              </w:rPr>
              <w:t>como política</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nil"/>
              <w:right w:val="single" w:sz="4" w:space="0" w:color="000000"/>
            </w:tcBorders>
          </w:tcPr>
          <w:p>
            <w:pPr>
              <w:pStyle w:val="TableParagraph"/>
              <w:spacing w:line="188" w:lineRule="exact"/>
              <w:ind w:left="78"/>
              <w:rPr>
                <w:sz w:val="20"/>
              </w:rPr>
            </w:pPr>
            <w:r>
              <w:rPr>
                <w:sz w:val="20"/>
              </w:rPr>
              <w:t>meta estabelecida (fórmula de cálculo)</w:t>
            </w: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8"/>
              </w:rPr>
            </w:pPr>
          </w:p>
        </w:tc>
        <w:tc>
          <w:tcPr>
            <w:tcW w:w="1285" w:type="dxa"/>
            <w:tcBorders>
              <w:top w:val="nil"/>
              <w:left w:val="single" w:sz="4" w:space="0" w:color="000000"/>
              <w:bottom w:val="nil"/>
            </w:tcBorders>
          </w:tcPr>
          <w:p>
            <w:pPr>
              <w:pStyle w:val="TableParagraph"/>
              <w:rPr>
                <w:rFonts w:ascii="Times New Roman"/>
                <w:sz w:val="18"/>
              </w:rPr>
            </w:pPr>
          </w:p>
        </w:tc>
      </w:tr>
      <w:tr>
        <w:trPr>
          <w:trHeight w:val="229"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spacing w:line="202" w:lineRule="exact"/>
              <w:ind w:left="54" w:right="33"/>
              <w:jc w:val="center"/>
              <w:rPr>
                <w:sz w:val="20"/>
              </w:rPr>
            </w:pPr>
            <w:r>
              <w:rPr>
                <w:sz w:val="20"/>
              </w:rPr>
              <w:t>de Estado</w:t>
            </w:r>
          </w:p>
        </w:tc>
        <w:tc>
          <w:tcPr>
            <w:tcW w:w="1617" w:type="dxa"/>
            <w:vMerge/>
            <w:tcBorders>
              <w:top w:val="nil"/>
              <w:left w:val="single" w:sz="4" w:space="0" w:color="000000"/>
              <w:bottom w:val="single" w:sz="4" w:space="0" w:color="000000"/>
              <w:right w:val="single" w:sz="4" w:space="0" w:color="000000"/>
            </w:tcBorders>
          </w:tcPr>
          <w:p>
            <w:pPr>
              <w:rPr>
                <w:sz w:val="2"/>
                <w:szCs w:val="2"/>
              </w:rPr>
            </w:pPr>
          </w:p>
        </w:tc>
        <w:tc>
          <w:tcPr>
            <w:tcW w:w="3738"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1285" w:type="dxa"/>
            <w:tcBorders>
              <w:top w:val="nil"/>
              <w:left w:val="single" w:sz="4" w:space="0" w:color="000000"/>
              <w:bottom w:val="single" w:sz="4" w:space="0" w:color="000000"/>
            </w:tcBorders>
          </w:tcPr>
          <w:p>
            <w:pPr>
              <w:pStyle w:val="TableParagraph"/>
              <w:rPr>
                <w:rFonts w:ascii="Times New Roman"/>
                <w:sz w:val="16"/>
              </w:rPr>
            </w:pPr>
          </w:p>
        </w:tc>
      </w:tr>
      <w:tr>
        <w:trPr>
          <w:trHeight w:val="402" w:hRule="atLeast"/>
        </w:trPr>
        <w:tc>
          <w:tcPr>
            <w:tcW w:w="1368" w:type="dxa"/>
            <w:tcBorders>
              <w:top w:val="nil"/>
              <w:bottom w:val="nil"/>
              <w:right w:val="single" w:sz="4" w:space="0" w:color="000000"/>
            </w:tcBorders>
          </w:tcPr>
          <w:p>
            <w:pPr>
              <w:pStyle w:val="TableParagraph"/>
              <w:rPr>
                <w:rFonts w:ascii="Times New Roman"/>
                <w:sz w:val="20"/>
              </w:rPr>
            </w:pPr>
          </w:p>
        </w:tc>
        <w:tc>
          <w:tcPr>
            <w:tcW w:w="1456" w:type="dxa"/>
            <w:tcBorders>
              <w:top w:val="nil"/>
              <w:left w:val="single" w:sz="4" w:space="0" w:color="000000"/>
              <w:bottom w:val="nil"/>
              <w:right w:val="single" w:sz="4" w:space="0" w:color="000000"/>
            </w:tcBorders>
          </w:tcPr>
          <w:p>
            <w:pPr>
              <w:pStyle w:val="TableParagraph"/>
              <w:rPr>
                <w:rFonts w:ascii="Times New Roman"/>
                <w:sz w:val="20"/>
              </w:rPr>
            </w:pPr>
          </w:p>
        </w:tc>
        <w:tc>
          <w:tcPr>
            <w:tcW w:w="1617" w:type="dxa"/>
            <w:tcBorders>
              <w:top w:val="single" w:sz="4" w:space="0" w:color="000000"/>
              <w:left w:val="single" w:sz="4" w:space="0" w:color="000000"/>
              <w:bottom w:val="nil"/>
              <w:right w:val="single" w:sz="4" w:space="0" w:color="000000"/>
            </w:tcBorders>
          </w:tcPr>
          <w:p>
            <w:pPr>
              <w:pStyle w:val="TableParagraph"/>
              <w:spacing w:before="126"/>
              <w:ind w:left="82" w:right="57"/>
              <w:jc w:val="center"/>
              <w:rPr>
                <w:sz w:val="20"/>
              </w:rPr>
            </w:pPr>
            <w:r>
              <w:rPr>
                <w:sz w:val="20"/>
              </w:rPr>
              <w:t>Índice de ações</w:t>
            </w:r>
          </w:p>
        </w:tc>
        <w:tc>
          <w:tcPr>
            <w:tcW w:w="373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78" w:right="47"/>
              <w:jc w:val="both"/>
              <w:rPr>
                <w:sz w:val="20"/>
              </w:rPr>
            </w:pPr>
            <w:r>
              <w:rPr>
                <w:sz w:val="20"/>
              </w:rPr>
              <w:t>Indicador para medir a capacidade do CAU/UF de realização de ações à Assistência Técnica na UF.</w:t>
            </w:r>
          </w:p>
        </w:tc>
        <w:tc>
          <w:tcPr>
            <w:tcW w:w="4859"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line="163" w:lineRule="auto" w:before="139"/>
              <w:ind w:left="1050" w:right="181" w:hanging="1037"/>
              <w:rPr>
                <w:sz w:val="20"/>
              </w:rPr>
            </w:pPr>
            <w:r>
              <w:rPr>
                <w:w w:val="99"/>
                <w:sz w:val="20"/>
                <w:u w:val="single"/>
              </w:rPr>
              <w:t> </w:t>
            </w:r>
            <w:r>
              <w:rPr>
                <w:sz w:val="20"/>
                <w:u w:val="single"/>
              </w:rPr>
              <w:t>   número de ações com participação do CAU/UF</w:t>
            </w:r>
            <w:r>
              <w:rPr>
                <w:sz w:val="20"/>
              </w:rPr>
              <w:t> </w:t>
            </w:r>
            <w:r>
              <w:rPr>
                <w:position w:val="-12"/>
                <w:sz w:val="20"/>
              </w:rPr>
              <w:t>x 100 </w:t>
            </w:r>
            <w:r>
              <w:rPr>
                <w:sz w:val="20"/>
              </w:rPr>
              <w:t>total de municípios da UF</w:t>
            </w:r>
          </w:p>
        </w:tc>
        <w:tc>
          <w:tcPr>
            <w:tcW w:w="125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285" w:type="dxa"/>
            <w:tcBorders>
              <w:top w:val="single" w:sz="4" w:space="0" w:color="000000"/>
              <w:left w:val="single" w:sz="4" w:space="0" w:color="000000"/>
              <w:bottom w:val="nil"/>
            </w:tcBorders>
          </w:tcPr>
          <w:p>
            <w:pPr>
              <w:pStyle w:val="TableParagraph"/>
              <w:rPr>
                <w:rFonts w:ascii="Times New Roman"/>
                <w:sz w:val="20"/>
              </w:rPr>
            </w:pPr>
          </w:p>
        </w:tc>
      </w:tr>
      <w:tr>
        <w:trPr>
          <w:trHeight w:val="23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tcBorders>
              <w:top w:val="nil"/>
              <w:left w:val="single" w:sz="4" w:space="0" w:color="000000"/>
              <w:bottom w:val="nil"/>
              <w:right w:val="single" w:sz="4" w:space="0" w:color="000000"/>
            </w:tcBorders>
          </w:tcPr>
          <w:p>
            <w:pPr>
              <w:pStyle w:val="TableParagraph"/>
              <w:spacing w:line="200" w:lineRule="exact"/>
              <w:ind w:left="82" w:right="58"/>
              <w:jc w:val="center"/>
              <w:rPr>
                <w:sz w:val="20"/>
              </w:rPr>
            </w:pPr>
            <w:r>
              <w:rPr>
                <w:sz w:val="20"/>
              </w:rPr>
              <w:t>realizadas</w:t>
            </w:r>
          </w:p>
        </w:tc>
        <w:tc>
          <w:tcPr>
            <w:tcW w:w="3738" w:type="dxa"/>
            <w:vMerge/>
            <w:tcBorders>
              <w:top w:val="nil"/>
              <w:left w:val="single" w:sz="4" w:space="0" w:color="000000"/>
              <w:bottom w:val="single" w:sz="4" w:space="0" w:color="000000"/>
              <w:right w:val="single" w:sz="4" w:space="0" w:color="000000"/>
            </w:tcBorders>
          </w:tcPr>
          <w:p>
            <w:pPr>
              <w:rPr>
                <w:sz w:val="2"/>
                <w:szCs w:val="2"/>
              </w:rPr>
            </w:pP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480" w:hRule="atLeast"/>
        </w:trPr>
        <w:tc>
          <w:tcPr>
            <w:tcW w:w="1368" w:type="dxa"/>
            <w:tcBorders>
              <w:top w:val="nil"/>
              <w:bottom w:val="nil"/>
              <w:right w:val="single" w:sz="4" w:space="0" w:color="000000"/>
            </w:tcBorders>
          </w:tcPr>
          <w:p>
            <w:pPr>
              <w:pStyle w:val="TableParagraph"/>
              <w:rPr>
                <w:rFonts w:ascii="Times New Roman"/>
                <w:sz w:val="20"/>
              </w:rPr>
            </w:pPr>
          </w:p>
        </w:tc>
        <w:tc>
          <w:tcPr>
            <w:tcW w:w="1456" w:type="dxa"/>
            <w:tcBorders>
              <w:top w:val="nil"/>
              <w:left w:val="single" w:sz="4" w:space="0" w:color="000000"/>
              <w:bottom w:val="nil"/>
              <w:right w:val="single" w:sz="4" w:space="0" w:color="000000"/>
            </w:tcBorders>
          </w:tcPr>
          <w:p>
            <w:pPr>
              <w:pStyle w:val="TableParagraph"/>
              <w:rPr>
                <w:rFonts w:ascii="Times New Roman"/>
                <w:sz w:val="20"/>
              </w:rPr>
            </w:pPr>
          </w:p>
        </w:tc>
        <w:tc>
          <w:tcPr>
            <w:tcW w:w="1617" w:type="dxa"/>
            <w:tcBorders>
              <w:top w:val="nil"/>
              <w:left w:val="single" w:sz="4" w:space="0" w:color="000000"/>
              <w:bottom w:val="nil"/>
              <w:right w:val="single" w:sz="4" w:space="0" w:color="000000"/>
            </w:tcBorders>
          </w:tcPr>
          <w:p>
            <w:pPr>
              <w:pStyle w:val="TableParagraph"/>
              <w:spacing w:line="202" w:lineRule="exact"/>
              <w:ind w:left="308"/>
              <w:rPr>
                <w:sz w:val="20"/>
              </w:rPr>
            </w:pPr>
            <w:r>
              <w:rPr>
                <w:sz w:val="20"/>
              </w:rPr>
              <w:t>destinadas à</w:t>
            </w:r>
          </w:p>
          <w:p>
            <w:pPr>
              <w:pStyle w:val="TableParagraph"/>
              <w:spacing w:before="1"/>
              <w:ind w:left="368"/>
              <w:rPr>
                <w:sz w:val="20"/>
              </w:rPr>
            </w:pPr>
            <w:r>
              <w:rPr>
                <w:sz w:val="20"/>
              </w:rPr>
              <w:t>Assistência</w:t>
            </w:r>
          </w:p>
        </w:tc>
        <w:tc>
          <w:tcPr>
            <w:tcW w:w="3738" w:type="dxa"/>
            <w:vMerge/>
            <w:tcBorders>
              <w:top w:val="nil"/>
              <w:left w:val="single" w:sz="4" w:space="0" w:color="000000"/>
              <w:bottom w:val="single" w:sz="4" w:space="0" w:color="000000"/>
              <w:right w:val="single" w:sz="4" w:space="0" w:color="000000"/>
            </w:tcBorders>
          </w:tcPr>
          <w:p>
            <w:pPr>
              <w:rPr>
                <w:sz w:val="2"/>
                <w:szCs w:val="2"/>
              </w:rPr>
            </w:pP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spacing w:before="80"/>
              <w:ind w:left="381" w:right="352"/>
              <w:jc w:val="center"/>
              <w:rPr>
                <w:sz w:val="20"/>
              </w:rPr>
            </w:pPr>
            <w:r>
              <w:rPr>
                <w:sz w:val="20"/>
              </w:rPr>
              <w:t>Anual</w:t>
            </w:r>
          </w:p>
        </w:tc>
        <w:tc>
          <w:tcPr>
            <w:tcW w:w="1285" w:type="dxa"/>
            <w:tcBorders>
              <w:top w:val="nil"/>
              <w:left w:val="single" w:sz="4" w:space="0" w:color="000000"/>
              <w:bottom w:val="nil"/>
            </w:tcBorders>
          </w:tcPr>
          <w:p>
            <w:pPr>
              <w:pStyle w:val="TableParagraph"/>
              <w:spacing w:before="80"/>
              <w:ind w:left="59" w:right="21"/>
              <w:jc w:val="center"/>
              <w:rPr>
                <w:sz w:val="20"/>
              </w:rPr>
            </w:pPr>
            <w:r>
              <w:rPr>
                <w:sz w:val="20"/>
              </w:rPr>
              <w:t>SICCAU</w:t>
            </w:r>
          </w:p>
        </w:tc>
      </w:tr>
      <w:tr>
        <w:trPr>
          <w:trHeight w:val="233" w:hRule="atLeast"/>
        </w:trPr>
        <w:tc>
          <w:tcPr>
            <w:tcW w:w="1368" w:type="dxa"/>
            <w:tcBorders>
              <w:top w:val="nil"/>
              <w:bottom w:val="nil"/>
              <w:right w:val="single" w:sz="4" w:space="0" w:color="000000"/>
            </w:tcBorders>
          </w:tcPr>
          <w:p>
            <w:pPr>
              <w:pStyle w:val="TableParagraph"/>
              <w:rPr>
                <w:rFonts w:ascii="Times New Roman"/>
                <w:sz w:val="16"/>
              </w:rPr>
            </w:pPr>
          </w:p>
        </w:tc>
        <w:tc>
          <w:tcPr>
            <w:tcW w:w="1456" w:type="dxa"/>
            <w:tcBorders>
              <w:top w:val="nil"/>
              <w:left w:val="single" w:sz="4" w:space="0" w:color="000000"/>
              <w:bottom w:val="nil"/>
              <w:right w:val="single" w:sz="4" w:space="0" w:color="000000"/>
            </w:tcBorders>
          </w:tcPr>
          <w:p>
            <w:pPr>
              <w:pStyle w:val="TableParagraph"/>
              <w:rPr>
                <w:rFonts w:ascii="Times New Roman"/>
                <w:sz w:val="16"/>
              </w:rPr>
            </w:pPr>
          </w:p>
        </w:tc>
        <w:tc>
          <w:tcPr>
            <w:tcW w:w="1617" w:type="dxa"/>
            <w:tcBorders>
              <w:top w:val="nil"/>
              <w:left w:val="single" w:sz="4" w:space="0" w:color="000000"/>
              <w:bottom w:val="nil"/>
              <w:right w:val="single" w:sz="4" w:space="0" w:color="000000"/>
            </w:tcBorders>
          </w:tcPr>
          <w:p>
            <w:pPr>
              <w:pStyle w:val="TableParagraph"/>
              <w:spacing w:line="202" w:lineRule="exact"/>
              <w:ind w:left="82" w:right="57"/>
              <w:jc w:val="center"/>
              <w:rPr>
                <w:sz w:val="20"/>
              </w:rPr>
            </w:pPr>
            <w:r>
              <w:rPr>
                <w:sz w:val="20"/>
              </w:rPr>
              <w:t>Técnica (%)</w:t>
            </w:r>
          </w:p>
        </w:tc>
        <w:tc>
          <w:tcPr>
            <w:tcW w:w="3738" w:type="dxa"/>
            <w:vMerge/>
            <w:tcBorders>
              <w:top w:val="nil"/>
              <w:left w:val="single" w:sz="4" w:space="0" w:color="000000"/>
              <w:bottom w:val="single" w:sz="4" w:space="0" w:color="000000"/>
              <w:right w:val="single" w:sz="4" w:space="0" w:color="000000"/>
            </w:tcBorders>
          </w:tcPr>
          <w:p>
            <w:pPr>
              <w:rPr>
                <w:sz w:val="2"/>
                <w:szCs w:val="2"/>
              </w:rPr>
            </w:pP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nil"/>
              <w:right w:val="single" w:sz="4" w:space="0" w:color="000000"/>
            </w:tcBorders>
          </w:tcPr>
          <w:p>
            <w:pPr>
              <w:pStyle w:val="TableParagraph"/>
              <w:rPr>
                <w:rFonts w:ascii="Times New Roman"/>
                <w:sz w:val="16"/>
              </w:rPr>
            </w:pPr>
          </w:p>
        </w:tc>
        <w:tc>
          <w:tcPr>
            <w:tcW w:w="1285" w:type="dxa"/>
            <w:tcBorders>
              <w:top w:val="nil"/>
              <w:left w:val="single" w:sz="4" w:space="0" w:color="000000"/>
              <w:bottom w:val="nil"/>
            </w:tcBorders>
          </w:tcPr>
          <w:p>
            <w:pPr>
              <w:pStyle w:val="TableParagraph"/>
              <w:rPr>
                <w:rFonts w:ascii="Times New Roman"/>
                <w:sz w:val="16"/>
              </w:rPr>
            </w:pPr>
          </w:p>
        </w:tc>
      </w:tr>
      <w:tr>
        <w:trPr>
          <w:trHeight w:val="362" w:hRule="atLeast"/>
        </w:trPr>
        <w:tc>
          <w:tcPr>
            <w:tcW w:w="1368" w:type="dxa"/>
            <w:tcBorders>
              <w:top w:val="nil"/>
              <w:bottom w:val="single" w:sz="4" w:space="0" w:color="000000"/>
              <w:right w:val="single" w:sz="4" w:space="0" w:color="000000"/>
            </w:tcBorders>
          </w:tcPr>
          <w:p>
            <w:pPr>
              <w:pStyle w:val="TableParagraph"/>
              <w:rPr>
                <w:rFonts w:ascii="Times New Roman"/>
                <w:sz w:val="20"/>
              </w:rPr>
            </w:pPr>
          </w:p>
        </w:tc>
        <w:tc>
          <w:tcPr>
            <w:tcW w:w="1456"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17" w:type="dxa"/>
            <w:tcBorders>
              <w:top w:val="nil"/>
              <w:left w:val="single" w:sz="4" w:space="0" w:color="000000"/>
              <w:bottom w:val="single" w:sz="4" w:space="0" w:color="000000"/>
              <w:right w:val="single" w:sz="4" w:space="0" w:color="000000"/>
            </w:tcBorders>
          </w:tcPr>
          <w:p>
            <w:pPr>
              <w:pStyle w:val="TableParagraph"/>
              <w:spacing w:line="200" w:lineRule="exact"/>
              <w:ind w:left="79" w:right="58"/>
              <w:jc w:val="center"/>
              <w:rPr>
                <w:b/>
                <w:sz w:val="20"/>
              </w:rPr>
            </w:pPr>
            <w:r>
              <w:rPr>
                <w:b/>
                <w:sz w:val="20"/>
              </w:rPr>
              <w:t>(CAU/UF)</w:t>
            </w:r>
          </w:p>
        </w:tc>
        <w:tc>
          <w:tcPr>
            <w:tcW w:w="3738" w:type="dxa"/>
            <w:vMerge/>
            <w:tcBorders>
              <w:top w:val="nil"/>
              <w:left w:val="single" w:sz="4" w:space="0" w:color="000000"/>
              <w:bottom w:val="single" w:sz="4" w:space="0" w:color="000000"/>
              <w:right w:val="single" w:sz="4" w:space="0" w:color="000000"/>
            </w:tcBorders>
          </w:tcPr>
          <w:p>
            <w:pPr>
              <w:rPr>
                <w:sz w:val="2"/>
                <w:szCs w:val="2"/>
              </w:rPr>
            </w:pPr>
          </w:p>
        </w:tc>
        <w:tc>
          <w:tcPr>
            <w:tcW w:w="4859" w:type="dxa"/>
            <w:vMerge/>
            <w:tcBorders>
              <w:top w:val="nil"/>
              <w:left w:val="single" w:sz="4" w:space="0" w:color="000000"/>
              <w:bottom w:val="single" w:sz="4" w:space="0" w:color="000000"/>
              <w:right w:val="single" w:sz="4" w:space="0" w:color="000000"/>
            </w:tcBorders>
          </w:tcPr>
          <w:p>
            <w:pPr>
              <w:rPr>
                <w:sz w:val="2"/>
                <w:szCs w:val="2"/>
              </w:rPr>
            </w:pPr>
          </w:p>
        </w:tc>
        <w:tc>
          <w:tcPr>
            <w:tcW w:w="125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285"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headerReference w:type="default" r:id="rId33"/>
          <w:footerReference w:type="default" r:id="rId34"/>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33"/>
        <w:gridCol w:w="1557"/>
        <w:gridCol w:w="1376"/>
        <w:gridCol w:w="3163"/>
        <w:gridCol w:w="5134"/>
        <w:gridCol w:w="684"/>
        <w:gridCol w:w="1166"/>
        <w:gridCol w:w="1380"/>
      </w:tblGrid>
      <w:tr>
        <w:trPr>
          <w:trHeight w:val="1574" w:hRule="atLeast"/>
        </w:trPr>
        <w:tc>
          <w:tcPr>
            <w:tcW w:w="1133"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3"/>
              <w:rPr>
                <w:b/>
                <w:sz w:val="20"/>
              </w:rPr>
            </w:pPr>
            <w:r>
              <w:rPr>
                <w:b/>
                <w:color w:val="FFFFFF"/>
                <w:sz w:val="20"/>
              </w:rPr>
              <w:t>Perspectiva</w:t>
            </w:r>
          </w:p>
        </w:tc>
        <w:tc>
          <w:tcPr>
            <w:tcW w:w="155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1" w:firstLine="103"/>
              <w:rPr>
                <w:b/>
                <w:sz w:val="20"/>
              </w:rPr>
            </w:pPr>
            <w:r>
              <w:rPr>
                <w:b/>
                <w:color w:val="FFFFFF"/>
                <w:sz w:val="20"/>
              </w:rPr>
              <w:t>Objetivo </w:t>
            </w:r>
            <w:r>
              <w:rPr>
                <w:b/>
                <w:color w:val="FFFFFF"/>
                <w:w w:val="95"/>
                <w:sz w:val="20"/>
              </w:rPr>
              <w:t>Estratégico</w:t>
            </w:r>
          </w:p>
        </w:tc>
        <w:tc>
          <w:tcPr>
            <w:tcW w:w="137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300"/>
              <w:rPr>
                <w:b/>
                <w:sz w:val="20"/>
              </w:rPr>
            </w:pPr>
            <w:r>
              <w:rPr>
                <w:b/>
                <w:color w:val="FFFFFF"/>
                <w:sz w:val="20"/>
              </w:rPr>
              <w:t>Indicador</w:t>
            </w:r>
          </w:p>
        </w:tc>
        <w:tc>
          <w:tcPr>
            <w:tcW w:w="316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166" w:right="1145"/>
              <w:jc w:val="center"/>
              <w:rPr>
                <w:b/>
                <w:sz w:val="20"/>
              </w:rPr>
            </w:pPr>
            <w:r>
              <w:rPr>
                <w:b/>
                <w:color w:val="FFFFFF"/>
                <w:sz w:val="20"/>
              </w:rPr>
              <w:t>Descrição</w:t>
            </w:r>
          </w:p>
        </w:tc>
        <w:tc>
          <w:tcPr>
            <w:tcW w:w="5818"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2098" w:right="2080"/>
              <w:jc w:val="center"/>
              <w:rPr>
                <w:b/>
                <w:sz w:val="20"/>
              </w:rPr>
            </w:pPr>
            <w:r>
              <w:rPr>
                <w:b/>
                <w:color w:val="FFFFFF"/>
                <w:sz w:val="20"/>
              </w:rPr>
              <w:t>Fórmula de Cálculo</w:t>
            </w:r>
          </w:p>
        </w:tc>
        <w:tc>
          <w:tcPr>
            <w:tcW w:w="116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04" w:right="56" w:firstLine="28"/>
              <w:rPr>
                <w:b/>
                <w:sz w:val="20"/>
              </w:rPr>
            </w:pPr>
            <w:r>
              <w:rPr>
                <w:b/>
                <w:color w:val="FFFFFF"/>
                <w:sz w:val="20"/>
              </w:rPr>
              <w:t>Frequência de Medição</w:t>
            </w:r>
          </w:p>
        </w:tc>
        <w:tc>
          <w:tcPr>
            <w:tcW w:w="1380"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04" w:right="255" w:firstLine="24"/>
              <w:rPr>
                <w:b/>
                <w:sz w:val="20"/>
              </w:rPr>
            </w:pPr>
            <w:r>
              <w:rPr>
                <w:b/>
                <w:color w:val="FFFFFF"/>
                <w:sz w:val="20"/>
              </w:rPr>
              <w:t>Fonte do Indicador</w:t>
            </w:r>
          </w:p>
        </w:tc>
      </w:tr>
      <w:tr>
        <w:trPr>
          <w:trHeight w:val="1662" w:hRule="atLeast"/>
        </w:trPr>
        <w:tc>
          <w:tcPr>
            <w:tcW w:w="1133"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4"/>
              <w:rPr>
                <w:rFonts w:ascii="Calibri Light"/>
                <w:b w:val="0"/>
                <w:sz w:val="29"/>
              </w:rPr>
            </w:pPr>
          </w:p>
          <w:p>
            <w:pPr>
              <w:pStyle w:val="TableParagraph"/>
              <w:ind w:left="119" w:right="106" w:hanging="2"/>
              <w:jc w:val="center"/>
              <w:rPr>
                <w:sz w:val="20"/>
              </w:rPr>
            </w:pPr>
            <w:r>
              <w:rPr>
                <w:sz w:val="20"/>
              </w:rPr>
              <w:t>Processos Internos (Relação com a </w:t>
            </w:r>
            <w:r>
              <w:rPr>
                <w:spacing w:val="-1"/>
                <w:sz w:val="20"/>
              </w:rPr>
              <w:t>Sociedade)</w:t>
            </w:r>
          </w:p>
        </w:tc>
        <w:tc>
          <w:tcPr>
            <w:tcW w:w="1557"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4"/>
              <w:rPr>
                <w:rFonts w:ascii="Calibri Light"/>
                <w:b w:val="0"/>
                <w:sz w:val="29"/>
              </w:rPr>
            </w:pPr>
          </w:p>
          <w:p>
            <w:pPr>
              <w:pStyle w:val="TableParagraph"/>
              <w:ind w:left="103" w:right="88" w:firstLine="1"/>
              <w:jc w:val="center"/>
              <w:rPr>
                <w:sz w:val="20"/>
              </w:rPr>
            </w:pPr>
            <w:r>
              <w:rPr>
                <w:sz w:val="20"/>
              </w:rPr>
              <w:t>Assegurar a eficácia no relacionamento e comunicação com a sociedade</w:t>
            </w:r>
          </w:p>
        </w:tc>
        <w:tc>
          <w:tcPr>
            <w:tcW w:w="1376" w:type="dxa"/>
            <w:tcBorders>
              <w:left w:val="single" w:sz="4" w:space="0" w:color="000000"/>
              <w:bottom w:val="single" w:sz="4" w:space="0" w:color="000000"/>
              <w:right w:val="single" w:sz="4" w:space="0" w:color="000000"/>
            </w:tcBorders>
          </w:tcPr>
          <w:p>
            <w:pPr>
              <w:pStyle w:val="TableParagraph"/>
              <w:spacing w:before="7"/>
              <w:rPr>
                <w:rFonts w:ascii="Calibri Light"/>
                <w:b w:val="0"/>
                <w:sz w:val="26"/>
              </w:rPr>
            </w:pPr>
          </w:p>
          <w:p>
            <w:pPr>
              <w:pStyle w:val="TableParagraph"/>
              <w:ind w:left="96" w:right="75" w:hanging="4"/>
              <w:jc w:val="center"/>
              <w:rPr>
                <w:b/>
                <w:sz w:val="20"/>
              </w:rPr>
            </w:pPr>
            <w:r>
              <w:rPr>
                <w:sz w:val="20"/>
              </w:rPr>
              <w:t>Acessos à página do CAU (Qtd.) </w:t>
            </w:r>
            <w:r>
              <w:rPr>
                <w:b/>
                <w:sz w:val="20"/>
              </w:rPr>
              <w:t>(CAU/UF)</w:t>
            </w:r>
          </w:p>
        </w:tc>
        <w:tc>
          <w:tcPr>
            <w:tcW w:w="3163" w:type="dxa"/>
            <w:tcBorders>
              <w:left w:val="single" w:sz="4" w:space="0" w:color="000000"/>
              <w:bottom w:val="single" w:sz="4" w:space="0" w:color="000000"/>
              <w:right w:val="single" w:sz="4" w:space="0" w:color="000000"/>
            </w:tcBorders>
          </w:tcPr>
          <w:p>
            <w:pPr>
              <w:pStyle w:val="TableParagraph"/>
              <w:spacing w:before="7"/>
              <w:rPr>
                <w:rFonts w:ascii="Calibri Light"/>
                <w:b w:val="0"/>
                <w:sz w:val="26"/>
              </w:rPr>
            </w:pPr>
          </w:p>
          <w:p>
            <w:pPr>
              <w:pStyle w:val="TableParagraph"/>
              <w:ind w:left="77" w:right="53"/>
              <w:jc w:val="both"/>
              <w:rPr>
                <w:sz w:val="20"/>
              </w:rPr>
            </w:pPr>
            <w:r>
              <w:rPr>
                <w:sz w:val="20"/>
              </w:rPr>
              <w:t>Mede o quanto a sociedade está acessando o site dos CAU/UF para buscar informações sobre o CAU ou sobre Arquitetura e Urbanismo.</w:t>
            </w:r>
          </w:p>
        </w:tc>
        <w:tc>
          <w:tcPr>
            <w:tcW w:w="5818" w:type="dxa"/>
            <w:gridSpan w:val="2"/>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26"/>
              </w:rPr>
            </w:pPr>
          </w:p>
          <w:p>
            <w:pPr>
              <w:pStyle w:val="TableParagraph"/>
              <w:ind w:left="2590" w:right="196" w:hanging="2355"/>
              <w:rPr>
                <w:sz w:val="20"/>
              </w:rPr>
            </w:pPr>
            <w:r>
              <w:rPr>
                <w:sz w:val="20"/>
              </w:rPr>
              <w:t>quantidade de acessos qualificados (visitantes únicos) a página do CAU/UF</w:t>
            </w:r>
          </w:p>
        </w:tc>
        <w:tc>
          <w:tcPr>
            <w:tcW w:w="1166" w:type="dxa"/>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8"/>
              <w:rPr>
                <w:rFonts w:ascii="Calibri Light"/>
                <w:b w:val="0"/>
                <w:sz w:val="16"/>
              </w:rPr>
            </w:pPr>
          </w:p>
          <w:p>
            <w:pPr>
              <w:pStyle w:val="TableParagraph"/>
              <w:ind w:left="167" w:right="140"/>
              <w:jc w:val="center"/>
              <w:rPr>
                <w:sz w:val="20"/>
              </w:rPr>
            </w:pPr>
            <w:r>
              <w:rPr>
                <w:sz w:val="20"/>
              </w:rPr>
              <w:t>Mensal</w:t>
            </w:r>
          </w:p>
        </w:tc>
        <w:tc>
          <w:tcPr>
            <w:tcW w:w="1380" w:type="dxa"/>
            <w:tcBorders>
              <w:left w:val="single" w:sz="4" w:space="0" w:color="000000"/>
              <w:bottom w:val="single" w:sz="4" w:space="0" w:color="000000"/>
            </w:tcBorders>
          </w:tcPr>
          <w:p>
            <w:pPr>
              <w:pStyle w:val="TableParagraph"/>
              <w:rPr>
                <w:rFonts w:ascii="Calibri Light"/>
                <w:b w:val="0"/>
                <w:sz w:val="20"/>
              </w:rPr>
            </w:pPr>
          </w:p>
          <w:p>
            <w:pPr>
              <w:pStyle w:val="TableParagraph"/>
              <w:spacing w:before="8"/>
              <w:rPr>
                <w:rFonts w:ascii="Calibri Light"/>
                <w:b w:val="0"/>
                <w:sz w:val="16"/>
              </w:rPr>
            </w:pPr>
          </w:p>
          <w:p>
            <w:pPr>
              <w:pStyle w:val="TableParagraph"/>
              <w:ind w:left="150" w:right="120" w:firstLine="3"/>
              <w:jc w:val="center"/>
              <w:rPr>
                <w:sz w:val="20"/>
              </w:rPr>
            </w:pPr>
            <w:r>
              <w:rPr>
                <w:sz w:val="20"/>
              </w:rPr>
              <w:t>Área de Comunicação CAU/UF</w:t>
            </w:r>
          </w:p>
        </w:tc>
      </w:tr>
      <w:tr>
        <w:trPr>
          <w:trHeight w:val="896"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190" w:right="173" w:firstLine="3"/>
              <w:jc w:val="center"/>
              <w:rPr>
                <w:b/>
                <w:sz w:val="20"/>
              </w:rPr>
            </w:pPr>
            <w:r>
              <w:rPr>
                <w:sz w:val="20"/>
              </w:rPr>
              <w:t>Índice de presença na mídia como um todo (%) </w:t>
            </w:r>
            <w:r>
              <w:rPr>
                <w:b/>
                <w:sz w:val="20"/>
              </w:rPr>
              <w:t>(CAU/UF)</w:t>
            </w:r>
          </w:p>
        </w:tc>
        <w:tc>
          <w:tcPr>
            <w:tcW w:w="31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4"/>
              <w:ind w:left="77" w:right="50"/>
              <w:jc w:val="both"/>
              <w:rPr>
                <w:sz w:val="20"/>
              </w:rPr>
            </w:pPr>
            <w:r>
              <w:rPr>
                <w:sz w:val="20"/>
              </w:rPr>
              <w:t>Mede se o CAU está sendo chamado a se pronunciar sobre questões de Arquitetura e Urbanismo nas</w:t>
            </w:r>
            <w:r>
              <w:rPr>
                <w:spacing w:val="-13"/>
                <w:sz w:val="20"/>
              </w:rPr>
              <w:t> </w:t>
            </w:r>
            <w:r>
              <w:rPr>
                <w:sz w:val="20"/>
              </w:rPr>
              <w:t>notícias sobre esse assunto, representando assim um reconhecimento sobre sua posição na</w:t>
            </w:r>
            <w:r>
              <w:rPr>
                <w:spacing w:val="-1"/>
                <w:sz w:val="20"/>
              </w:rPr>
              <w:t> </w:t>
            </w:r>
            <w:r>
              <w:rPr>
                <w:sz w:val="20"/>
              </w:rPr>
              <w:t>sociedade.</w:t>
            </w:r>
          </w:p>
        </w:tc>
        <w:tc>
          <w:tcPr>
            <w:tcW w:w="5134" w:type="dxa"/>
            <w:tcBorders>
              <w:top w:val="single" w:sz="4" w:space="0" w:color="000000"/>
              <w:left w:val="single" w:sz="4" w:space="0" w:color="000000"/>
              <w:bottom w:val="nil"/>
              <w:right w:val="nil"/>
            </w:tcBorders>
          </w:tcPr>
          <w:p>
            <w:pPr>
              <w:pStyle w:val="TableParagraph"/>
              <w:spacing w:before="10"/>
              <w:rPr>
                <w:rFonts w:ascii="Calibri Light"/>
                <w:b w:val="0"/>
                <w:sz w:val="29"/>
              </w:rPr>
            </w:pPr>
          </w:p>
          <w:p>
            <w:pPr>
              <w:pStyle w:val="TableParagraph"/>
              <w:ind w:right="12"/>
              <w:jc w:val="center"/>
              <w:rPr>
                <w:sz w:val="20"/>
              </w:rPr>
            </w:pPr>
            <w:r>
              <w:rPr>
                <w:sz w:val="20"/>
              </w:rPr>
              <w:t>número de inserções na mídia em geral onde o CAU/UF foi</w:t>
            </w:r>
          </w:p>
          <w:p>
            <w:pPr>
              <w:pStyle w:val="TableParagraph"/>
              <w:tabs>
                <w:tab w:pos="2296" w:val="left" w:leader="none"/>
                <w:tab w:pos="5100" w:val="left" w:leader="none"/>
              </w:tabs>
              <w:ind w:right="5"/>
              <w:jc w:val="center"/>
              <w:rPr>
                <w:sz w:val="20"/>
              </w:rPr>
            </w:pPr>
            <w:r>
              <w:rPr>
                <w:w w:val="99"/>
                <w:sz w:val="20"/>
                <w:u w:val="single"/>
              </w:rPr>
              <w:t> </w:t>
            </w:r>
            <w:r>
              <w:rPr>
                <w:sz w:val="20"/>
                <w:u w:val="single"/>
              </w:rPr>
              <w:tab/>
              <w:t>citado</w:t>
              <w:tab/>
            </w:r>
          </w:p>
        </w:tc>
        <w:tc>
          <w:tcPr>
            <w:tcW w:w="684"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9"/>
              <w:rPr>
                <w:sz w:val="20"/>
              </w:rPr>
            </w:pPr>
            <w:r>
              <w:rPr>
                <w:sz w:val="20"/>
              </w:rPr>
              <w:t>x 100</w:t>
            </w:r>
          </w:p>
        </w:tc>
        <w:tc>
          <w:tcPr>
            <w:tcW w:w="116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176"/>
              <w:rPr>
                <w:sz w:val="20"/>
              </w:rPr>
            </w:pPr>
            <w:r>
              <w:rPr>
                <w:sz w:val="20"/>
              </w:rPr>
              <w:t>Trimestral</w:t>
            </w:r>
          </w:p>
        </w:tc>
        <w:tc>
          <w:tcPr>
            <w:tcW w:w="138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spacing w:before="1"/>
              <w:ind w:left="150" w:right="120" w:firstLine="3"/>
              <w:jc w:val="center"/>
              <w:rPr>
                <w:sz w:val="20"/>
              </w:rPr>
            </w:pPr>
            <w:r>
              <w:rPr>
                <w:sz w:val="20"/>
              </w:rPr>
              <w:t>Área de Comunicação CAU/UF</w:t>
            </w:r>
          </w:p>
        </w:tc>
      </w:tr>
      <w:tr>
        <w:trPr>
          <w:trHeight w:val="843"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vMerge/>
            <w:tcBorders>
              <w:top w:val="nil"/>
              <w:left w:val="single" w:sz="4" w:space="0" w:color="000000"/>
              <w:bottom w:val="single" w:sz="4" w:space="0" w:color="000000"/>
              <w:right w:val="single" w:sz="4" w:space="0" w:color="000000"/>
            </w:tcBorders>
          </w:tcPr>
          <w:p>
            <w:pPr>
              <w:rPr>
                <w:sz w:val="2"/>
                <w:szCs w:val="2"/>
              </w:rPr>
            </w:pPr>
          </w:p>
        </w:tc>
        <w:tc>
          <w:tcPr>
            <w:tcW w:w="3163" w:type="dxa"/>
            <w:vMerge/>
            <w:tcBorders>
              <w:top w:val="nil"/>
              <w:left w:val="single" w:sz="4" w:space="0" w:color="000000"/>
              <w:bottom w:val="single" w:sz="4" w:space="0" w:color="000000"/>
              <w:right w:val="single" w:sz="4" w:space="0" w:color="000000"/>
            </w:tcBorders>
          </w:tcPr>
          <w:p>
            <w:pPr>
              <w:rPr>
                <w:sz w:val="2"/>
                <w:szCs w:val="2"/>
              </w:rPr>
            </w:pPr>
          </w:p>
        </w:tc>
        <w:tc>
          <w:tcPr>
            <w:tcW w:w="5134" w:type="dxa"/>
            <w:tcBorders>
              <w:top w:val="nil"/>
              <w:left w:val="single" w:sz="4" w:space="0" w:color="000000"/>
              <w:bottom w:val="single" w:sz="4" w:space="0" w:color="000000"/>
              <w:right w:val="nil"/>
            </w:tcBorders>
          </w:tcPr>
          <w:p>
            <w:pPr>
              <w:pStyle w:val="TableParagraph"/>
              <w:spacing w:line="199" w:lineRule="exact"/>
              <w:ind w:right="14"/>
              <w:jc w:val="center"/>
              <w:rPr>
                <w:sz w:val="20"/>
              </w:rPr>
            </w:pPr>
            <w:r>
              <w:rPr>
                <w:sz w:val="20"/>
              </w:rPr>
              <w:t>total de notícias sobre questões de Arquitetura e Urbanismo</w:t>
            </w:r>
          </w:p>
        </w:tc>
        <w:tc>
          <w:tcPr>
            <w:tcW w:w="684" w:type="dxa"/>
            <w:vMerge/>
            <w:tcBorders>
              <w:top w:val="nil"/>
              <w:left w:val="nil"/>
              <w:bottom w:val="single" w:sz="4" w:space="0" w:color="000000"/>
              <w:right w:val="single" w:sz="4" w:space="0" w:color="000000"/>
            </w:tcBorders>
          </w:tcPr>
          <w:p>
            <w:pPr>
              <w:rPr>
                <w:sz w:val="2"/>
                <w:szCs w:val="2"/>
              </w:rPr>
            </w:pPr>
          </w:p>
        </w:tc>
        <w:tc>
          <w:tcPr>
            <w:tcW w:w="1166" w:type="dxa"/>
            <w:vMerge/>
            <w:tcBorders>
              <w:top w:val="nil"/>
              <w:left w:val="single" w:sz="4" w:space="0" w:color="000000"/>
              <w:bottom w:val="single" w:sz="4" w:space="0" w:color="000000"/>
              <w:right w:val="single" w:sz="4" w:space="0" w:color="000000"/>
            </w:tcBorders>
          </w:tcPr>
          <w:p>
            <w:pPr>
              <w:rPr>
                <w:sz w:val="2"/>
                <w:szCs w:val="2"/>
              </w:rPr>
            </w:pPr>
          </w:p>
        </w:tc>
        <w:tc>
          <w:tcPr>
            <w:tcW w:w="1380" w:type="dxa"/>
            <w:vMerge/>
            <w:tcBorders>
              <w:top w:val="nil"/>
              <w:left w:val="single" w:sz="4" w:space="0" w:color="000000"/>
              <w:bottom w:val="single" w:sz="4" w:space="0" w:color="000000"/>
            </w:tcBorders>
          </w:tcPr>
          <w:p>
            <w:pPr>
              <w:rPr>
                <w:sz w:val="2"/>
                <w:szCs w:val="2"/>
              </w:rPr>
            </w:pPr>
          </w:p>
        </w:tc>
      </w:tr>
      <w:tr>
        <w:trPr>
          <w:trHeight w:val="897"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rFonts w:ascii="Calibri Light"/>
                <w:b w:val="0"/>
                <w:sz w:val="20"/>
              </w:rPr>
            </w:pPr>
          </w:p>
          <w:p>
            <w:pPr>
              <w:pStyle w:val="TableParagraph"/>
              <w:spacing w:before="1"/>
              <w:ind w:left="211" w:right="193" w:firstLine="1"/>
              <w:jc w:val="center"/>
              <w:rPr>
                <w:b/>
                <w:sz w:val="20"/>
              </w:rPr>
            </w:pPr>
            <w:r>
              <w:rPr>
                <w:sz w:val="20"/>
              </w:rPr>
              <w:t>Índice de inserções positivas na mídia (%) </w:t>
            </w:r>
            <w:r>
              <w:rPr>
                <w:b/>
                <w:sz w:val="20"/>
              </w:rPr>
              <w:t>(CAU/UF)</w:t>
            </w:r>
          </w:p>
        </w:tc>
        <w:tc>
          <w:tcPr>
            <w:tcW w:w="316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rFonts w:ascii="Calibri Light"/>
                <w:b w:val="0"/>
                <w:sz w:val="20"/>
              </w:rPr>
            </w:pPr>
          </w:p>
          <w:p>
            <w:pPr>
              <w:pStyle w:val="TableParagraph"/>
              <w:spacing w:before="1"/>
              <w:ind w:left="77" w:right="53"/>
              <w:jc w:val="both"/>
              <w:rPr>
                <w:sz w:val="20"/>
              </w:rPr>
            </w:pPr>
            <w:r>
              <w:rPr>
                <w:sz w:val="20"/>
              </w:rPr>
              <w:t>Para todas as menções ao CAU na mídia, é preciso medir quantas delas foram positivas, levando ao entendimento do bom papel sendo desempenhado pelo CAU.</w:t>
            </w:r>
          </w:p>
        </w:tc>
        <w:tc>
          <w:tcPr>
            <w:tcW w:w="5134"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470" w:val="left" w:leader="none"/>
                <w:tab w:pos="5100" w:val="left" w:leader="none"/>
              </w:tabs>
              <w:spacing w:before="1"/>
              <w:ind w:right="5"/>
              <w:jc w:val="center"/>
              <w:rPr>
                <w:sz w:val="20"/>
              </w:rPr>
            </w:pPr>
            <w:r>
              <w:rPr>
                <w:w w:val="99"/>
                <w:sz w:val="20"/>
                <w:u w:val="single"/>
              </w:rPr>
              <w:t> </w:t>
            </w:r>
            <w:r>
              <w:rPr>
                <w:sz w:val="20"/>
                <w:u w:val="single"/>
              </w:rPr>
              <w:tab/>
              <w:t>número de inserções positivas do CAU/UF na</w:t>
            </w:r>
            <w:r>
              <w:rPr>
                <w:spacing w:val="-18"/>
                <w:sz w:val="20"/>
                <w:u w:val="single"/>
              </w:rPr>
              <w:t> </w:t>
            </w:r>
            <w:r>
              <w:rPr>
                <w:sz w:val="20"/>
                <w:u w:val="single"/>
              </w:rPr>
              <w:t>mídia</w:t>
              <w:tab/>
            </w:r>
          </w:p>
        </w:tc>
        <w:tc>
          <w:tcPr>
            <w:tcW w:w="684"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51"/>
              <w:rPr>
                <w:sz w:val="20"/>
              </w:rPr>
            </w:pPr>
            <w:r>
              <w:rPr>
                <w:sz w:val="20"/>
              </w:rPr>
              <w:t>x 100</w:t>
            </w:r>
          </w:p>
        </w:tc>
        <w:tc>
          <w:tcPr>
            <w:tcW w:w="116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176"/>
              <w:rPr>
                <w:sz w:val="20"/>
              </w:rPr>
            </w:pPr>
            <w:r>
              <w:rPr>
                <w:sz w:val="20"/>
              </w:rPr>
              <w:t>Trimestral</w:t>
            </w:r>
          </w:p>
        </w:tc>
        <w:tc>
          <w:tcPr>
            <w:tcW w:w="138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3"/>
              <w:rPr>
                <w:rFonts w:ascii="Calibri Light"/>
                <w:b w:val="0"/>
                <w:sz w:val="20"/>
              </w:rPr>
            </w:pPr>
          </w:p>
          <w:p>
            <w:pPr>
              <w:pStyle w:val="TableParagraph"/>
              <w:ind w:left="150" w:right="121" w:firstLine="3"/>
              <w:jc w:val="center"/>
              <w:rPr>
                <w:sz w:val="20"/>
              </w:rPr>
            </w:pPr>
            <w:r>
              <w:rPr>
                <w:sz w:val="20"/>
              </w:rPr>
              <w:t>Área de </w:t>
            </w:r>
            <w:r>
              <w:rPr>
                <w:spacing w:val="-1"/>
                <w:sz w:val="20"/>
              </w:rPr>
              <w:t>Comunicação </w:t>
            </w:r>
            <w:r>
              <w:rPr>
                <w:sz w:val="20"/>
              </w:rPr>
              <w:t>CAU/UF</w:t>
            </w:r>
          </w:p>
        </w:tc>
      </w:tr>
      <w:tr>
        <w:trPr>
          <w:trHeight w:val="844"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vMerge/>
            <w:tcBorders>
              <w:top w:val="nil"/>
              <w:left w:val="single" w:sz="4" w:space="0" w:color="000000"/>
              <w:bottom w:val="single" w:sz="4" w:space="0" w:color="000000"/>
              <w:right w:val="single" w:sz="4" w:space="0" w:color="000000"/>
            </w:tcBorders>
          </w:tcPr>
          <w:p>
            <w:pPr>
              <w:rPr>
                <w:sz w:val="2"/>
                <w:szCs w:val="2"/>
              </w:rPr>
            </w:pPr>
          </w:p>
        </w:tc>
        <w:tc>
          <w:tcPr>
            <w:tcW w:w="3163" w:type="dxa"/>
            <w:vMerge/>
            <w:tcBorders>
              <w:top w:val="nil"/>
              <w:left w:val="single" w:sz="4" w:space="0" w:color="000000"/>
              <w:bottom w:val="single" w:sz="4" w:space="0" w:color="000000"/>
              <w:right w:val="single" w:sz="4" w:space="0" w:color="000000"/>
            </w:tcBorders>
          </w:tcPr>
          <w:p>
            <w:pPr>
              <w:rPr>
                <w:sz w:val="2"/>
                <w:szCs w:val="2"/>
              </w:rPr>
            </w:pPr>
          </w:p>
        </w:tc>
        <w:tc>
          <w:tcPr>
            <w:tcW w:w="5134" w:type="dxa"/>
            <w:tcBorders>
              <w:top w:val="nil"/>
              <w:left w:val="single" w:sz="4" w:space="0" w:color="000000"/>
              <w:bottom w:val="single" w:sz="4" w:space="0" w:color="000000"/>
              <w:right w:val="nil"/>
            </w:tcBorders>
          </w:tcPr>
          <w:p>
            <w:pPr>
              <w:pStyle w:val="TableParagraph"/>
              <w:spacing w:line="200" w:lineRule="exact"/>
              <w:ind w:right="14"/>
              <w:jc w:val="center"/>
              <w:rPr>
                <w:sz w:val="20"/>
              </w:rPr>
            </w:pPr>
            <w:r>
              <w:rPr>
                <w:sz w:val="20"/>
              </w:rPr>
              <w:t>total de inserções do CAU na mídia</w:t>
            </w:r>
          </w:p>
        </w:tc>
        <w:tc>
          <w:tcPr>
            <w:tcW w:w="684" w:type="dxa"/>
            <w:vMerge/>
            <w:tcBorders>
              <w:top w:val="nil"/>
              <w:left w:val="nil"/>
              <w:bottom w:val="single" w:sz="4" w:space="0" w:color="000000"/>
              <w:right w:val="single" w:sz="4" w:space="0" w:color="000000"/>
            </w:tcBorders>
          </w:tcPr>
          <w:p>
            <w:pPr>
              <w:rPr>
                <w:sz w:val="2"/>
                <w:szCs w:val="2"/>
              </w:rPr>
            </w:pPr>
          </w:p>
        </w:tc>
        <w:tc>
          <w:tcPr>
            <w:tcW w:w="1166" w:type="dxa"/>
            <w:vMerge/>
            <w:tcBorders>
              <w:top w:val="nil"/>
              <w:left w:val="single" w:sz="4" w:space="0" w:color="000000"/>
              <w:bottom w:val="single" w:sz="4" w:space="0" w:color="000000"/>
              <w:right w:val="single" w:sz="4" w:space="0" w:color="000000"/>
            </w:tcBorders>
          </w:tcPr>
          <w:p>
            <w:pPr>
              <w:rPr>
                <w:sz w:val="2"/>
                <w:szCs w:val="2"/>
              </w:rPr>
            </w:pPr>
          </w:p>
        </w:tc>
        <w:tc>
          <w:tcPr>
            <w:tcW w:w="1380" w:type="dxa"/>
            <w:vMerge/>
            <w:tcBorders>
              <w:top w:val="nil"/>
              <w:left w:val="single" w:sz="4" w:space="0" w:color="000000"/>
              <w:bottom w:val="single" w:sz="4" w:space="0" w:color="000000"/>
            </w:tcBorders>
          </w:tcPr>
          <w:p>
            <w:pPr>
              <w:rPr>
                <w:sz w:val="2"/>
                <w:szCs w:val="2"/>
              </w:rPr>
            </w:pPr>
          </w:p>
        </w:tc>
      </w:tr>
      <w:tr>
        <w:trPr>
          <w:trHeight w:val="1660" w:hRule="atLeast"/>
        </w:trPr>
        <w:tc>
          <w:tcPr>
            <w:tcW w:w="1133" w:type="dxa"/>
            <w:vMerge/>
            <w:tcBorders>
              <w:top w:val="nil"/>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1376" w:type="dxa"/>
            <w:tcBorders>
              <w:top w:val="single" w:sz="4" w:space="0" w:color="000000"/>
              <w:left w:val="single" w:sz="4" w:space="0" w:color="000000"/>
              <w:bottom w:val="single" w:sz="4" w:space="0" w:color="000000"/>
              <w:right w:val="single" w:sz="4" w:space="0" w:color="000000"/>
            </w:tcBorders>
          </w:tcPr>
          <w:p>
            <w:pPr>
              <w:pStyle w:val="TableParagraph"/>
              <w:spacing w:before="80"/>
              <w:ind w:left="87" w:right="66" w:hanging="1"/>
              <w:jc w:val="center"/>
              <w:rPr>
                <w:sz w:val="20"/>
              </w:rPr>
            </w:pPr>
            <w:r>
              <w:rPr>
                <w:sz w:val="20"/>
              </w:rPr>
              <w:t>Número de visualizações das     publicações do CAU/UF das redes sociais</w:t>
            </w:r>
          </w:p>
        </w:tc>
        <w:tc>
          <w:tcPr>
            <w:tcW w:w="3163" w:type="dxa"/>
            <w:tcBorders>
              <w:top w:val="single" w:sz="4" w:space="0" w:color="000000"/>
              <w:left w:val="single" w:sz="4" w:space="0" w:color="000000"/>
              <w:bottom w:val="single" w:sz="4" w:space="0" w:color="000000"/>
              <w:right w:val="single" w:sz="4" w:space="0" w:color="000000"/>
            </w:tcBorders>
          </w:tcPr>
          <w:p>
            <w:pPr>
              <w:pStyle w:val="TableParagraph"/>
              <w:spacing w:before="5"/>
              <w:rPr>
                <w:rFonts w:ascii="Calibri Light"/>
                <w:b w:val="0"/>
                <w:sz w:val="26"/>
              </w:rPr>
            </w:pPr>
          </w:p>
          <w:p>
            <w:pPr>
              <w:pStyle w:val="TableParagraph"/>
              <w:ind w:left="77" w:right="53"/>
              <w:jc w:val="both"/>
              <w:rPr>
                <w:sz w:val="20"/>
              </w:rPr>
            </w:pPr>
            <w:r>
              <w:rPr>
                <w:sz w:val="20"/>
              </w:rPr>
              <w:t>Indica o número de vezes que as publicações na página do CAU/UF foram visualizadas pelos seguidores nas redes sociais.</w:t>
            </w:r>
          </w:p>
        </w:tc>
        <w:tc>
          <w:tcPr>
            <w:tcW w:w="581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6"/>
              <w:rPr>
                <w:rFonts w:ascii="Calibri Light"/>
                <w:b w:val="0"/>
                <w:sz w:val="26"/>
              </w:rPr>
            </w:pPr>
          </w:p>
          <w:p>
            <w:pPr>
              <w:pStyle w:val="TableParagraph"/>
              <w:ind w:left="2648" w:hanging="2417"/>
              <w:rPr>
                <w:sz w:val="20"/>
              </w:rPr>
            </w:pPr>
            <w:r>
              <w:rPr>
                <w:sz w:val="20"/>
              </w:rPr>
              <w:t>quantidade de visualizações das publicações do CAU/UF das redes sociais</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6"/>
              </w:rPr>
            </w:pPr>
          </w:p>
          <w:p>
            <w:pPr>
              <w:pStyle w:val="TableParagraph"/>
              <w:ind w:left="167" w:right="140"/>
              <w:jc w:val="center"/>
              <w:rPr>
                <w:sz w:val="20"/>
              </w:rPr>
            </w:pPr>
            <w:r>
              <w:rPr>
                <w:sz w:val="20"/>
              </w:rPr>
              <w:t>Semestral</w:t>
            </w:r>
          </w:p>
        </w:tc>
        <w:tc>
          <w:tcPr>
            <w:tcW w:w="1380" w:type="dxa"/>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6"/>
              </w:rPr>
            </w:pPr>
          </w:p>
          <w:p>
            <w:pPr>
              <w:pStyle w:val="TableParagraph"/>
              <w:ind w:left="484" w:right="458"/>
              <w:jc w:val="center"/>
              <w:rPr>
                <w:sz w:val="20"/>
              </w:rPr>
            </w:pPr>
            <w:r>
              <w:rPr>
                <w:sz w:val="20"/>
              </w:rPr>
              <w:t>Sites</w:t>
            </w:r>
          </w:p>
        </w:tc>
      </w:tr>
    </w:tbl>
    <w:p>
      <w:pPr>
        <w:spacing w:after="0"/>
        <w:jc w:val="center"/>
        <w:rPr>
          <w:sz w:val="20"/>
        </w:rPr>
        <w:sectPr>
          <w:headerReference w:type="default" r:id="rId35"/>
          <w:footerReference w:type="default" r:id="rId36"/>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0"/>
        <w:gridCol w:w="1663"/>
        <w:gridCol w:w="1630"/>
        <w:gridCol w:w="1106"/>
        <w:gridCol w:w="2722"/>
        <w:gridCol w:w="3386"/>
        <w:gridCol w:w="729"/>
        <w:gridCol w:w="1133"/>
        <w:gridCol w:w="1419"/>
      </w:tblGrid>
      <w:tr>
        <w:trPr>
          <w:trHeight w:val="1574" w:hRule="atLeast"/>
        </w:trPr>
        <w:tc>
          <w:tcPr>
            <w:tcW w:w="1810"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21"/>
              <w:rPr>
                <w:b/>
                <w:sz w:val="20"/>
              </w:rPr>
            </w:pPr>
            <w:r>
              <w:rPr>
                <w:b/>
                <w:color w:val="FFFFFF"/>
                <w:sz w:val="20"/>
              </w:rPr>
              <w:t>Perspectiva</w:t>
            </w:r>
          </w:p>
        </w:tc>
        <w:tc>
          <w:tcPr>
            <w:tcW w:w="166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76" w:firstLine="105"/>
              <w:rPr>
                <w:b/>
                <w:sz w:val="20"/>
              </w:rPr>
            </w:pPr>
            <w:r>
              <w:rPr>
                <w:b/>
                <w:color w:val="FFFFFF"/>
                <w:sz w:val="20"/>
              </w:rPr>
              <w:t>Objetivo </w:t>
            </w:r>
            <w:r>
              <w:rPr>
                <w:b/>
                <w:color w:val="FFFFFF"/>
                <w:w w:val="95"/>
                <w:sz w:val="20"/>
              </w:rPr>
              <w:t>Estratégico</w:t>
            </w:r>
          </w:p>
        </w:tc>
        <w:tc>
          <w:tcPr>
            <w:tcW w:w="1630"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7" w:right="68"/>
              <w:jc w:val="center"/>
              <w:rPr>
                <w:b/>
                <w:sz w:val="20"/>
              </w:rPr>
            </w:pPr>
            <w:r>
              <w:rPr>
                <w:b/>
                <w:color w:val="FFFFFF"/>
                <w:sz w:val="20"/>
              </w:rPr>
              <w:t>Indicador</w:t>
            </w:r>
          </w:p>
        </w:tc>
        <w:tc>
          <w:tcPr>
            <w:tcW w:w="3828"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497" w:right="1479"/>
              <w:jc w:val="center"/>
              <w:rPr>
                <w:b/>
                <w:sz w:val="20"/>
              </w:rPr>
            </w:pPr>
            <w:r>
              <w:rPr>
                <w:b/>
                <w:color w:val="FFFFFF"/>
                <w:sz w:val="20"/>
              </w:rPr>
              <w:t>Descrição</w:t>
            </w:r>
          </w:p>
        </w:tc>
        <w:tc>
          <w:tcPr>
            <w:tcW w:w="4115"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268"/>
              <w:rPr>
                <w:b/>
                <w:sz w:val="20"/>
              </w:rPr>
            </w:pPr>
            <w:r>
              <w:rPr>
                <w:b/>
                <w:color w:val="FFFFFF"/>
                <w:sz w:val="20"/>
              </w:rPr>
              <w:t>Fórmula de Cálculo</w:t>
            </w:r>
          </w:p>
        </w:tc>
        <w:tc>
          <w:tcPr>
            <w:tcW w:w="1133"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84" w:right="43" w:firstLine="28"/>
              <w:rPr>
                <w:b/>
                <w:sz w:val="20"/>
              </w:rPr>
            </w:pPr>
            <w:r>
              <w:rPr>
                <w:b/>
                <w:color w:val="FFFFFF"/>
                <w:sz w:val="20"/>
              </w:rPr>
              <w:t>Frequência de Medição</w:t>
            </w:r>
          </w:p>
        </w:tc>
        <w:tc>
          <w:tcPr>
            <w:tcW w:w="1419"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1" w:right="277" w:firstLine="24"/>
              <w:rPr>
                <w:b/>
                <w:sz w:val="20"/>
              </w:rPr>
            </w:pPr>
            <w:r>
              <w:rPr>
                <w:b/>
                <w:color w:val="FFFFFF"/>
                <w:sz w:val="20"/>
              </w:rPr>
              <w:t>Fonte do Indicador</w:t>
            </w:r>
          </w:p>
        </w:tc>
      </w:tr>
      <w:tr>
        <w:trPr>
          <w:trHeight w:val="475" w:hRule="atLeast"/>
        </w:trPr>
        <w:tc>
          <w:tcPr>
            <w:tcW w:w="1810" w:type="dxa"/>
            <w:tcBorders>
              <w:bottom w:val="nil"/>
              <w:right w:val="single" w:sz="4" w:space="0" w:color="000000"/>
            </w:tcBorders>
          </w:tcPr>
          <w:p>
            <w:pPr>
              <w:pStyle w:val="TableParagraph"/>
              <w:rPr>
                <w:rFonts w:ascii="Times New Roman"/>
                <w:sz w:val="20"/>
              </w:rPr>
            </w:pPr>
          </w:p>
        </w:tc>
        <w:tc>
          <w:tcPr>
            <w:tcW w:w="1663" w:type="dxa"/>
            <w:tcBorders>
              <w:left w:val="single" w:sz="4" w:space="0" w:color="000000"/>
              <w:bottom w:val="nil"/>
              <w:right w:val="single" w:sz="4" w:space="0" w:color="000000"/>
            </w:tcBorders>
          </w:tcPr>
          <w:p>
            <w:pPr>
              <w:pStyle w:val="TableParagraph"/>
              <w:rPr>
                <w:rFonts w:ascii="Times New Roman"/>
                <w:sz w:val="20"/>
              </w:rPr>
            </w:pPr>
          </w:p>
        </w:tc>
        <w:tc>
          <w:tcPr>
            <w:tcW w:w="1630" w:type="dxa"/>
            <w:tcBorders>
              <w:left w:val="single" w:sz="4" w:space="0" w:color="000000"/>
              <w:bottom w:val="nil"/>
              <w:right w:val="single" w:sz="4" w:space="0" w:color="000000"/>
            </w:tcBorders>
          </w:tcPr>
          <w:p>
            <w:pPr>
              <w:pStyle w:val="TableParagraph"/>
              <w:rPr>
                <w:rFonts w:ascii="Times New Roman"/>
                <w:sz w:val="20"/>
              </w:rPr>
            </w:pPr>
          </w:p>
        </w:tc>
        <w:tc>
          <w:tcPr>
            <w:tcW w:w="1106" w:type="dxa"/>
            <w:tcBorders>
              <w:left w:val="single" w:sz="4" w:space="0" w:color="000000"/>
              <w:bottom w:val="nil"/>
              <w:right w:val="nil"/>
            </w:tcBorders>
          </w:tcPr>
          <w:p>
            <w:pPr>
              <w:pStyle w:val="TableParagraph"/>
              <w:spacing w:before="2"/>
              <w:rPr>
                <w:rFonts w:ascii="Calibri Light"/>
                <w:b w:val="0"/>
                <w:sz w:val="16"/>
              </w:rPr>
            </w:pPr>
          </w:p>
          <w:p>
            <w:pPr>
              <w:pStyle w:val="TableParagraph"/>
              <w:ind w:left="76"/>
              <w:rPr>
                <w:sz w:val="20"/>
              </w:rPr>
            </w:pPr>
            <w:r>
              <w:rPr>
                <w:sz w:val="20"/>
              </w:rPr>
              <w:t>Não basta</w:t>
            </w:r>
          </w:p>
        </w:tc>
        <w:tc>
          <w:tcPr>
            <w:tcW w:w="2722" w:type="dxa"/>
            <w:tcBorders>
              <w:left w:val="nil"/>
              <w:bottom w:val="nil"/>
              <w:right w:val="single" w:sz="4" w:space="0" w:color="000000"/>
            </w:tcBorders>
          </w:tcPr>
          <w:p>
            <w:pPr>
              <w:pStyle w:val="TableParagraph"/>
              <w:spacing w:before="2"/>
              <w:rPr>
                <w:rFonts w:ascii="Calibri Light"/>
                <w:b w:val="0"/>
                <w:sz w:val="16"/>
              </w:rPr>
            </w:pPr>
          </w:p>
          <w:p>
            <w:pPr>
              <w:pStyle w:val="TableParagraph"/>
              <w:ind w:right="53"/>
              <w:jc w:val="right"/>
              <w:rPr>
                <w:sz w:val="20"/>
              </w:rPr>
            </w:pPr>
            <w:r>
              <w:rPr>
                <w:sz w:val="20"/>
              </w:rPr>
              <w:t>cobrar que os profissionais</w:t>
            </w:r>
          </w:p>
        </w:tc>
        <w:tc>
          <w:tcPr>
            <w:tcW w:w="3386" w:type="dxa"/>
            <w:vMerge w:val="restart"/>
            <w:tcBorders>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134"/>
              <w:ind w:left="113" w:right="75" w:hanging="4"/>
              <w:jc w:val="center"/>
              <w:rPr>
                <w:sz w:val="20"/>
              </w:rPr>
            </w:pPr>
            <w:r>
              <w:rPr>
                <w:sz w:val="20"/>
              </w:rPr>
              <w:t>número de escolas da UF com a disciplina de ética profissional na grade</w:t>
            </w:r>
          </w:p>
          <w:p>
            <w:pPr>
              <w:pStyle w:val="TableParagraph"/>
              <w:tabs>
                <w:tab w:pos="1321" w:val="left" w:leader="none"/>
                <w:tab w:pos="3408" w:val="left" w:leader="none"/>
              </w:tabs>
              <w:spacing w:line="249" w:lineRule="auto"/>
              <w:ind w:left="10" w:right="-29"/>
              <w:jc w:val="center"/>
              <w:rPr>
                <w:sz w:val="20"/>
              </w:rPr>
            </w:pPr>
            <w:r>
              <w:rPr>
                <w:w w:val="99"/>
                <w:sz w:val="20"/>
                <w:u w:val="single"/>
              </w:rPr>
              <w:t> </w:t>
            </w:r>
            <w:r>
              <w:rPr>
                <w:sz w:val="20"/>
                <w:u w:val="single"/>
              </w:rPr>
              <w:tab/>
              <w:t>curricular</w:t>
              <w:tab/>
            </w:r>
            <w:r>
              <w:rPr>
                <w:sz w:val="20"/>
              </w:rPr>
              <w:t> número total de escolas da</w:t>
            </w:r>
            <w:r>
              <w:rPr>
                <w:spacing w:val="-8"/>
                <w:sz w:val="20"/>
              </w:rPr>
              <w:t> </w:t>
            </w:r>
            <w:r>
              <w:rPr>
                <w:sz w:val="20"/>
              </w:rPr>
              <w:t>UF</w:t>
            </w:r>
          </w:p>
        </w:tc>
        <w:tc>
          <w:tcPr>
            <w:tcW w:w="729"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2"/>
              <w:rPr>
                <w:rFonts w:ascii="Calibri Light"/>
                <w:b w:val="0"/>
                <w:sz w:val="16"/>
              </w:rPr>
            </w:pPr>
          </w:p>
          <w:p>
            <w:pPr>
              <w:pStyle w:val="TableParagraph"/>
              <w:ind w:left="97"/>
              <w:rPr>
                <w:sz w:val="20"/>
              </w:rPr>
            </w:pPr>
            <w:r>
              <w:rPr>
                <w:sz w:val="20"/>
              </w:rPr>
              <w:t>x 100</w:t>
            </w:r>
          </w:p>
        </w:tc>
        <w:tc>
          <w:tcPr>
            <w:tcW w:w="1133" w:type="dxa"/>
            <w:tcBorders>
              <w:left w:val="single" w:sz="4" w:space="0" w:color="000000"/>
              <w:bottom w:val="nil"/>
              <w:right w:val="single" w:sz="4" w:space="0" w:color="000000"/>
            </w:tcBorders>
          </w:tcPr>
          <w:p>
            <w:pPr>
              <w:pStyle w:val="TableParagraph"/>
              <w:rPr>
                <w:rFonts w:ascii="Times New Roman"/>
                <w:sz w:val="20"/>
              </w:rPr>
            </w:pPr>
          </w:p>
        </w:tc>
        <w:tc>
          <w:tcPr>
            <w:tcW w:w="1419" w:type="dxa"/>
            <w:tcBorders>
              <w:left w:val="single" w:sz="4" w:space="0" w:color="000000"/>
              <w:bottom w:val="nil"/>
            </w:tcBorders>
          </w:tcPr>
          <w:p>
            <w:pPr>
              <w:pStyle w:val="TableParagraph"/>
              <w:rPr>
                <w:rFonts w:ascii="Times New Roman"/>
                <w:sz w:val="20"/>
              </w:rPr>
            </w:pP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68"/>
              <w:jc w:val="center"/>
              <w:rPr>
                <w:sz w:val="20"/>
              </w:rPr>
            </w:pPr>
            <w:r>
              <w:rPr>
                <w:sz w:val="20"/>
              </w:rPr>
              <w:t>Índice de escolas</w:t>
            </w:r>
          </w:p>
        </w:tc>
        <w:tc>
          <w:tcPr>
            <w:tcW w:w="3828" w:type="dxa"/>
            <w:gridSpan w:val="2"/>
            <w:tcBorders>
              <w:top w:val="nil"/>
              <w:left w:val="single" w:sz="4" w:space="0" w:color="000000"/>
              <w:bottom w:val="nil"/>
              <w:right w:val="single" w:sz="4" w:space="0" w:color="000000"/>
            </w:tcBorders>
          </w:tcPr>
          <w:p>
            <w:pPr>
              <w:pStyle w:val="TableParagraph"/>
              <w:spacing w:line="202" w:lineRule="exact"/>
              <w:ind w:left="76"/>
              <w:rPr>
                <w:sz w:val="20"/>
              </w:rPr>
            </w:pPr>
            <w:r>
              <w:rPr>
                <w:sz w:val="20"/>
              </w:rPr>
              <w:t>cumpram o código de ética da Arquitetura e</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0" w:lineRule="exact"/>
              <w:ind w:left="87" w:right="69"/>
              <w:jc w:val="center"/>
              <w:rPr>
                <w:sz w:val="20"/>
              </w:rPr>
            </w:pPr>
            <w:r>
              <w:rPr>
                <w:sz w:val="20"/>
              </w:rPr>
              <w:t>que possuem</w:t>
            </w:r>
          </w:p>
        </w:tc>
        <w:tc>
          <w:tcPr>
            <w:tcW w:w="1106" w:type="dxa"/>
            <w:tcBorders>
              <w:top w:val="nil"/>
              <w:left w:val="single" w:sz="4" w:space="0" w:color="000000"/>
              <w:bottom w:val="nil"/>
              <w:right w:val="nil"/>
            </w:tcBorders>
          </w:tcPr>
          <w:p>
            <w:pPr>
              <w:pStyle w:val="TableParagraph"/>
              <w:spacing w:line="200" w:lineRule="exact"/>
              <w:ind w:left="76"/>
              <w:rPr>
                <w:sz w:val="20"/>
              </w:rPr>
            </w:pPr>
            <w:r>
              <w:rPr>
                <w:sz w:val="20"/>
              </w:rPr>
              <w:t>Urbanismo.</w:t>
            </w:r>
          </w:p>
        </w:tc>
        <w:tc>
          <w:tcPr>
            <w:tcW w:w="2722" w:type="dxa"/>
            <w:tcBorders>
              <w:top w:val="nil"/>
              <w:left w:val="nil"/>
              <w:bottom w:val="nil"/>
              <w:right w:val="single" w:sz="4" w:space="0" w:color="000000"/>
            </w:tcBorders>
          </w:tcPr>
          <w:p>
            <w:pPr>
              <w:pStyle w:val="TableParagraph"/>
              <w:spacing w:line="200" w:lineRule="exact"/>
              <w:ind w:right="54"/>
              <w:jc w:val="right"/>
              <w:rPr>
                <w:sz w:val="20"/>
              </w:rPr>
            </w:pPr>
            <w:r>
              <w:rPr>
                <w:sz w:val="20"/>
              </w:rPr>
              <w:t>É preciso que eles sejam</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234"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68"/>
              <w:jc w:val="center"/>
              <w:rPr>
                <w:sz w:val="20"/>
              </w:rPr>
            </w:pPr>
            <w:r>
              <w:rPr>
                <w:sz w:val="20"/>
              </w:rPr>
              <w:t>disciplinas com</w:t>
            </w:r>
          </w:p>
        </w:tc>
        <w:tc>
          <w:tcPr>
            <w:tcW w:w="1106" w:type="dxa"/>
            <w:tcBorders>
              <w:top w:val="nil"/>
              <w:left w:val="single" w:sz="4" w:space="0" w:color="000000"/>
              <w:bottom w:val="nil"/>
              <w:right w:val="nil"/>
            </w:tcBorders>
          </w:tcPr>
          <w:p>
            <w:pPr>
              <w:pStyle w:val="TableParagraph"/>
              <w:spacing w:line="202" w:lineRule="exact"/>
              <w:ind w:left="76"/>
              <w:rPr>
                <w:sz w:val="20"/>
              </w:rPr>
            </w:pPr>
            <w:r>
              <w:rPr>
                <w:sz w:val="20"/>
              </w:rPr>
              <w:t>preparados</w:t>
            </w:r>
          </w:p>
        </w:tc>
        <w:tc>
          <w:tcPr>
            <w:tcW w:w="2722" w:type="dxa"/>
            <w:tcBorders>
              <w:top w:val="nil"/>
              <w:left w:val="nil"/>
              <w:bottom w:val="nil"/>
              <w:right w:val="single" w:sz="4" w:space="0" w:color="000000"/>
            </w:tcBorders>
          </w:tcPr>
          <w:p>
            <w:pPr>
              <w:pStyle w:val="TableParagraph"/>
              <w:tabs>
                <w:tab w:pos="606" w:val="left" w:leader="none"/>
                <w:tab w:pos="2060" w:val="left" w:leader="none"/>
              </w:tabs>
              <w:spacing w:line="202" w:lineRule="exact"/>
              <w:ind w:right="53"/>
              <w:jc w:val="right"/>
              <w:rPr>
                <w:sz w:val="20"/>
              </w:rPr>
            </w:pPr>
            <w:r>
              <w:rPr>
                <w:sz w:val="20"/>
              </w:rPr>
              <w:t>nas</w:t>
              <w:tab/>
              <w:t>universidades</w:t>
              <w:tab/>
            </w:r>
            <w:r>
              <w:rPr>
                <w:spacing w:val="-1"/>
                <w:sz w:val="20"/>
              </w:rPr>
              <w:t>para</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spacing w:line="202" w:lineRule="exact"/>
              <w:ind w:left="118" w:right="94"/>
              <w:jc w:val="center"/>
              <w:rPr>
                <w:sz w:val="20"/>
              </w:rPr>
            </w:pPr>
            <w:r>
              <w:rPr>
                <w:sz w:val="20"/>
              </w:rPr>
              <w:t>Comissão de</w:t>
            </w:r>
          </w:p>
        </w:tc>
      </w:tr>
      <w:tr>
        <w:trPr>
          <w:trHeight w:val="234"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71"/>
              <w:jc w:val="center"/>
              <w:rPr>
                <w:sz w:val="20"/>
              </w:rPr>
            </w:pPr>
            <w:r>
              <w:rPr>
                <w:sz w:val="20"/>
              </w:rPr>
              <w:t>conteúdo sobre a</w:t>
            </w:r>
          </w:p>
        </w:tc>
        <w:tc>
          <w:tcPr>
            <w:tcW w:w="3828" w:type="dxa"/>
            <w:gridSpan w:val="2"/>
            <w:tcBorders>
              <w:top w:val="nil"/>
              <w:left w:val="single" w:sz="4" w:space="0" w:color="000000"/>
              <w:bottom w:val="nil"/>
              <w:right w:val="single" w:sz="4" w:space="0" w:color="000000"/>
            </w:tcBorders>
          </w:tcPr>
          <w:p>
            <w:pPr>
              <w:pStyle w:val="TableParagraph"/>
              <w:spacing w:line="202" w:lineRule="exact"/>
              <w:ind w:left="76"/>
              <w:rPr>
                <w:sz w:val="20"/>
              </w:rPr>
            </w:pPr>
            <w:r>
              <w:rPr>
                <w:sz w:val="20"/>
              </w:rPr>
              <w:t>entenderem a ética profissional, assim como</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spacing w:line="202" w:lineRule="exact"/>
              <w:ind w:left="247" w:right="231"/>
              <w:jc w:val="center"/>
              <w:rPr>
                <w:sz w:val="20"/>
              </w:rPr>
            </w:pPr>
            <w:r>
              <w:rPr>
                <w:sz w:val="20"/>
              </w:rPr>
              <w:t>Anual</w:t>
            </w:r>
          </w:p>
        </w:tc>
        <w:tc>
          <w:tcPr>
            <w:tcW w:w="1419" w:type="dxa"/>
            <w:tcBorders>
              <w:top w:val="nil"/>
              <w:left w:val="single" w:sz="4" w:space="0" w:color="000000"/>
              <w:bottom w:val="nil"/>
            </w:tcBorders>
          </w:tcPr>
          <w:p>
            <w:pPr>
              <w:pStyle w:val="TableParagraph"/>
              <w:spacing w:line="202" w:lineRule="exact"/>
              <w:ind w:left="118" w:right="92"/>
              <w:jc w:val="center"/>
              <w:rPr>
                <w:sz w:val="20"/>
              </w:rPr>
            </w:pPr>
            <w:r>
              <w:rPr>
                <w:sz w:val="20"/>
              </w:rPr>
              <w:t>ensino (CAU</w:t>
            </w: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69"/>
              <w:jc w:val="center"/>
              <w:rPr>
                <w:sz w:val="20"/>
              </w:rPr>
            </w:pPr>
            <w:r>
              <w:rPr>
                <w:sz w:val="20"/>
              </w:rPr>
              <w:t>ética profissional</w:t>
            </w:r>
          </w:p>
        </w:tc>
        <w:tc>
          <w:tcPr>
            <w:tcW w:w="3828" w:type="dxa"/>
            <w:gridSpan w:val="2"/>
            <w:tcBorders>
              <w:top w:val="nil"/>
              <w:left w:val="single" w:sz="4" w:space="0" w:color="000000"/>
              <w:bottom w:val="nil"/>
              <w:right w:val="single" w:sz="4" w:space="0" w:color="000000"/>
            </w:tcBorders>
          </w:tcPr>
          <w:p>
            <w:pPr>
              <w:pStyle w:val="TableParagraph"/>
              <w:spacing w:line="202" w:lineRule="exact"/>
              <w:ind w:left="76"/>
              <w:rPr>
                <w:sz w:val="20"/>
              </w:rPr>
            </w:pPr>
            <w:r>
              <w:rPr>
                <w:sz w:val="20"/>
              </w:rPr>
              <w:t>sua aplicação na prática. Dessa forma, as</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spacing w:line="202" w:lineRule="exact"/>
              <w:ind w:left="118" w:right="95"/>
              <w:jc w:val="center"/>
              <w:rPr>
                <w:sz w:val="20"/>
              </w:rPr>
            </w:pPr>
            <w:r>
              <w:rPr>
                <w:sz w:val="20"/>
              </w:rPr>
              <w:t>BR)</w:t>
            </w: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1" w:lineRule="exact"/>
              <w:ind w:left="87" w:right="67"/>
              <w:jc w:val="center"/>
              <w:rPr>
                <w:sz w:val="20"/>
              </w:rPr>
            </w:pPr>
            <w:r>
              <w:rPr>
                <w:sz w:val="20"/>
              </w:rPr>
              <w:t>(%)</w:t>
            </w:r>
          </w:p>
        </w:tc>
        <w:tc>
          <w:tcPr>
            <w:tcW w:w="3828" w:type="dxa"/>
            <w:gridSpan w:val="2"/>
            <w:tcBorders>
              <w:top w:val="nil"/>
              <w:left w:val="single" w:sz="4" w:space="0" w:color="000000"/>
              <w:bottom w:val="nil"/>
              <w:right w:val="single" w:sz="4" w:space="0" w:color="000000"/>
            </w:tcBorders>
          </w:tcPr>
          <w:p>
            <w:pPr>
              <w:pStyle w:val="TableParagraph"/>
              <w:spacing w:line="201" w:lineRule="exact"/>
              <w:ind w:left="76"/>
              <w:rPr>
                <w:sz w:val="20"/>
              </w:rPr>
            </w:pPr>
            <w:r>
              <w:rPr>
                <w:sz w:val="20"/>
              </w:rPr>
              <w:t>universidades devem incluir a disciplina de</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234"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2" w:lineRule="exact"/>
              <w:ind w:left="87" w:right="71"/>
              <w:jc w:val="center"/>
              <w:rPr>
                <w:b/>
                <w:sz w:val="20"/>
              </w:rPr>
            </w:pPr>
            <w:r>
              <w:rPr>
                <w:b/>
                <w:sz w:val="20"/>
              </w:rPr>
              <w:t>(CAU/UF)</w:t>
            </w:r>
          </w:p>
        </w:tc>
        <w:tc>
          <w:tcPr>
            <w:tcW w:w="3828" w:type="dxa"/>
            <w:gridSpan w:val="2"/>
            <w:tcBorders>
              <w:top w:val="nil"/>
              <w:left w:val="single" w:sz="4" w:space="0" w:color="000000"/>
              <w:bottom w:val="nil"/>
              <w:right w:val="single" w:sz="4" w:space="0" w:color="000000"/>
            </w:tcBorders>
          </w:tcPr>
          <w:p>
            <w:pPr>
              <w:pStyle w:val="TableParagraph"/>
              <w:spacing w:line="202" w:lineRule="exact"/>
              <w:ind w:left="76"/>
              <w:rPr>
                <w:sz w:val="20"/>
              </w:rPr>
            </w:pPr>
            <w:r>
              <w:rPr>
                <w:sz w:val="20"/>
              </w:rPr>
              <w:t>ética em sua grade curricular de forma</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433" w:hRule="atLeast"/>
        </w:trPr>
        <w:tc>
          <w:tcPr>
            <w:tcW w:w="1810" w:type="dxa"/>
            <w:tcBorders>
              <w:top w:val="nil"/>
              <w:bottom w:val="nil"/>
              <w:right w:val="single" w:sz="4" w:space="0" w:color="000000"/>
            </w:tcBorders>
          </w:tcPr>
          <w:p>
            <w:pPr>
              <w:pStyle w:val="TableParagraph"/>
              <w:rPr>
                <w:rFonts w:ascii="Times New Roman"/>
                <w:sz w:val="20"/>
              </w:rPr>
            </w:pPr>
          </w:p>
        </w:tc>
        <w:tc>
          <w:tcPr>
            <w:tcW w:w="1663" w:type="dxa"/>
            <w:tcBorders>
              <w:top w:val="nil"/>
              <w:left w:val="single" w:sz="4" w:space="0" w:color="000000"/>
              <w:bottom w:val="nil"/>
              <w:right w:val="single" w:sz="4" w:space="0" w:color="000000"/>
            </w:tcBorders>
          </w:tcPr>
          <w:p>
            <w:pPr>
              <w:pStyle w:val="TableParagraph"/>
              <w:rPr>
                <w:rFonts w:ascii="Times New Roman"/>
                <w:sz w:val="20"/>
              </w:rPr>
            </w:pPr>
          </w:p>
        </w:tc>
        <w:tc>
          <w:tcPr>
            <w:tcW w:w="163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828" w:type="dxa"/>
            <w:gridSpan w:val="2"/>
            <w:tcBorders>
              <w:top w:val="nil"/>
              <w:left w:val="single" w:sz="4" w:space="0" w:color="000000"/>
              <w:bottom w:val="single" w:sz="4" w:space="0" w:color="000000"/>
              <w:right w:val="single" w:sz="4" w:space="0" w:color="000000"/>
            </w:tcBorders>
          </w:tcPr>
          <w:p>
            <w:pPr>
              <w:pStyle w:val="TableParagraph"/>
              <w:spacing w:line="202" w:lineRule="exact"/>
              <w:ind w:left="76"/>
              <w:rPr>
                <w:sz w:val="20"/>
              </w:rPr>
            </w:pPr>
            <w:r>
              <w:rPr>
                <w:sz w:val="20"/>
              </w:rPr>
              <w:t>efetiva.</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419" w:type="dxa"/>
            <w:tcBorders>
              <w:top w:val="nil"/>
              <w:left w:val="single" w:sz="4" w:space="0" w:color="000000"/>
              <w:bottom w:val="single" w:sz="4" w:space="0" w:color="000000"/>
            </w:tcBorders>
          </w:tcPr>
          <w:p>
            <w:pPr>
              <w:pStyle w:val="TableParagraph"/>
              <w:rPr>
                <w:rFonts w:ascii="Times New Roman"/>
                <w:sz w:val="20"/>
              </w:rPr>
            </w:pPr>
          </w:p>
        </w:tc>
      </w:tr>
      <w:tr>
        <w:trPr>
          <w:trHeight w:val="1568" w:hRule="atLeast"/>
        </w:trPr>
        <w:tc>
          <w:tcPr>
            <w:tcW w:w="1810" w:type="dxa"/>
            <w:tcBorders>
              <w:top w:val="nil"/>
              <w:bottom w:val="nil"/>
              <w:right w:val="single" w:sz="4" w:space="0" w:color="000000"/>
            </w:tcBorders>
          </w:tcPr>
          <w:p>
            <w:pPr>
              <w:pStyle w:val="TableParagraph"/>
              <w:rPr>
                <w:rFonts w:ascii="Calibri Light"/>
                <w:b w:val="0"/>
                <w:sz w:val="20"/>
              </w:rPr>
            </w:pPr>
          </w:p>
          <w:p>
            <w:pPr>
              <w:pStyle w:val="TableParagraph"/>
              <w:spacing w:before="141"/>
              <w:ind w:left="138" w:right="125"/>
              <w:jc w:val="center"/>
              <w:rPr>
                <w:sz w:val="20"/>
              </w:rPr>
            </w:pPr>
            <w:r>
              <w:rPr>
                <w:sz w:val="20"/>
              </w:rPr>
              <w:t>Processos Internos (Relação com a Sociedade)</w:t>
            </w:r>
          </w:p>
        </w:tc>
        <w:tc>
          <w:tcPr>
            <w:tcW w:w="1663" w:type="dxa"/>
            <w:tcBorders>
              <w:top w:val="nil"/>
              <w:left w:val="single" w:sz="4" w:space="0" w:color="000000"/>
              <w:bottom w:val="nil"/>
              <w:right w:val="single" w:sz="4" w:space="0" w:color="000000"/>
            </w:tcBorders>
          </w:tcPr>
          <w:p>
            <w:pPr>
              <w:pStyle w:val="TableParagraph"/>
              <w:spacing w:before="6"/>
              <w:rPr>
                <w:rFonts w:ascii="Calibri Light"/>
                <w:b w:val="0"/>
                <w:sz w:val="21"/>
              </w:rPr>
            </w:pPr>
          </w:p>
          <w:p>
            <w:pPr>
              <w:pStyle w:val="TableParagraph"/>
              <w:ind w:left="182" w:right="155" w:hanging="2"/>
              <w:jc w:val="center"/>
              <w:rPr>
                <w:sz w:val="20"/>
              </w:rPr>
            </w:pPr>
            <w:r>
              <w:rPr>
                <w:sz w:val="20"/>
              </w:rPr>
              <w:t>Promover o exercício ético e qualificado da profissão</w:t>
            </w:r>
          </w:p>
        </w:tc>
        <w:tc>
          <w:tcPr>
            <w:tcW w:w="1630" w:type="dxa"/>
            <w:tcBorders>
              <w:top w:val="single" w:sz="4" w:space="0" w:color="000000"/>
              <w:left w:val="single" w:sz="4" w:space="0" w:color="000000"/>
              <w:bottom w:val="nil"/>
              <w:right w:val="single" w:sz="4" w:space="0" w:color="000000"/>
            </w:tcBorders>
          </w:tcPr>
          <w:p>
            <w:pPr>
              <w:pStyle w:val="TableParagraph"/>
              <w:spacing w:before="8"/>
              <w:rPr>
                <w:rFonts w:ascii="Calibri Light"/>
                <w:b w:val="0"/>
                <w:sz w:val="25"/>
              </w:rPr>
            </w:pPr>
          </w:p>
          <w:p>
            <w:pPr>
              <w:pStyle w:val="TableParagraph"/>
              <w:ind w:left="153" w:right="134" w:firstLine="4"/>
              <w:jc w:val="center"/>
              <w:rPr>
                <w:sz w:val="20"/>
              </w:rPr>
            </w:pPr>
            <w:r>
              <w:rPr>
                <w:sz w:val="20"/>
              </w:rPr>
              <w:t>Índice de eficiência na conclusão de processos éticos (%)</w:t>
            </w:r>
          </w:p>
        </w:tc>
        <w:tc>
          <w:tcPr>
            <w:tcW w:w="3828" w:type="dxa"/>
            <w:gridSpan w:val="2"/>
            <w:tcBorders>
              <w:top w:val="single" w:sz="4" w:space="0" w:color="000000"/>
              <w:left w:val="single" w:sz="4" w:space="0" w:color="000000"/>
              <w:bottom w:val="nil"/>
              <w:right w:val="single" w:sz="4" w:space="0" w:color="000000"/>
            </w:tcBorders>
          </w:tcPr>
          <w:p>
            <w:pPr>
              <w:pStyle w:val="TableParagraph"/>
              <w:spacing w:before="8"/>
              <w:rPr>
                <w:rFonts w:ascii="Calibri Light"/>
                <w:b w:val="0"/>
                <w:sz w:val="25"/>
              </w:rPr>
            </w:pPr>
          </w:p>
          <w:p>
            <w:pPr>
              <w:pStyle w:val="TableParagraph"/>
              <w:ind w:left="76" w:right="50"/>
              <w:jc w:val="both"/>
              <w:rPr>
                <w:sz w:val="20"/>
              </w:rPr>
            </w:pPr>
            <w:r>
              <w:rPr>
                <w:sz w:val="20"/>
              </w:rPr>
              <w:t>Para promover o exercício ético da profissão é preciso concluir os processos éticos em tempo razoável. Dessa forma, é possível dar uma resposta à sociedade sobre as questões julgadas e buscar o reconhecimento do</w:t>
            </w:r>
          </w:p>
        </w:tc>
        <w:tc>
          <w:tcPr>
            <w:tcW w:w="3386"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rPr>
                <w:rFonts w:ascii="Calibri Light"/>
                <w:b w:val="0"/>
                <w:sz w:val="20"/>
              </w:rPr>
            </w:pPr>
          </w:p>
          <w:p>
            <w:pPr>
              <w:pStyle w:val="TableParagraph"/>
              <w:spacing w:before="141"/>
              <w:ind w:left="95" w:right="65"/>
              <w:jc w:val="center"/>
              <w:rPr>
                <w:sz w:val="20"/>
              </w:rPr>
            </w:pPr>
            <w:r>
              <w:rPr>
                <w:sz w:val="20"/>
              </w:rPr>
              <w:t>número de processos éticos concluídos</w:t>
            </w:r>
          </w:p>
          <w:p>
            <w:pPr>
              <w:pStyle w:val="TableParagraph"/>
              <w:tabs>
                <w:tab w:pos="1246" w:val="left" w:leader="none"/>
                <w:tab w:pos="3408" w:val="left" w:leader="none"/>
              </w:tabs>
              <w:spacing w:line="249" w:lineRule="auto" w:before="1"/>
              <w:ind w:left="10" w:right="-29"/>
              <w:jc w:val="center"/>
              <w:rPr>
                <w:sz w:val="20"/>
              </w:rPr>
            </w:pPr>
            <w:r>
              <w:rPr>
                <w:w w:val="99"/>
                <w:sz w:val="20"/>
                <w:u w:val="single"/>
              </w:rPr>
              <w:t> </w:t>
            </w:r>
            <w:r>
              <w:rPr>
                <w:sz w:val="20"/>
                <w:u w:val="single"/>
              </w:rPr>
              <w:tab/>
              <w:t>em</w:t>
            </w:r>
            <w:r>
              <w:rPr>
                <w:spacing w:val="-3"/>
                <w:sz w:val="20"/>
                <w:u w:val="single"/>
              </w:rPr>
              <w:t> </w:t>
            </w:r>
            <w:r>
              <w:rPr>
                <w:sz w:val="20"/>
                <w:u w:val="single"/>
              </w:rPr>
              <w:t>um</w:t>
            </w:r>
            <w:r>
              <w:rPr>
                <w:spacing w:val="-2"/>
                <w:sz w:val="20"/>
                <w:u w:val="single"/>
              </w:rPr>
              <w:t> </w:t>
            </w:r>
            <w:r>
              <w:rPr>
                <w:sz w:val="20"/>
                <w:u w:val="single"/>
              </w:rPr>
              <w:t>ano</w:t>
              <w:tab/>
            </w:r>
            <w:r>
              <w:rPr>
                <w:sz w:val="20"/>
              </w:rPr>
              <w:t> número total de processos</w:t>
            </w:r>
            <w:r>
              <w:rPr>
                <w:spacing w:val="-5"/>
                <w:sz w:val="20"/>
              </w:rPr>
              <w:t> </w:t>
            </w:r>
            <w:r>
              <w:rPr>
                <w:sz w:val="20"/>
              </w:rPr>
              <w:t>éticos</w:t>
            </w:r>
          </w:p>
          <w:p>
            <w:pPr>
              <w:pStyle w:val="TableParagraph"/>
              <w:spacing w:line="236" w:lineRule="exact"/>
              <w:ind w:left="95" w:right="60"/>
              <w:jc w:val="center"/>
              <w:rPr>
                <w:sz w:val="20"/>
              </w:rPr>
            </w:pPr>
            <w:r>
              <w:rPr>
                <w:sz w:val="20"/>
              </w:rPr>
              <w:t>abertos</w:t>
            </w:r>
          </w:p>
        </w:tc>
        <w:tc>
          <w:tcPr>
            <w:tcW w:w="729"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15"/>
              </w:rPr>
            </w:pPr>
          </w:p>
          <w:p>
            <w:pPr>
              <w:pStyle w:val="TableParagraph"/>
              <w:ind w:left="165"/>
              <w:rPr>
                <w:sz w:val="20"/>
              </w:rPr>
            </w:pPr>
            <w:r>
              <w:rPr>
                <w:sz w:val="20"/>
              </w:rPr>
              <w:t>x 100</w:t>
            </w:r>
          </w:p>
        </w:tc>
        <w:tc>
          <w:tcPr>
            <w:tcW w:w="1133" w:type="dxa"/>
            <w:tcBorders>
              <w:top w:val="single" w:sz="4" w:space="0" w:color="000000"/>
              <w:left w:val="single" w:sz="4" w:space="0" w:color="000000"/>
              <w:bottom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15"/>
              </w:rPr>
            </w:pPr>
          </w:p>
          <w:p>
            <w:pPr>
              <w:pStyle w:val="TableParagraph"/>
              <w:ind w:left="247" w:right="231"/>
              <w:jc w:val="center"/>
              <w:rPr>
                <w:sz w:val="20"/>
              </w:rPr>
            </w:pPr>
            <w:r>
              <w:rPr>
                <w:sz w:val="20"/>
              </w:rPr>
              <w:t>Anual</w:t>
            </w:r>
          </w:p>
        </w:tc>
        <w:tc>
          <w:tcPr>
            <w:tcW w:w="1419" w:type="dxa"/>
            <w:tcBorders>
              <w:top w:val="single" w:sz="4" w:space="0" w:color="000000"/>
              <w:left w:val="single" w:sz="4" w:space="0" w:color="000000"/>
              <w:bottom w:val="nil"/>
            </w:tcBorders>
          </w:tcPr>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15"/>
              </w:rPr>
            </w:pPr>
          </w:p>
          <w:p>
            <w:pPr>
              <w:pStyle w:val="TableParagraph"/>
              <w:ind w:left="391" w:right="157" w:hanging="190"/>
              <w:rPr>
                <w:sz w:val="20"/>
              </w:rPr>
            </w:pPr>
            <w:r>
              <w:rPr>
                <w:sz w:val="20"/>
              </w:rPr>
              <w:t>Comissão de ética do CAU/UF</w:t>
            </w:r>
          </w:p>
        </w:tc>
      </w:tr>
      <w:tr>
        <w:trPr>
          <w:trHeight w:val="550" w:hRule="atLeast"/>
        </w:trPr>
        <w:tc>
          <w:tcPr>
            <w:tcW w:w="1810" w:type="dxa"/>
            <w:tcBorders>
              <w:top w:val="nil"/>
              <w:bottom w:val="nil"/>
              <w:right w:val="single" w:sz="4" w:space="0" w:color="000000"/>
            </w:tcBorders>
          </w:tcPr>
          <w:p>
            <w:pPr>
              <w:pStyle w:val="TableParagraph"/>
              <w:rPr>
                <w:rFonts w:ascii="Times New Roman"/>
                <w:sz w:val="20"/>
              </w:rPr>
            </w:pPr>
          </w:p>
        </w:tc>
        <w:tc>
          <w:tcPr>
            <w:tcW w:w="1663" w:type="dxa"/>
            <w:tcBorders>
              <w:top w:val="nil"/>
              <w:left w:val="single" w:sz="4" w:space="0" w:color="000000"/>
              <w:bottom w:val="nil"/>
              <w:right w:val="single" w:sz="4" w:space="0" w:color="000000"/>
            </w:tcBorders>
          </w:tcPr>
          <w:p>
            <w:pPr>
              <w:pStyle w:val="TableParagraph"/>
              <w:rPr>
                <w:rFonts w:ascii="Times New Roman"/>
                <w:sz w:val="20"/>
              </w:rPr>
            </w:pPr>
          </w:p>
        </w:tc>
        <w:tc>
          <w:tcPr>
            <w:tcW w:w="1630" w:type="dxa"/>
            <w:tcBorders>
              <w:top w:val="nil"/>
              <w:left w:val="single" w:sz="4" w:space="0" w:color="000000"/>
              <w:bottom w:val="single" w:sz="4" w:space="0" w:color="000000"/>
              <w:right w:val="single" w:sz="4" w:space="0" w:color="000000"/>
            </w:tcBorders>
          </w:tcPr>
          <w:p>
            <w:pPr>
              <w:pStyle w:val="TableParagraph"/>
              <w:spacing w:line="202" w:lineRule="exact"/>
              <w:ind w:left="87" w:right="71"/>
              <w:jc w:val="center"/>
              <w:rPr>
                <w:b/>
                <w:sz w:val="20"/>
              </w:rPr>
            </w:pPr>
            <w:r>
              <w:rPr>
                <w:b/>
                <w:sz w:val="20"/>
              </w:rPr>
              <w:t>(CAU/UF)</w:t>
            </w:r>
          </w:p>
        </w:tc>
        <w:tc>
          <w:tcPr>
            <w:tcW w:w="3828" w:type="dxa"/>
            <w:gridSpan w:val="2"/>
            <w:tcBorders>
              <w:top w:val="nil"/>
              <w:left w:val="single" w:sz="4" w:space="0" w:color="000000"/>
              <w:bottom w:val="single" w:sz="4" w:space="0" w:color="000000"/>
              <w:right w:val="single" w:sz="4" w:space="0" w:color="000000"/>
            </w:tcBorders>
          </w:tcPr>
          <w:p>
            <w:pPr>
              <w:pStyle w:val="TableParagraph"/>
              <w:spacing w:line="202" w:lineRule="exact"/>
              <w:ind w:left="76"/>
              <w:rPr>
                <w:sz w:val="20"/>
              </w:rPr>
            </w:pPr>
            <w:r>
              <w:rPr>
                <w:sz w:val="20"/>
              </w:rPr>
              <w:t>trabalho sendo realizado.</w:t>
            </w:r>
          </w:p>
        </w:tc>
        <w:tc>
          <w:tcPr>
            <w:tcW w:w="3386" w:type="dxa"/>
            <w:vMerge/>
            <w:tcBorders>
              <w:top w:val="nil"/>
              <w:left w:val="single" w:sz="4" w:space="0" w:color="000000"/>
              <w:bottom w:val="single" w:sz="4" w:space="0" w:color="000000"/>
              <w:right w:val="nil"/>
            </w:tcBorders>
          </w:tcPr>
          <w:p>
            <w:pPr>
              <w:rPr>
                <w:sz w:val="2"/>
                <w:szCs w:val="2"/>
              </w:rPr>
            </w:pPr>
          </w:p>
        </w:tc>
        <w:tc>
          <w:tcPr>
            <w:tcW w:w="729" w:type="dxa"/>
            <w:vMerge/>
            <w:tcBorders>
              <w:top w:val="nil"/>
              <w:left w:val="nil"/>
              <w:bottom w:val="single" w:sz="4" w:space="0" w:color="000000"/>
              <w:right w:val="single" w:sz="4" w:space="0" w:color="000000"/>
            </w:tcBorders>
          </w:tcPr>
          <w:p>
            <w:pPr>
              <w:rPr>
                <w:sz w:val="2"/>
                <w:szCs w:val="2"/>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419" w:type="dxa"/>
            <w:tcBorders>
              <w:top w:val="nil"/>
              <w:left w:val="single" w:sz="4" w:space="0" w:color="000000"/>
              <w:bottom w:val="single" w:sz="4" w:space="0" w:color="000000"/>
            </w:tcBorders>
          </w:tcPr>
          <w:p>
            <w:pPr>
              <w:pStyle w:val="TableParagraph"/>
              <w:rPr>
                <w:rFonts w:ascii="Times New Roman"/>
                <w:sz w:val="20"/>
              </w:rPr>
            </w:pPr>
          </w:p>
        </w:tc>
      </w:tr>
      <w:tr>
        <w:trPr>
          <w:trHeight w:val="423" w:hRule="atLeast"/>
        </w:trPr>
        <w:tc>
          <w:tcPr>
            <w:tcW w:w="1810" w:type="dxa"/>
            <w:tcBorders>
              <w:top w:val="nil"/>
              <w:bottom w:val="nil"/>
              <w:right w:val="single" w:sz="4" w:space="0" w:color="000000"/>
            </w:tcBorders>
          </w:tcPr>
          <w:p>
            <w:pPr>
              <w:pStyle w:val="TableParagraph"/>
              <w:rPr>
                <w:rFonts w:ascii="Times New Roman"/>
                <w:sz w:val="20"/>
              </w:rPr>
            </w:pPr>
          </w:p>
        </w:tc>
        <w:tc>
          <w:tcPr>
            <w:tcW w:w="1663" w:type="dxa"/>
            <w:tcBorders>
              <w:top w:val="nil"/>
              <w:left w:val="single" w:sz="4" w:space="0" w:color="000000"/>
              <w:bottom w:val="nil"/>
              <w:right w:val="single" w:sz="4" w:space="0" w:color="000000"/>
            </w:tcBorders>
          </w:tcPr>
          <w:p>
            <w:pPr>
              <w:pStyle w:val="TableParagraph"/>
              <w:rPr>
                <w:rFonts w:ascii="Times New Roman"/>
                <w:sz w:val="20"/>
              </w:rPr>
            </w:pPr>
          </w:p>
        </w:tc>
        <w:tc>
          <w:tcPr>
            <w:tcW w:w="1630"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3828" w:type="dxa"/>
            <w:gridSpan w:val="2"/>
            <w:tcBorders>
              <w:top w:val="single" w:sz="4" w:space="0" w:color="000000"/>
              <w:left w:val="single" w:sz="4" w:space="0" w:color="000000"/>
              <w:bottom w:val="nil"/>
              <w:right w:val="single" w:sz="4" w:space="0" w:color="000000"/>
            </w:tcBorders>
          </w:tcPr>
          <w:p>
            <w:pPr>
              <w:pStyle w:val="TableParagraph"/>
              <w:spacing w:before="147"/>
              <w:ind w:left="76"/>
              <w:rPr>
                <w:sz w:val="20"/>
              </w:rPr>
            </w:pPr>
            <w:r>
              <w:rPr>
                <w:sz w:val="20"/>
              </w:rPr>
              <w:t>Para promover o exercício ético e qualificado</w:t>
            </w:r>
          </w:p>
        </w:tc>
        <w:tc>
          <w:tcPr>
            <w:tcW w:w="411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19"/>
              </w:rPr>
            </w:pPr>
          </w:p>
          <w:p>
            <w:pPr>
              <w:pStyle w:val="TableParagraph"/>
              <w:spacing w:line="242" w:lineRule="exact"/>
              <w:ind w:left="149"/>
              <w:rPr>
                <w:sz w:val="20"/>
              </w:rPr>
            </w:pPr>
            <w:r>
              <w:rPr>
                <w:sz w:val="20"/>
              </w:rPr>
              <w:t>tempo médio de conclusão de processos éticos</w:t>
            </w:r>
          </w:p>
        </w:tc>
        <w:tc>
          <w:tcPr>
            <w:tcW w:w="1133"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419" w:type="dxa"/>
            <w:tcBorders>
              <w:top w:val="single" w:sz="4" w:space="0" w:color="000000"/>
              <w:left w:val="single" w:sz="4" w:space="0" w:color="000000"/>
              <w:bottom w:val="nil"/>
            </w:tcBorders>
          </w:tcPr>
          <w:p>
            <w:pPr>
              <w:pStyle w:val="TableParagraph"/>
              <w:rPr>
                <w:rFonts w:ascii="Times New Roman"/>
                <w:sz w:val="20"/>
              </w:rPr>
            </w:pPr>
          </w:p>
        </w:tc>
      </w:tr>
      <w:tr>
        <w:trPr>
          <w:trHeight w:val="23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0" w:lineRule="exact"/>
              <w:ind w:left="87" w:right="70"/>
              <w:jc w:val="center"/>
              <w:rPr>
                <w:sz w:val="20"/>
              </w:rPr>
            </w:pPr>
            <w:r>
              <w:rPr>
                <w:sz w:val="20"/>
              </w:rPr>
              <w:t>Eficiência no</w:t>
            </w:r>
          </w:p>
        </w:tc>
        <w:tc>
          <w:tcPr>
            <w:tcW w:w="3828" w:type="dxa"/>
            <w:gridSpan w:val="2"/>
            <w:tcBorders>
              <w:top w:val="nil"/>
              <w:left w:val="single" w:sz="4" w:space="0" w:color="000000"/>
              <w:bottom w:val="nil"/>
              <w:right w:val="single" w:sz="4" w:space="0" w:color="000000"/>
            </w:tcBorders>
          </w:tcPr>
          <w:p>
            <w:pPr>
              <w:pStyle w:val="TableParagraph"/>
              <w:spacing w:line="200" w:lineRule="exact"/>
              <w:ind w:left="76"/>
              <w:rPr>
                <w:sz w:val="20"/>
              </w:rPr>
            </w:pPr>
            <w:r>
              <w:rPr>
                <w:sz w:val="20"/>
              </w:rPr>
              <w:t>da profissão é preciso concluir os processos</w:t>
            </w:r>
          </w:p>
        </w:tc>
        <w:tc>
          <w:tcPr>
            <w:tcW w:w="4115" w:type="dxa"/>
            <w:gridSpan w:val="2"/>
            <w:vMerge/>
            <w:tcBorders>
              <w:top w:val="nil"/>
              <w:left w:val="single" w:sz="4" w:space="0" w:color="000000"/>
              <w:bottom w:val="single" w:sz="4" w:space="0" w:color="000000"/>
              <w:right w:val="single" w:sz="4" w:space="0" w:color="000000"/>
            </w:tcBorders>
          </w:tcPr>
          <w:p>
            <w:pPr>
              <w:rPr>
                <w:sz w:val="2"/>
                <w:szCs w:val="2"/>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306" w:hRule="atLeast"/>
        </w:trPr>
        <w:tc>
          <w:tcPr>
            <w:tcW w:w="1810" w:type="dxa"/>
            <w:vMerge w:val="restart"/>
            <w:tcBorders>
              <w:top w:val="nil"/>
              <w:bottom w:val="nil"/>
              <w:right w:val="single" w:sz="4" w:space="0" w:color="000000"/>
            </w:tcBorders>
          </w:tcPr>
          <w:p>
            <w:pPr>
              <w:pStyle w:val="TableParagraph"/>
              <w:rPr>
                <w:rFonts w:ascii="Times New Roman"/>
                <w:sz w:val="20"/>
              </w:rPr>
            </w:pPr>
          </w:p>
        </w:tc>
        <w:tc>
          <w:tcPr>
            <w:tcW w:w="1663" w:type="dxa"/>
            <w:vMerge w:val="restart"/>
            <w:tcBorders>
              <w:top w:val="nil"/>
              <w:left w:val="single" w:sz="4" w:space="0" w:color="000000"/>
              <w:bottom w:val="nil"/>
              <w:right w:val="single" w:sz="4" w:space="0" w:color="000000"/>
            </w:tcBorders>
          </w:tcPr>
          <w:p>
            <w:pPr>
              <w:pStyle w:val="TableParagraph"/>
              <w:rPr>
                <w:rFonts w:ascii="Times New Roman"/>
                <w:sz w:val="20"/>
              </w:rPr>
            </w:pPr>
          </w:p>
        </w:tc>
        <w:tc>
          <w:tcPr>
            <w:tcW w:w="1630" w:type="dxa"/>
            <w:vMerge w:val="restart"/>
            <w:tcBorders>
              <w:top w:val="nil"/>
              <w:left w:val="single" w:sz="4" w:space="0" w:color="000000"/>
              <w:bottom w:val="nil"/>
              <w:right w:val="single" w:sz="4" w:space="0" w:color="000000"/>
            </w:tcBorders>
          </w:tcPr>
          <w:p>
            <w:pPr>
              <w:pStyle w:val="TableParagraph"/>
              <w:spacing w:line="202" w:lineRule="exact"/>
              <w:ind w:left="87" w:right="68"/>
              <w:jc w:val="center"/>
              <w:rPr>
                <w:sz w:val="20"/>
              </w:rPr>
            </w:pPr>
            <w:r>
              <w:rPr>
                <w:sz w:val="20"/>
              </w:rPr>
              <w:t>trâmite de</w:t>
            </w:r>
          </w:p>
          <w:p>
            <w:pPr>
              <w:pStyle w:val="TableParagraph"/>
              <w:ind w:left="87" w:right="68"/>
              <w:jc w:val="center"/>
              <w:rPr>
                <w:sz w:val="20"/>
              </w:rPr>
            </w:pPr>
            <w:r>
              <w:rPr>
                <w:sz w:val="20"/>
              </w:rPr>
              <w:t>processos éticos (dias)</w:t>
            </w:r>
          </w:p>
        </w:tc>
        <w:tc>
          <w:tcPr>
            <w:tcW w:w="3828" w:type="dxa"/>
            <w:gridSpan w:val="2"/>
            <w:vMerge w:val="restart"/>
            <w:tcBorders>
              <w:top w:val="nil"/>
              <w:left w:val="single" w:sz="4" w:space="0" w:color="000000"/>
              <w:bottom w:val="nil"/>
              <w:right w:val="single" w:sz="4" w:space="0" w:color="000000"/>
            </w:tcBorders>
          </w:tcPr>
          <w:p>
            <w:pPr>
              <w:pStyle w:val="TableParagraph"/>
              <w:spacing w:line="202" w:lineRule="exact"/>
              <w:ind w:left="76"/>
              <w:rPr>
                <w:sz w:val="20"/>
              </w:rPr>
            </w:pPr>
            <w:r>
              <w:rPr>
                <w:sz w:val="20"/>
              </w:rPr>
              <w:t>de</w:t>
            </w:r>
            <w:r>
              <w:rPr>
                <w:spacing w:val="15"/>
                <w:sz w:val="20"/>
              </w:rPr>
              <w:t> </w:t>
            </w:r>
            <w:r>
              <w:rPr>
                <w:sz w:val="20"/>
              </w:rPr>
              <w:t>ética</w:t>
            </w:r>
            <w:r>
              <w:rPr>
                <w:spacing w:val="17"/>
                <w:sz w:val="20"/>
              </w:rPr>
              <w:t> </w:t>
            </w:r>
            <w:r>
              <w:rPr>
                <w:sz w:val="20"/>
              </w:rPr>
              <w:t>em</w:t>
            </w:r>
            <w:r>
              <w:rPr>
                <w:spacing w:val="15"/>
                <w:sz w:val="20"/>
              </w:rPr>
              <w:t> </w:t>
            </w:r>
            <w:r>
              <w:rPr>
                <w:sz w:val="20"/>
              </w:rPr>
              <w:t>tempo</w:t>
            </w:r>
            <w:r>
              <w:rPr>
                <w:spacing w:val="17"/>
                <w:sz w:val="20"/>
              </w:rPr>
              <w:t> </w:t>
            </w:r>
            <w:r>
              <w:rPr>
                <w:sz w:val="20"/>
              </w:rPr>
              <w:t>razoável.</w:t>
            </w:r>
            <w:r>
              <w:rPr>
                <w:spacing w:val="16"/>
                <w:sz w:val="20"/>
              </w:rPr>
              <w:t> </w:t>
            </w:r>
            <w:r>
              <w:rPr>
                <w:sz w:val="20"/>
              </w:rPr>
              <w:t>Dessa</w:t>
            </w:r>
            <w:r>
              <w:rPr>
                <w:spacing w:val="17"/>
                <w:sz w:val="20"/>
              </w:rPr>
              <w:t> </w:t>
            </w:r>
            <w:r>
              <w:rPr>
                <w:sz w:val="20"/>
              </w:rPr>
              <w:t>forma,</w:t>
            </w:r>
            <w:r>
              <w:rPr>
                <w:spacing w:val="18"/>
                <w:sz w:val="20"/>
              </w:rPr>
              <w:t> </w:t>
            </w:r>
            <w:r>
              <w:rPr>
                <w:sz w:val="20"/>
              </w:rPr>
              <w:t>é</w:t>
            </w:r>
          </w:p>
          <w:p>
            <w:pPr>
              <w:pStyle w:val="TableParagraph"/>
              <w:tabs>
                <w:tab w:pos="525" w:val="left" w:leader="none"/>
                <w:tab w:pos="1534" w:val="left" w:leader="none"/>
                <w:tab w:pos="2474" w:val="left" w:leader="none"/>
                <w:tab w:pos="2846" w:val="left" w:leader="none"/>
                <w:tab w:pos="3659" w:val="left" w:leader="none"/>
              </w:tabs>
              <w:ind w:left="76" w:right="51"/>
              <w:rPr>
                <w:sz w:val="20"/>
              </w:rPr>
            </w:pPr>
            <w:r>
              <w:rPr>
                <w:sz w:val="20"/>
              </w:rPr>
              <w:t>possível dar uma resposta à sociedade sobre as</w:t>
              <w:tab/>
              <w:t>questões</w:t>
              <w:tab/>
              <w:t>julgadas</w:t>
              <w:tab/>
              <w:t>e</w:t>
              <w:tab/>
              <w:t>buscar</w:t>
              <w:tab/>
            </w:r>
            <w:r>
              <w:rPr>
                <w:spacing w:val="-18"/>
                <w:sz w:val="20"/>
              </w:rPr>
              <w:t>o</w:t>
            </w:r>
          </w:p>
        </w:tc>
        <w:tc>
          <w:tcPr>
            <w:tcW w:w="4115" w:type="dxa"/>
            <w:gridSpan w:val="2"/>
            <w:vMerge/>
            <w:tcBorders>
              <w:top w:val="nil"/>
              <w:left w:val="single" w:sz="4" w:space="0" w:color="000000"/>
              <w:bottom w:val="single" w:sz="4" w:space="0" w:color="000000"/>
              <w:right w:val="single" w:sz="4" w:space="0" w:color="000000"/>
            </w:tcBorders>
          </w:tcPr>
          <w:p>
            <w:pPr>
              <w:rPr>
                <w:sz w:val="2"/>
                <w:szCs w:val="2"/>
              </w:rPr>
            </w:pPr>
          </w:p>
        </w:tc>
        <w:tc>
          <w:tcPr>
            <w:tcW w:w="1133" w:type="dxa"/>
            <w:vMerge w:val="restart"/>
            <w:tcBorders>
              <w:top w:val="nil"/>
              <w:left w:val="single" w:sz="4" w:space="0" w:color="000000"/>
              <w:bottom w:val="nil"/>
              <w:right w:val="single" w:sz="4" w:space="0" w:color="000000"/>
            </w:tcBorders>
          </w:tcPr>
          <w:p>
            <w:pPr>
              <w:pStyle w:val="TableParagraph"/>
              <w:spacing w:before="6"/>
              <w:rPr>
                <w:rFonts w:ascii="Calibri Light"/>
                <w:b w:val="0"/>
                <w:sz w:val="16"/>
              </w:rPr>
            </w:pPr>
          </w:p>
          <w:p>
            <w:pPr>
              <w:pStyle w:val="TableParagraph"/>
              <w:spacing w:before="1"/>
              <w:ind w:left="168"/>
              <w:rPr>
                <w:sz w:val="20"/>
              </w:rPr>
            </w:pPr>
            <w:r>
              <w:rPr>
                <w:sz w:val="20"/>
              </w:rPr>
              <w:t>Semestral</w:t>
            </w:r>
          </w:p>
        </w:tc>
        <w:tc>
          <w:tcPr>
            <w:tcW w:w="1419" w:type="dxa"/>
            <w:vMerge w:val="restart"/>
            <w:tcBorders>
              <w:top w:val="nil"/>
              <w:left w:val="single" w:sz="4" w:space="0" w:color="000000"/>
              <w:bottom w:val="nil"/>
            </w:tcBorders>
          </w:tcPr>
          <w:p>
            <w:pPr>
              <w:pStyle w:val="TableParagraph"/>
              <w:spacing w:line="202" w:lineRule="exact"/>
              <w:ind w:left="118" w:right="94"/>
              <w:jc w:val="center"/>
              <w:rPr>
                <w:sz w:val="20"/>
              </w:rPr>
            </w:pPr>
            <w:r>
              <w:rPr>
                <w:sz w:val="20"/>
              </w:rPr>
              <w:t>Comissão de</w:t>
            </w:r>
          </w:p>
          <w:p>
            <w:pPr>
              <w:pStyle w:val="TableParagraph"/>
              <w:ind w:left="118" w:right="90"/>
              <w:jc w:val="center"/>
              <w:rPr>
                <w:sz w:val="20"/>
              </w:rPr>
            </w:pPr>
            <w:r>
              <w:rPr>
                <w:sz w:val="20"/>
              </w:rPr>
              <w:t>ética do </w:t>
            </w:r>
            <w:r>
              <w:rPr>
                <w:w w:val="95"/>
                <w:sz w:val="20"/>
              </w:rPr>
              <w:t>CAU/UF</w:t>
            </w:r>
          </w:p>
        </w:tc>
      </w:tr>
      <w:tr>
        <w:trPr>
          <w:trHeight w:val="412" w:hRule="atLeast"/>
        </w:trPr>
        <w:tc>
          <w:tcPr>
            <w:tcW w:w="1810" w:type="dxa"/>
            <w:vMerge/>
            <w:tcBorders>
              <w:top w:val="nil"/>
              <w:bottom w:val="nil"/>
              <w:right w:val="single" w:sz="4" w:space="0" w:color="000000"/>
            </w:tcBorders>
          </w:tcPr>
          <w:p>
            <w:pPr>
              <w:rPr>
                <w:sz w:val="2"/>
                <w:szCs w:val="2"/>
              </w:rPr>
            </w:pPr>
          </w:p>
        </w:tc>
        <w:tc>
          <w:tcPr>
            <w:tcW w:w="1663" w:type="dxa"/>
            <w:vMerge/>
            <w:tcBorders>
              <w:top w:val="nil"/>
              <w:left w:val="single" w:sz="4" w:space="0" w:color="000000"/>
              <w:bottom w:val="nil"/>
              <w:right w:val="single" w:sz="4" w:space="0" w:color="000000"/>
            </w:tcBorders>
          </w:tcPr>
          <w:p>
            <w:pPr>
              <w:rPr>
                <w:sz w:val="2"/>
                <w:szCs w:val="2"/>
              </w:rPr>
            </w:pPr>
          </w:p>
        </w:tc>
        <w:tc>
          <w:tcPr>
            <w:tcW w:w="1630" w:type="dxa"/>
            <w:vMerge/>
            <w:tcBorders>
              <w:top w:val="nil"/>
              <w:left w:val="single" w:sz="4" w:space="0" w:color="000000"/>
              <w:bottom w:val="nil"/>
              <w:right w:val="single" w:sz="4" w:space="0" w:color="000000"/>
            </w:tcBorders>
          </w:tcPr>
          <w:p>
            <w:pPr>
              <w:rPr>
                <w:sz w:val="2"/>
                <w:szCs w:val="2"/>
              </w:rPr>
            </w:pPr>
          </w:p>
        </w:tc>
        <w:tc>
          <w:tcPr>
            <w:tcW w:w="3828" w:type="dxa"/>
            <w:gridSpan w:val="2"/>
            <w:vMerge/>
            <w:tcBorders>
              <w:top w:val="nil"/>
              <w:left w:val="single" w:sz="4" w:space="0" w:color="000000"/>
              <w:bottom w:val="nil"/>
              <w:right w:val="single" w:sz="4" w:space="0" w:color="000000"/>
            </w:tcBorders>
          </w:tcPr>
          <w:p>
            <w:pPr>
              <w:rPr>
                <w:sz w:val="2"/>
                <w:szCs w:val="2"/>
              </w:rPr>
            </w:pPr>
          </w:p>
        </w:tc>
        <w:tc>
          <w:tcPr>
            <w:tcW w:w="4115" w:type="dxa"/>
            <w:gridSpan w:val="2"/>
            <w:tcBorders>
              <w:top w:val="single" w:sz="4" w:space="0" w:color="000000"/>
              <w:left w:val="single" w:sz="4" w:space="0" w:color="000000"/>
              <w:bottom w:val="nil"/>
              <w:right w:val="single" w:sz="4" w:space="0" w:color="000000"/>
            </w:tcBorders>
          </w:tcPr>
          <w:p>
            <w:pPr>
              <w:pStyle w:val="TableParagraph"/>
              <w:spacing w:line="224" w:lineRule="exact"/>
              <w:ind w:left="300"/>
              <w:rPr>
                <w:sz w:val="20"/>
              </w:rPr>
            </w:pPr>
            <w:r>
              <w:rPr>
                <w:sz w:val="20"/>
              </w:rPr>
              <w:t>tempo máximo para conclusão de processo</w:t>
            </w:r>
          </w:p>
        </w:tc>
        <w:tc>
          <w:tcPr>
            <w:tcW w:w="1133" w:type="dxa"/>
            <w:vMerge/>
            <w:tcBorders>
              <w:top w:val="nil"/>
              <w:left w:val="single" w:sz="4" w:space="0" w:color="000000"/>
              <w:bottom w:val="nil"/>
              <w:right w:val="single" w:sz="4" w:space="0" w:color="000000"/>
            </w:tcBorders>
          </w:tcPr>
          <w:p>
            <w:pPr>
              <w:rPr>
                <w:sz w:val="2"/>
                <w:szCs w:val="2"/>
              </w:rPr>
            </w:pPr>
          </w:p>
        </w:tc>
        <w:tc>
          <w:tcPr>
            <w:tcW w:w="1419" w:type="dxa"/>
            <w:vMerge/>
            <w:tcBorders>
              <w:top w:val="nil"/>
              <w:left w:val="single" w:sz="4" w:space="0" w:color="000000"/>
              <w:bottom w:val="nil"/>
            </w:tcBorders>
          </w:tcPr>
          <w:p>
            <w:pPr>
              <w:rPr>
                <w:sz w:val="2"/>
                <w:szCs w:val="2"/>
              </w:rPr>
            </w:pPr>
          </w:p>
        </w:tc>
      </w:tr>
      <w:tr>
        <w:trPr>
          <w:trHeight w:val="243" w:hRule="atLeast"/>
        </w:trPr>
        <w:tc>
          <w:tcPr>
            <w:tcW w:w="1810" w:type="dxa"/>
            <w:tcBorders>
              <w:top w:val="nil"/>
              <w:bottom w:val="nil"/>
              <w:right w:val="single" w:sz="4" w:space="0" w:color="000000"/>
            </w:tcBorders>
          </w:tcPr>
          <w:p>
            <w:pPr>
              <w:pStyle w:val="TableParagraph"/>
              <w:rPr>
                <w:rFonts w:ascii="Times New Roman"/>
                <w:sz w:val="16"/>
              </w:rPr>
            </w:pPr>
          </w:p>
        </w:tc>
        <w:tc>
          <w:tcPr>
            <w:tcW w:w="1663" w:type="dxa"/>
            <w:tcBorders>
              <w:top w:val="nil"/>
              <w:left w:val="single" w:sz="4" w:space="0" w:color="000000"/>
              <w:bottom w:val="nil"/>
              <w:right w:val="single" w:sz="4" w:space="0" w:color="000000"/>
            </w:tcBorders>
          </w:tcPr>
          <w:p>
            <w:pPr>
              <w:pStyle w:val="TableParagraph"/>
              <w:rPr>
                <w:rFonts w:ascii="Times New Roman"/>
                <w:sz w:val="16"/>
              </w:rPr>
            </w:pPr>
          </w:p>
        </w:tc>
        <w:tc>
          <w:tcPr>
            <w:tcW w:w="1630" w:type="dxa"/>
            <w:tcBorders>
              <w:top w:val="nil"/>
              <w:left w:val="single" w:sz="4" w:space="0" w:color="000000"/>
              <w:bottom w:val="nil"/>
              <w:right w:val="single" w:sz="4" w:space="0" w:color="000000"/>
            </w:tcBorders>
          </w:tcPr>
          <w:p>
            <w:pPr>
              <w:pStyle w:val="TableParagraph"/>
              <w:spacing w:line="206" w:lineRule="exact"/>
              <w:ind w:left="87" w:right="71"/>
              <w:jc w:val="center"/>
              <w:rPr>
                <w:b/>
                <w:sz w:val="20"/>
              </w:rPr>
            </w:pPr>
            <w:r>
              <w:rPr>
                <w:b/>
                <w:sz w:val="20"/>
              </w:rPr>
              <w:t>(CAU/UF)</w:t>
            </w:r>
          </w:p>
        </w:tc>
        <w:tc>
          <w:tcPr>
            <w:tcW w:w="3828" w:type="dxa"/>
            <w:gridSpan w:val="2"/>
            <w:tcBorders>
              <w:top w:val="nil"/>
              <w:left w:val="single" w:sz="4" w:space="0" w:color="000000"/>
              <w:bottom w:val="nil"/>
              <w:right w:val="single" w:sz="4" w:space="0" w:color="000000"/>
            </w:tcBorders>
          </w:tcPr>
          <w:p>
            <w:pPr>
              <w:pStyle w:val="TableParagraph"/>
              <w:spacing w:line="206" w:lineRule="exact"/>
              <w:ind w:left="76"/>
              <w:rPr>
                <w:sz w:val="20"/>
              </w:rPr>
            </w:pPr>
            <w:r>
              <w:rPr>
                <w:sz w:val="20"/>
              </w:rPr>
              <w:t>reconhecimento do trabalho sendo realizado.</w:t>
            </w:r>
          </w:p>
        </w:tc>
        <w:tc>
          <w:tcPr>
            <w:tcW w:w="4115" w:type="dxa"/>
            <w:gridSpan w:val="2"/>
            <w:tcBorders>
              <w:top w:val="nil"/>
              <w:left w:val="single" w:sz="4" w:space="0" w:color="000000"/>
              <w:bottom w:val="nil"/>
              <w:right w:val="single" w:sz="4" w:space="0" w:color="000000"/>
            </w:tcBorders>
          </w:tcPr>
          <w:p>
            <w:pPr>
              <w:pStyle w:val="TableParagraph"/>
              <w:rPr>
                <w:rFonts w:ascii="Times New Roman"/>
                <w:sz w:val="16"/>
              </w:rPr>
            </w:pPr>
          </w:p>
        </w:tc>
        <w:tc>
          <w:tcPr>
            <w:tcW w:w="1133" w:type="dxa"/>
            <w:tcBorders>
              <w:top w:val="nil"/>
              <w:left w:val="single" w:sz="4" w:space="0" w:color="000000"/>
              <w:bottom w:val="nil"/>
              <w:right w:val="single" w:sz="4" w:space="0" w:color="000000"/>
            </w:tcBorders>
          </w:tcPr>
          <w:p>
            <w:pPr>
              <w:pStyle w:val="TableParagraph"/>
              <w:rPr>
                <w:rFonts w:ascii="Times New Roman"/>
                <w:sz w:val="16"/>
              </w:rPr>
            </w:pPr>
          </w:p>
        </w:tc>
        <w:tc>
          <w:tcPr>
            <w:tcW w:w="1419" w:type="dxa"/>
            <w:tcBorders>
              <w:top w:val="nil"/>
              <w:left w:val="single" w:sz="4" w:space="0" w:color="000000"/>
              <w:bottom w:val="nil"/>
            </w:tcBorders>
          </w:tcPr>
          <w:p>
            <w:pPr>
              <w:pStyle w:val="TableParagraph"/>
              <w:rPr>
                <w:rFonts w:ascii="Times New Roman"/>
                <w:sz w:val="16"/>
              </w:rPr>
            </w:pPr>
          </w:p>
        </w:tc>
      </w:tr>
      <w:tr>
        <w:trPr>
          <w:trHeight w:val="390" w:hRule="atLeast"/>
        </w:trPr>
        <w:tc>
          <w:tcPr>
            <w:tcW w:w="1810" w:type="dxa"/>
            <w:tcBorders>
              <w:top w:val="nil"/>
              <w:bottom w:val="single" w:sz="4" w:space="0" w:color="000000"/>
              <w:right w:val="single" w:sz="4" w:space="0" w:color="000000"/>
            </w:tcBorders>
          </w:tcPr>
          <w:p>
            <w:pPr>
              <w:pStyle w:val="TableParagraph"/>
              <w:rPr>
                <w:rFonts w:ascii="Times New Roman"/>
                <w:sz w:val="20"/>
              </w:rPr>
            </w:pPr>
          </w:p>
        </w:tc>
        <w:tc>
          <w:tcPr>
            <w:tcW w:w="166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3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3828" w:type="dxa"/>
            <w:gridSpan w:val="2"/>
            <w:tcBorders>
              <w:top w:val="nil"/>
              <w:left w:val="single" w:sz="4" w:space="0" w:color="000000"/>
              <w:bottom w:val="single" w:sz="4" w:space="0" w:color="000000"/>
              <w:right w:val="single" w:sz="4" w:space="0" w:color="000000"/>
            </w:tcBorders>
          </w:tcPr>
          <w:p>
            <w:pPr>
              <w:pStyle w:val="TableParagraph"/>
              <w:spacing w:line="207" w:lineRule="exact"/>
              <w:ind w:left="76"/>
              <w:rPr>
                <w:sz w:val="20"/>
              </w:rPr>
            </w:pPr>
            <w:r>
              <w:rPr>
                <w:sz w:val="20"/>
              </w:rPr>
              <w:t>O índice ideal é maior ou igual a 1.</w:t>
            </w:r>
          </w:p>
        </w:tc>
        <w:tc>
          <w:tcPr>
            <w:tcW w:w="4115" w:type="dxa"/>
            <w:gridSpan w:val="2"/>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33"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419" w:type="dxa"/>
            <w:tcBorders>
              <w:top w:val="nil"/>
              <w:left w:val="single" w:sz="4" w:space="0" w:color="000000"/>
              <w:bottom w:val="single" w:sz="4" w:space="0" w:color="000000"/>
            </w:tcBorders>
          </w:tcPr>
          <w:p>
            <w:pPr>
              <w:pStyle w:val="TableParagraph"/>
              <w:rPr>
                <w:rFonts w:ascii="Times New Roman"/>
                <w:sz w:val="20"/>
              </w:rPr>
            </w:pPr>
          </w:p>
        </w:tc>
      </w:tr>
    </w:tbl>
    <w:p>
      <w:pPr>
        <w:spacing w:after="0"/>
        <w:rPr>
          <w:rFonts w:ascii="Times New Roman"/>
          <w:sz w:val="20"/>
        </w:rPr>
        <w:sectPr>
          <w:headerReference w:type="default" r:id="rId37"/>
          <w:footerReference w:type="default" r:id="rId38"/>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06"/>
        <w:gridCol w:w="1487"/>
        <w:gridCol w:w="1994"/>
        <w:gridCol w:w="4257"/>
        <w:gridCol w:w="2584"/>
        <w:gridCol w:w="668"/>
        <w:gridCol w:w="1281"/>
        <w:gridCol w:w="1418"/>
      </w:tblGrid>
      <w:tr>
        <w:trPr>
          <w:trHeight w:val="1574" w:hRule="atLeast"/>
        </w:trPr>
        <w:tc>
          <w:tcPr>
            <w:tcW w:w="1906"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70"/>
              <w:rPr>
                <w:b/>
                <w:sz w:val="20"/>
              </w:rPr>
            </w:pPr>
            <w:r>
              <w:rPr>
                <w:b/>
                <w:color w:val="FFFFFF"/>
                <w:sz w:val="20"/>
              </w:rPr>
              <w:t>Perspectiva</w:t>
            </w:r>
          </w:p>
        </w:tc>
        <w:tc>
          <w:tcPr>
            <w:tcW w:w="148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85" w:firstLine="103"/>
              <w:rPr>
                <w:b/>
                <w:sz w:val="20"/>
              </w:rPr>
            </w:pPr>
            <w:r>
              <w:rPr>
                <w:b/>
                <w:color w:val="FFFFFF"/>
                <w:sz w:val="20"/>
              </w:rPr>
              <w:t>Objetivo </w:t>
            </w:r>
            <w:r>
              <w:rPr>
                <w:b/>
                <w:color w:val="FFFFFF"/>
                <w:w w:val="95"/>
                <w:sz w:val="20"/>
              </w:rPr>
              <w:t>Estratégico</w:t>
            </w:r>
          </w:p>
        </w:tc>
        <w:tc>
          <w:tcPr>
            <w:tcW w:w="1994"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608"/>
              <w:rPr>
                <w:b/>
                <w:sz w:val="20"/>
              </w:rPr>
            </w:pPr>
            <w:r>
              <w:rPr>
                <w:b/>
                <w:color w:val="FFFFFF"/>
                <w:sz w:val="20"/>
              </w:rPr>
              <w:t>Indicador</w:t>
            </w:r>
          </w:p>
        </w:tc>
        <w:tc>
          <w:tcPr>
            <w:tcW w:w="425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708" w:right="1697"/>
              <w:jc w:val="center"/>
              <w:rPr>
                <w:b/>
                <w:sz w:val="20"/>
              </w:rPr>
            </w:pPr>
            <w:r>
              <w:rPr>
                <w:b/>
                <w:color w:val="FFFFFF"/>
                <w:sz w:val="20"/>
              </w:rPr>
              <w:t>Descrição</w:t>
            </w:r>
          </w:p>
        </w:tc>
        <w:tc>
          <w:tcPr>
            <w:tcW w:w="3252"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838"/>
              <w:rPr>
                <w:b/>
                <w:sz w:val="20"/>
              </w:rPr>
            </w:pPr>
            <w:r>
              <w:rPr>
                <w:b/>
                <w:color w:val="FFFFFF"/>
                <w:sz w:val="20"/>
              </w:rPr>
              <w:t>Fórmula de Cálculo</w:t>
            </w:r>
          </w:p>
        </w:tc>
        <w:tc>
          <w:tcPr>
            <w:tcW w:w="128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59" w:right="116" w:firstLine="28"/>
              <w:rPr>
                <w:b/>
                <w:sz w:val="20"/>
              </w:rPr>
            </w:pPr>
            <w:r>
              <w:rPr>
                <w:b/>
                <w:color w:val="FFFFFF"/>
                <w:sz w:val="20"/>
              </w:rPr>
              <w:t>Frequência de Medição</w:t>
            </w:r>
          </w:p>
        </w:tc>
        <w:tc>
          <w:tcPr>
            <w:tcW w:w="1418"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1" w:right="276" w:firstLine="24"/>
              <w:rPr>
                <w:b/>
                <w:sz w:val="20"/>
              </w:rPr>
            </w:pPr>
            <w:r>
              <w:rPr>
                <w:b/>
                <w:color w:val="FFFFFF"/>
                <w:sz w:val="20"/>
              </w:rPr>
              <w:t>Fonte do Indicador</w:t>
            </w:r>
          </w:p>
        </w:tc>
      </w:tr>
      <w:tr>
        <w:trPr>
          <w:trHeight w:val="870" w:hRule="atLeast"/>
        </w:trPr>
        <w:tc>
          <w:tcPr>
            <w:tcW w:w="1906"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4"/>
              <w:rPr>
                <w:rFonts w:ascii="Calibri Light"/>
                <w:b w:val="0"/>
                <w:sz w:val="24"/>
              </w:rPr>
            </w:pPr>
          </w:p>
          <w:p>
            <w:pPr>
              <w:pStyle w:val="TableParagraph"/>
              <w:ind w:left="184" w:right="176"/>
              <w:jc w:val="center"/>
              <w:rPr>
                <w:sz w:val="20"/>
              </w:rPr>
            </w:pPr>
            <w:r>
              <w:rPr>
                <w:sz w:val="20"/>
              </w:rPr>
              <w:t>Processos Internos (Relação com a Sociedade)</w:t>
            </w:r>
          </w:p>
        </w:tc>
        <w:tc>
          <w:tcPr>
            <w:tcW w:w="1487"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5"/>
              <w:rPr>
                <w:rFonts w:ascii="Calibri Light"/>
                <w:b w:val="0"/>
                <w:sz w:val="24"/>
              </w:rPr>
            </w:pPr>
          </w:p>
          <w:p>
            <w:pPr>
              <w:pStyle w:val="TableParagraph"/>
              <w:spacing w:before="1"/>
              <w:ind w:left="201" w:right="184" w:hanging="4"/>
              <w:jc w:val="center"/>
              <w:rPr>
                <w:sz w:val="20"/>
              </w:rPr>
            </w:pPr>
            <w:r>
              <w:rPr>
                <w:sz w:val="20"/>
              </w:rPr>
              <w:t>Fomentar o acesso da sociedade à Arquitetura e Urbanismo</w:t>
            </w:r>
          </w:p>
        </w:tc>
        <w:tc>
          <w:tcPr>
            <w:tcW w:w="1994"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57" w:right="39"/>
              <w:jc w:val="center"/>
              <w:rPr>
                <w:b/>
                <w:sz w:val="20"/>
              </w:rPr>
            </w:pPr>
            <w:r>
              <w:rPr>
                <w:sz w:val="20"/>
              </w:rPr>
              <w:t>Índice de RRT por população (1.000 habitantes) (%) </w:t>
            </w:r>
            <w:r>
              <w:rPr>
                <w:b/>
                <w:sz w:val="20"/>
              </w:rPr>
              <w:t>(CAU/UF)</w:t>
            </w:r>
          </w:p>
        </w:tc>
        <w:tc>
          <w:tcPr>
            <w:tcW w:w="4257"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76" w:right="60"/>
              <w:jc w:val="both"/>
              <w:rPr>
                <w:sz w:val="20"/>
              </w:rPr>
            </w:pPr>
            <w:r>
              <w:rPr>
                <w:sz w:val="20"/>
              </w:rPr>
              <w:t>Mede se a população de cada Estado está usando mais</w:t>
            </w:r>
            <w:r>
              <w:rPr>
                <w:spacing w:val="-11"/>
                <w:sz w:val="20"/>
              </w:rPr>
              <w:t> </w:t>
            </w:r>
            <w:r>
              <w:rPr>
                <w:sz w:val="20"/>
              </w:rPr>
              <w:t>serviços</w:t>
            </w:r>
            <w:r>
              <w:rPr>
                <w:spacing w:val="-10"/>
                <w:sz w:val="20"/>
              </w:rPr>
              <w:t> </w:t>
            </w:r>
            <w:r>
              <w:rPr>
                <w:sz w:val="20"/>
              </w:rPr>
              <w:t>de</w:t>
            </w:r>
            <w:r>
              <w:rPr>
                <w:spacing w:val="-12"/>
                <w:sz w:val="20"/>
              </w:rPr>
              <w:t> </w:t>
            </w:r>
            <w:r>
              <w:rPr>
                <w:sz w:val="20"/>
              </w:rPr>
              <w:t>Arquitetura</w:t>
            </w:r>
            <w:r>
              <w:rPr>
                <w:spacing w:val="-12"/>
                <w:sz w:val="20"/>
              </w:rPr>
              <w:t> </w:t>
            </w:r>
            <w:r>
              <w:rPr>
                <w:sz w:val="20"/>
              </w:rPr>
              <w:t>e</w:t>
            </w:r>
            <w:r>
              <w:rPr>
                <w:spacing w:val="-15"/>
                <w:sz w:val="20"/>
              </w:rPr>
              <w:t> </w:t>
            </w:r>
            <w:r>
              <w:rPr>
                <w:sz w:val="20"/>
              </w:rPr>
              <w:t>Urbanismo</w:t>
            </w:r>
            <w:r>
              <w:rPr>
                <w:spacing w:val="-11"/>
                <w:sz w:val="20"/>
              </w:rPr>
              <w:t> </w:t>
            </w:r>
            <w:r>
              <w:rPr>
                <w:sz w:val="20"/>
              </w:rPr>
              <w:t>por</w:t>
            </w:r>
            <w:r>
              <w:rPr>
                <w:spacing w:val="-12"/>
                <w:sz w:val="20"/>
              </w:rPr>
              <w:t> </w:t>
            </w:r>
            <w:r>
              <w:rPr>
                <w:sz w:val="20"/>
              </w:rPr>
              <w:t>meio do aumento do total de RRTs pagos na UF em comparação com sua</w:t>
            </w:r>
            <w:r>
              <w:rPr>
                <w:spacing w:val="-1"/>
                <w:sz w:val="20"/>
              </w:rPr>
              <w:t> </w:t>
            </w:r>
            <w:r>
              <w:rPr>
                <w:sz w:val="20"/>
              </w:rPr>
              <w:t>população.</w:t>
            </w:r>
          </w:p>
        </w:tc>
        <w:tc>
          <w:tcPr>
            <w:tcW w:w="3252" w:type="dxa"/>
            <w:gridSpan w:val="2"/>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0"/>
              <w:rPr>
                <w:rFonts w:ascii="Calibri Light"/>
                <w:b w:val="0"/>
                <w:sz w:val="29"/>
              </w:rPr>
            </w:pPr>
          </w:p>
          <w:p>
            <w:pPr>
              <w:pStyle w:val="TableParagraph"/>
              <w:spacing w:line="242" w:lineRule="exact"/>
              <w:ind w:left="881"/>
              <w:rPr>
                <w:sz w:val="20"/>
              </w:rPr>
            </w:pPr>
            <w:r>
              <w:rPr>
                <w:sz w:val="20"/>
              </w:rPr>
              <w:t>total de RRT na UF</w:t>
            </w:r>
          </w:p>
        </w:tc>
        <w:tc>
          <w:tcPr>
            <w:tcW w:w="1281"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34"/>
              <w:rPr>
                <w:sz w:val="20"/>
              </w:rPr>
            </w:pPr>
            <w:r>
              <w:rPr>
                <w:sz w:val="20"/>
              </w:rPr>
              <w:t>Trimestral</w:t>
            </w:r>
          </w:p>
        </w:tc>
        <w:tc>
          <w:tcPr>
            <w:tcW w:w="1418" w:type="dxa"/>
            <w:vMerge w:val="restart"/>
            <w:tcBorders>
              <w:left w:val="single" w:sz="4" w:space="0" w:color="000000"/>
              <w:bottom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75" w:right="50"/>
              <w:jc w:val="center"/>
              <w:rPr>
                <w:sz w:val="20"/>
              </w:rPr>
            </w:pPr>
            <w:r>
              <w:rPr>
                <w:sz w:val="20"/>
              </w:rPr>
              <w:t>SICCAU/IGEO,</w:t>
            </w:r>
          </w:p>
          <w:p>
            <w:pPr>
              <w:pStyle w:val="TableParagraph"/>
              <w:spacing w:before="1"/>
              <w:ind w:left="73" w:right="50"/>
              <w:jc w:val="center"/>
              <w:rPr>
                <w:sz w:val="20"/>
              </w:rPr>
            </w:pPr>
            <w:r>
              <w:rPr>
                <w:sz w:val="20"/>
              </w:rPr>
              <w:t>Ministério das Cidades</w:t>
            </w:r>
          </w:p>
        </w:tc>
      </w:tr>
      <w:tr>
        <w:trPr>
          <w:trHeight w:val="870"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tcBorders>
              <w:top w:val="nil"/>
              <w:left w:val="single" w:sz="4" w:space="0" w:color="000000"/>
              <w:bottom w:val="single" w:sz="4" w:space="0" w:color="000000"/>
              <w:right w:val="single" w:sz="4" w:space="0" w:color="000000"/>
            </w:tcBorders>
          </w:tcPr>
          <w:p>
            <w:pPr>
              <w:rPr>
                <w:sz w:val="2"/>
                <w:szCs w:val="2"/>
              </w:rPr>
            </w:pPr>
          </w:p>
        </w:tc>
        <w:tc>
          <w:tcPr>
            <w:tcW w:w="4257" w:type="dxa"/>
            <w:vMerge/>
            <w:tcBorders>
              <w:top w:val="nil"/>
              <w:left w:val="single" w:sz="4" w:space="0" w:color="000000"/>
              <w:bottom w:val="single" w:sz="4" w:space="0" w:color="000000"/>
              <w:right w:val="single" w:sz="4" w:space="0" w:color="000000"/>
            </w:tcBorders>
          </w:tcPr>
          <w:p>
            <w:pPr>
              <w:rPr>
                <w:sz w:val="2"/>
                <w:szCs w:val="2"/>
              </w:rPr>
            </w:pPr>
          </w:p>
        </w:tc>
        <w:tc>
          <w:tcPr>
            <w:tcW w:w="32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476" w:right="457"/>
              <w:jc w:val="center"/>
              <w:rPr>
                <w:sz w:val="20"/>
              </w:rPr>
            </w:pPr>
            <w:r>
              <w:rPr>
                <w:sz w:val="20"/>
              </w:rPr>
              <w:t>população total da UF/1000</w:t>
            </w:r>
          </w:p>
          <w:p>
            <w:pPr>
              <w:pStyle w:val="TableParagraph"/>
              <w:ind w:left="476" w:right="452"/>
              <w:jc w:val="center"/>
              <w:rPr>
                <w:sz w:val="20"/>
              </w:rPr>
            </w:pPr>
            <w:r>
              <w:rPr>
                <w:sz w:val="20"/>
              </w:rPr>
              <w:t>habitantes</w:t>
            </w:r>
          </w:p>
        </w:tc>
        <w:tc>
          <w:tcPr>
            <w:tcW w:w="1281" w:type="dxa"/>
            <w:vMerge/>
            <w:tcBorders>
              <w:top w:val="nil"/>
              <w:left w:val="single" w:sz="4" w:space="0" w:color="000000"/>
              <w:bottom w:val="single" w:sz="4" w:space="0" w:color="000000"/>
              <w:right w:val="single" w:sz="4" w:space="0" w:color="000000"/>
            </w:tcBorders>
          </w:tcPr>
          <w:p>
            <w:pPr>
              <w:rPr>
                <w:sz w:val="2"/>
                <w:szCs w:val="2"/>
              </w:rPr>
            </w:pPr>
          </w:p>
        </w:tc>
        <w:tc>
          <w:tcPr>
            <w:tcW w:w="1418" w:type="dxa"/>
            <w:vMerge/>
            <w:tcBorders>
              <w:top w:val="nil"/>
              <w:left w:val="single" w:sz="4" w:space="0" w:color="000000"/>
              <w:bottom w:val="single" w:sz="4" w:space="0" w:color="000000"/>
            </w:tcBorders>
          </w:tcPr>
          <w:p>
            <w:pPr>
              <w:rPr>
                <w:sz w:val="2"/>
                <w:szCs w:val="2"/>
              </w:rPr>
            </w:pPr>
          </w:p>
        </w:tc>
      </w:tr>
      <w:tr>
        <w:trPr>
          <w:trHeight w:val="894"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ind w:left="59" w:right="39"/>
              <w:jc w:val="center"/>
              <w:rPr>
                <w:sz w:val="20"/>
              </w:rPr>
            </w:pPr>
            <w:r>
              <w:rPr>
                <w:sz w:val="20"/>
              </w:rPr>
              <w:t>Índice de RRT mínimos (%)</w:t>
            </w:r>
          </w:p>
          <w:p>
            <w:pPr>
              <w:pStyle w:val="TableParagraph"/>
              <w:spacing w:before="2"/>
              <w:ind w:left="54" w:right="39"/>
              <w:jc w:val="center"/>
              <w:rPr>
                <w:b/>
                <w:sz w:val="20"/>
              </w:rPr>
            </w:pPr>
            <w:r>
              <w:rPr>
                <w:b/>
                <w:sz w:val="20"/>
              </w:rPr>
              <w:t>(CAU/UF)</w:t>
            </w:r>
          </w:p>
        </w:tc>
        <w:tc>
          <w:tcPr>
            <w:tcW w:w="4257"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76" w:right="55"/>
              <w:jc w:val="both"/>
              <w:rPr>
                <w:sz w:val="20"/>
              </w:rPr>
            </w:pPr>
            <w:r>
              <w:rPr>
                <w:sz w:val="20"/>
              </w:rPr>
              <w:t>Mede</w:t>
            </w:r>
            <w:r>
              <w:rPr>
                <w:spacing w:val="-10"/>
                <w:sz w:val="20"/>
              </w:rPr>
              <w:t> </w:t>
            </w:r>
            <w:r>
              <w:rPr>
                <w:sz w:val="20"/>
              </w:rPr>
              <w:t>se</w:t>
            </w:r>
            <w:r>
              <w:rPr>
                <w:spacing w:val="-8"/>
                <w:sz w:val="20"/>
              </w:rPr>
              <w:t> </w:t>
            </w:r>
            <w:r>
              <w:rPr>
                <w:sz w:val="20"/>
              </w:rPr>
              <w:t>a</w:t>
            </w:r>
            <w:r>
              <w:rPr>
                <w:spacing w:val="-9"/>
                <w:sz w:val="20"/>
              </w:rPr>
              <w:t> </w:t>
            </w:r>
            <w:r>
              <w:rPr>
                <w:sz w:val="20"/>
              </w:rPr>
              <w:t>população</w:t>
            </w:r>
            <w:r>
              <w:rPr>
                <w:spacing w:val="-9"/>
                <w:sz w:val="20"/>
              </w:rPr>
              <w:t> </w:t>
            </w:r>
            <w:r>
              <w:rPr>
                <w:sz w:val="20"/>
              </w:rPr>
              <w:t>mais</w:t>
            </w:r>
            <w:r>
              <w:rPr>
                <w:spacing w:val="-8"/>
                <w:sz w:val="20"/>
              </w:rPr>
              <w:t> </w:t>
            </w:r>
            <w:r>
              <w:rPr>
                <w:sz w:val="20"/>
              </w:rPr>
              <w:t>carente</w:t>
            </w:r>
            <w:r>
              <w:rPr>
                <w:spacing w:val="-10"/>
                <w:sz w:val="20"/>
              </w:rPr>
              <w:t> </w:t>
            </w:r>
            <w:r>
              <w:rPr>
                <w:sz w:val="20"/>
              </w:rPr>
              <w:t>está</w:t>
            </w:r>
            <w:r>
              <w:rPr>
                <w:spacing w:val="-8"/>
                <w:sz w:val="20"/>
              </w:rPr>
              <w:t> </w:t>
            </w:r>
            <w:r>
              <w:rPr>
                <w:sz w:val="20"/>
              </w:rPr>
              <w:t>tendo</w:t>
            </w:r>
            <w:r>
              <w:rPr>
                <w:spacing w:val="-7"/>
                <w:sz w:val="20"/>
              </w:rPr>
              <w:t> </w:t>
            </w:r>
            <w:r>
              <w:rPr>
                <w:sz w:val="20"/>
              </w:rPr>
              <w:t>mais acesso aos serviços de Arquitetura e Urbanismo pelo aumento de RRTs mínimos pagos em relação ao total de RRTs</w:t>
            </w:r>
            <w:r>
              <w:rPr>
                <w:spacing w:val="-2"/>
                <w:sz w:val="20"/>
              </w:rPr>
              <w:t> </w:t>
            </w:r>
            <w:r>
              <w:rPr>
                <w:sz w:val="20"/>
              </w:rPr>
              <w:t>pagos.</w:t>
            </w:r>
          </w:p>
        </w:tc>
        <w:tc>
          <w:tcPr>
            <w:tcW w:w="2584"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8"/>
              <w:rPr>
                <w:rFonts w:ascii="Calibri Light"/>
                <w:b w:val="0"/>
                <w:sz w:val="29"/>
              </w:rPr>
            </w:pPr>
          </w:p>
          <w:p>
            <w:pPr>
              <w:pStyle w:val="TableParagraph"/>
              <w:tabs>
                <w:tab w:pos="787" w:val="left" w:leader="none"/>
                <w:tab w:pos="2546" w:val="left" w:leader="none"/>
              </w:tabs>
              <w:ind w:right="19"/>
              <w:jc w:val="center"/>
              <w:rPr>
                <w:sz w:val="20"/>
              </w:rPr>
            </w:pPr>
            <w:r>
              <w:rPr>
                <w:w w:val="99"/>
                <w:sz w:val="20"/>
                <w:u w:val="single"/>
              </w:rPr>
              <w:t> </w:t>
            </w:r>
            <w:r>
              <w:rPr>
                <w:sz w:val="20"/>
                <w:u w:val="single"/>
              </w:rPr>
              <w:tab/>
              <w:t>RRT</w:t>
            </w:r>
            <w:r>
              <w:rPr>
                <w:spacing w:val="-5"/>
                <w:sz w:val="20"/>
                <w:u w:val="single"/>
              </w:rPr>
              <w:t> </w:t>
            </w:r>
            <w:r>
              <w:rPr>
                <w:sz w:val="20"/>
                <w:u w:val="single"/>
              </w:rPr>
              <w:t>mínima</w:t>
              <w:tab/>
            </w:r>
          </w:p>
        </w:tc>
        <w:tc>
          <w:tcPr>
            <w:tcW w:w="66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45"/>
              <w:rPr>
                <w:sz w:val="20"/>
              </w:rPr>
            </w:pPr>
            <w:r>
              <w:rPr>
                <w:sz w:val="20"/>
              </w:rPr>
              <w:t>x 100</w:t>
            </w:r>
          </w:p>
        </w:tc>
        <w:tc>
          <w:tcPr>
            <w:tcW w:w="128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234"/>
              <w:rPr>
                <w:sz w:val="20"/>
              </w:rPr>
            </w:pPr>
            <w:r>
              <w:rPr>
                <w:sz w:val="20"/>
              </w:rPr>
              <w:t>Trimestral</w:t>
            </w:r>
          </w:p>
        </w:tc>
        <w:tc>
          <w:tcPr>
            <w:tcW w:w="141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172"/>
              <w:rPr>
                <w:sz w:val="20"/>
              </w:rPr>
            </w:pPr>
            <w:r>
              <w:rPr>
                <w:sz w:val="20"/>
              </w:rPr>
              <w:t>SICCAU/IGEO</w:t>
            </w:r>
          </w:p>
        </w:tc>
      </w:tr>
      <w:tr>
        <w:trPr>
          <w:trHeight w:val="844"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tcBorders>
              <w:top w:val="nil"/>
              <w:left w:val="single" w:sz="4" w:space="0" w:color="000000"/>
              <w:bottom w:val="single" w:sz="4" w:space="0" w:color="000000"/>
              <w:right w:val="single" w:sz="4" w:space="0" w:color="000000"/>
            </w:tcBorders>
          </w:tcPr>
          <w:p>
            <w:pPr>
              <w:rPr>
                <w:sz w:val="2"/>
                <w:szCs w:val="2"/>
              </w:rPr>
            </w:pPr>
          </w:p>
        </w:tc>
        <w:tc>
          <w:tcPr>
            <w:tcW w:w="4257" w:type="dxa"/>
            <w:vMerge/>
            <w:tcBorders>
              <w:top w:val="nil"/>
              <w:left w:val="single" w:sz="4" w:space="0" w:color="000000"/>
              <w:bottom w:val="single" w:sz="4" w:space="0" w:color="000000"/>
              <w:right w:val="single" w:sz="4" w:space="0" w:color="000000"/>
            </w:tcBorders>
          </w:tcPr>
          <w:p>
            <w:pPr>
              <w:rPr>
                <w:sz w:val="2"/>
                <w:szCs w:val="2"/>
              </w:rPr>
            </w:pPr>
          </w:p>
        </w:tc>
        <w:tc>
          <w:tcPr>
            <w:tcW w:w="2584" w:type="dxa"/>
            <w:tcBorders>
              <w:top w:val="nil"/>
              <w:left w:val="single" w:sz="4" w:space="0" w:color="000000"/>
              <w:bottom w:val="single" w:sz="4" w:space="0" w:color="000000"/>
              <w:right w:val="nil"/>
            </w:tcBorders>
          </w:tcPr>
          <w:p>
            <w:pPr>
              <w:pStyle w:val="TableParagraph"/>
              <w:spacing w:line="200" w:lineRule="exact"/>
              <w:ind w:right="24"/>
              <w:jc w:val="center"/>
              <w:rPr>
                <w:sz w:val="20"/>
              </w:rPr>
            </w:pPr>
            <w:r>
              <w:rPr>
                <w:sz w:val="20"/>
              </w:rPr>
              <w:t>total de RRT na UF</w:t>
            </w:r>
          </w:p>
        </w:tc>
        <w:tc>
          <w:tcPr>
            <w:tcW w:w="668" w:type="dxa"/>
            <w:vMerge/>
            <w:tcBorders>
              <w:top w:val="nil"/>
              <w:left w:val="nil"/>
              <w:bottom w:val="single" w:sz="4" w:space="0" w:color="000000"/>
              <w:right w:val="single" w:sz="4" w:space="0" w:color="000000"/>
            </w:tcBorders>
          </w:tcPr>
          <w:p>
            <w:pPr>
              <w:rPr>
                <w:sz w:val="2"/>
                <w:szCs w:val="2"/>
              </w:rPr>
            </w:pPr>
          </w:p>
        </w:tc>
        <w:tc>
          <w:tcPr>
            <w:tcW w:w="1281" w:type="dxa"/>
            <w:vMerge/>
            <w:tcBorders>
              <w:top w:val="nil"/>
              <w:left w:val="single" w:sz="4" w:space="0" w:color="000000"/>
              <w:bottom w:val="single" w:sz="4" w:space="0" w:color="000000"/>
              <w:right w:val="single" w:sz="4" w:space="0" w:color="000000"/>
            </w:tcBorders>
          </w:tcPr>
          <w:p>
            <w:pPr>
              <w:rPr>
                <w:sz w:val="2"/>
                <w:szCs w:val="2"/>
              </w:rPr>
            </w:pPr>
          </w:p>
        </w:tc>
        <w:tc>
          <w:tcPr>
            <w:tcW w:w="1418" w:type="dxa"/>
            <w:vMerge/>
            <w:tcBorders>
              <w:top w:val="nil"/>
              <w:left w:val="single" w:sz="4" w:space="0" w:color="000000"/>
              <w:bottom w:val="single" w:sz="4" w:space="0" w:color="000000"/>
            </w:tcBorders>
          </w:tcPr>
          <w:p>
            <w:pPr>
              <w:rPr>
                <w:sz w:val="2"/>
                <w:szCs w:val="2"/>
              </w:rPr>
            </w:pPr>
          </w:p>
        </w:tc>
      </w:tr>
      <w:tr>
        <w:trPr>
          <w:trHeight w:val="896"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3"/>
              <w:rPr>
                <w:rFonts w:ascii="Calibri Light"/>
                <w:b w:val="0"/>
                <w:sz w:val="20"/>
              </w:rPr>
            </w:pPr>
          </w:p>
          <w:p>
            <w:pPr>
              <w:pStyle w:val="TableParagraph"/>
              <w:ind w:left="174" w:right="155"/>
              <w:jc w:val="center"/>
              <w:rPr>
                <w:sz w:val="20"/>
              </w:rPr>
            </w:pPr>
            <w:r>
              <w:rPr>
                <w:sz w:val="20"/>
              </w:rPr>
              <w:t>Índice de RRT Social (%)</w:t>
            </w:r>
          </w:p>
          <w:p>
            <w:pPr>
              <w:pStyle w:val="TableParagraph"/>
              <w:spacing w:line="243" w:lineRule="exact"/>
              <w:ind w:left="54" w:right="39"/>
              <w:jc w:val="center"/>
              <w:rPr>
                <w:b/>
                <w:sz w:val="20"/>
              </w:rPr>
            </w:pPr>
            <w:r>
              <w:rPr>
                <w:b/>
                <w:sz w:val="20"/>
              </w:rPr>
              <w:t>(CAU/UF)</w:t>
            </w:r>
          </w:p>
        </w:tc>
        <w:tc>
          <w:tcPr>
            <w:tcW w:w="42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6" w:right="56"/>
              <w:jc w:val="both"/>
              <w:rPr>
                <w:sz w:val="20"/>
              </w:rPr>
            </w:pPr>
            <w:r>
              <w:rPr>
                <w:sz w:val="20"/>
              </w:rPr>
              <w:t>Mede se a população de cada UF está usando</w:t>
            </w:r>
            <w:r>
              <w:rPr>
                <w:spacing w:val="-32"/>
                <w:sz w:val="20"/>
              </w:rPr>
              <w:t> </w:t>
            </w:r>
            <w:r>
              <w:rPr>
                <w:sz w:val="20"/>
              </w:rPr>
              <w:t>mais serviços de Arquitetura e Urbanismo vinculados à Habitação de Interesse Social por meio do aumento do total de RRTs sociais pago na UF em comparação com sua</w:t>
            </w:r>
            <w:r>
              <w:rPr>
                <w:spacing w:val="-2"/>
                <w:sz w:val="20"/>
              </w:rPr>
              <w:t> </w:t>
            </w:r>
            <w:r>
              <w:rPr>
                <w:sz w:val="20"/>
              </w:rPr>
              <w:t>população.</w:t>
            </w:r>
          </w:p>
        </w:tc>
        <w:tc>
          <w:tcPr>
            <w:tcW w:w="2584"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857" w:val="left" w:leader="none"/>
                <w:tab w:pos="2546" w:val="left" w:leader="none"/>
              </w:tabs>
              <w:spacing w:before="1"/>
              <w:ind w:right="19"/>
              <w:jc w:val="center"/>
              <w:rPr>
                <w:sz w:val="20"/>
              </w:rPr>
            </w:pPr>
            <w:r>
              <w:rPr>
                <w:w w:val="99"/>
                <w:sz w:val="20"/>
                <w:u w:val="single"/>
              </w:rPr>
              <w:t> </w:t>
            </w:r>
            <w:r>
              <w:rPr>
                <w:sz w:val="20"/>
                <w:u w:val="single"/>
              </w:rPr>
              <w:tab/>
              <w:t>RRT</w:t>
            </w:r>
            <w:r>
              <w:rPr>
                <w:spacing w:val="-5"/>
                <w:sz w:val="20"/>
                <w:u w:val="single"/>
              </w:rPr>
              <w:t> </w:t>
            </w:r>
            <w:r>
              <w:rPr>
                <w:sz w:val="20"/>
                <w:u w:val="single"/>
              </w:rPr>
              <w:t>Social</w:t>
              <w:tab/>
            </w:r>
          </w:p>
        </w:tc>
        <w:tc>
          <w:tcPr>
            <w:tcW w:w="668"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45"/>
              <w:rPr>
                <w:sz w:val="20"/>
              </w:rPr>
            </w:pPr>
            <w:r>
              <w:rPr>
                <w:sz w:val="20"/>
              </w:rPr>
              <w:t>x 100</w:t>
            </w:r>
          </w:p>
        </w:tc>
        <w:tc>
          <w:tcPr>
            <w:tcW w:w="128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234"/>
              <w:rPr>
                <w:sz w:val="20"/>
              </w:rPr>
            </w:pPr>
            <w:r>
              <w:rPr>
                <w:sz w:val="20"/>
              </w:rPr>
              <w:t>Trimestral</w:t>
            </w:r>
          </w:p>
        </w:tc>
        <w:tc>
          <w:tcPr>
            <w:tcW w:w="141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172"/>
              <w:rPr>
                <w:sz w:val="20"/>
              </w:rPr>
            </w:pPr>
            <w:r>
              <w:rPr>
                <w:sz w:val="20"/>
              </w:rPr>
              <w:t>SICCAU/IGEO</w:t>
            </w:r>
          </w:p>
        </w:tc>
      </w:tr>
      <w:tr>
        <w:trPr>
          <w:trHeight w:val="843"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tcBorders>
              <w:top w:val="nil"/>
              <w:left w:val="single" w:sz="4" w:space="0" w:color="000000"/>
              <w:bottom w:val="single" w:sz="4" w:space="0" w:color="000000"/>
              <w:right w:val="single" w:sz="4" w:space="0" w:color="000000"/>
            </w:tcBorders>
          </w:tcPr>
          <w:p>
            <w:pPr>
              <w:rPr>
                <w:sz w:val="2"/>
                <w:szCs w:val="2"/>
              </w:rPr>
            </w:pPr>
          </w:p>
        </w:tc>
        <w:tc>
          <w:tcPr>
            <w:tcW w:w="4257" w:type="dxa"/>
            <w:vMerge/>
            <w:tcBorders>
              <w:top w:val="nil"/>
              <w:left w:val="single" w:sz="4" w:space="0" w:color="000000"/>
              <w:bottom w:val="single" w:sz="4" w:space="0" w:color="000000"/>
              <w:right w:val="single" w:sz="4" w:space="0" w:color="000000"/>
            </w:tcBorders>
          </w:tcPr>
          <w:p>
            <w:pPr>
              <w:rPr>
                <w:sz w:val="2"/>
                <w:szCs w:val="2"/>
              </w:rPr>
            </w:pPr>
          </w:p>
        </w:tc>
        <w:tc>
          <w:tcPr>
            <w:tcW w:w="2584" w:type="dxa"/>
            <w:tcBorders>
              <w:top w:val="nil"/>
              <w:left w:val="single" w:sz="4" w:space="0" w:color="000000"/>
              <w:bottom w:val="single" w:sz="4" w:space="0" w:color="000000"/>
              <w:right w:val="nil"/>
            </w:tcBorders>
          </w:tcPr>
          <w:p>
            <w:pPr>
              <w:pStyle w:val="TableParagraph"/>
              <w:spacing w:line="199" w:lineRule="exact"/>
              <w:ind w:right="24"/>
              <w:jc w:val="center"/>
              <w:rPr>
                <w:sz w:val="20"/>
              </w:rPr>
            </w:pPr>
            <w:r>
              <w:rPr>
                <w:sz w:val="20"/>
              </w:rPr>
              <w:t>total de RRT na UF</w:t>
            </w:r>
          </w:p>
        </w:tc>
        <w:tc>
          <w:tcPr>
            <w:tcW w:w="668" w:type="dxa"/>
            <w:vMerge/>
            <w:tcBorders>
              <w:top w:val="nil"/>
              <w:left w:val="nil"/>
              <w:bottom w:val="single" w:sz="4" w:space="0" w:color="000000"/>
              <w:right w:val="single" w:sz="4" w:space="0" w:color="000000"/>
            </w:tcBorders>
          </w:tcPr>
          <w:p>
            <w:pPr>
              <w:rPr>
                <w:sz w:val="2"/>
                <w:szCs w:val="2"/>
              </w:rPr>
            </w:pPr>
          </w:p>
        </w:tc>
        <w:tc>
          <w:tcPr>
            <w:tcW w:w="1281" w:type="dxa"/>
            <w:vMerge/>
            <w:tcBorders>
              <w:top w:val="nil"/>
              <w:left w:val="single" w:sz="4" w:space="0" w:color="000000"/>
              <w:bottom w:val="single" w:sz="4" w:space="0" w:color="000000"/>
              <w:right w:val="single" w:sz="4" w:space="0" w:color="000000"/>
            </w:tcBorders>
          </w:tcPr>
          <w:p>
            <w:pPr>
              <w:rPr>
                <w:sz w:val="2"/>
                <w:szCs w:val="2"/>
              </w:rPr>
            </w:pPr>
          </w:p>
        </w:tc>
        <w:tc>
          <w:tcPr>
            <w:tcW w:w="1418" w:type="dxa"/>
            <w:vMerge/>
            <w:tcBorders>
              <w:top w:val="nil"/>
              <w:left w:val="single" w:sz="4" w:space="0" w:color="000000"/>
              <w:bottom w:val="single" w:sz="4" w:space="0" w:color="000000"/>
            </w:tcBorders>
          </w:tcPr>
          <w:p>
            <w:pPr>
              <w:rPr>
                <w:sz w:val="2"/>
                <w:szCs w:val="2"/>
              </w:rPr>
            </w:pPr>
          </w:p>
        </w:tc>
      </w:tr>
      <w:tr>
        <w:trPr>
          <w:trHeight w:val="871" w:hRule="atLeast"/>
        </w:trPr>
        <w:tc>
          <w:tcPr>
            <w:tcW w:w="1906" w:type="dxa"/>
            <w:vMerge w:val="restart"/>
            <w:tcBorders>
              <w:top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57"/>
              <w:rPr>
                <w:sz w:val="20"/>
              </w:rPr>
            </w:pPr>
            <w:r>
              <w:rPr>
                <w:sz w:val="20"/>
              </w:rPr>
              <w:t>Alavancadores</w:t>
            </w:r>
          </w:p>
        </w:tc>
        <w:tc>
          <w:tcPr>
            <w:tcW w:w="1487"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74" w:right="55" w:hanging="6"/>
              <w:jc w:val="center"/>
              <w:rPr>
                <w:sz w:val="20"/>
              </w:rPr>
            </w:pPr>
            <w:r>
              <w:rPr>
                <w:sz w:val="20"/>
              </w:rPr>
              <w:t>Assegurar a </w:t>
            </w:r>
            <w:r>
              <w:rPr>
                <w:w w:val="95"/>
                <w:sz w:val="20"/>
              </w:rPr>
              <w:t>sustentabilidade </w:t>
            </w:r>
            <w:r>
              <w:rPr>
                <w:sz w:val="20"/>
              </w:rPr>
              <w:t>financeira</w:t>
            </w:r>
          </w:p>
        </w:tc>
        <w:tc>
          <w:tcPr>
            <w:tcW w:w="1994"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140" w:right="122" w:hanging="1"/>
              <w:jc w:val="center"/>
              <w:rPr>
                <w:b/>
                <w:sz w:val="20"/>
              </w:rPr>
            </w:pPr>
            <w:r>
              <w:rPr>
                <w:sz w:val="20"/>
              </w:rPr>
              <w:t>Índice de receita por arquiteto e urbanista </w:t>
            </w:r>
            <w:r>
              <w:rPr>
                <w:b/>
                <w:sz w:val="20"/>
              </w:rPr>
              <w:t>(CAU/UF)</w:t>
            </w:r>
          </w:p>
        </w:tc>
        <w:tc>
          <w:tcPr>
            <w:tcW w:w="42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rFonts w:ascii="Calibri Light"/>
                <w:b w:val="0"/>
                <w:sz w:val="20"/>
              </w:rPr>
            </w:pPr>
          </w:p>
          <w:p>
            <w:pPr>
              <w:pStyle w:val="TableParagraph"/>
              <w:spacing w:before="1"/>
              <w:ind w:left="76" w:right="58"/>
              <w:jc w:val="both"/>
              <w:rPr>
                <w:sz w:val="20"/>
              </w:rPr>
            </w:pPr>
            <w:r>
              <w:rPr>
                <w:sz w:val="20"/>
              </w:rPr>
              <w:t>Mede se a receita corrente de cada estado está aumentada para um mesmo número de</w:t>
            </w:r>
            <w:r>
              <w:rPr>
                <w:spacing w:val="-26"/>
                <w:sz w:val="20"/>
              </w:rPr>
              <w:t> </w:t>
            </w:r>
            <w:r>
              <w:rPr>
                <w:sz w:val="20"/>
              </w:rPr>
              <w:t>arquitetos e urbanistas. Isso mostrará maior eficiência na arrecadação e o quanto o CAU/UF está melhorando sua sustentabilidade</w:t>
            </w:r>
            <w:r>
              <w:rPr>
                <w:spacing w:val="-5"/>
                <w:sz w:val="20"/>
              </w:rPr>
              <w:t> </w:t>
            </w:r>
            <w:r>
              <w:rPr>
                <w:sz w:val="20"/>
              </w:rPr>
              <w:t>financeira.</w:t>
            </w:r>
          </w:p>
        </w:tc>
        <w:tc>
          <w:tcPr>
            <w:tcW w:w="3252"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0"/>
              <w:rPr>
                <w:rFonts w:ascii="Calibri Light"/>
                <w:b w:val="0"/>
                <w:sz w:val="29"/>
              </w:rPr>
            </w:pPr>
          </w:p>
          <w:p>
            <w:pPr>
              <w:pStyle w:val="TableParagraph"/>
              <w:spacing w:line="243" w:lineRule="exact"/>
              <w:ind w:left="977"/>
              <w:rPr>
                <w:sz w:val="20"/>
              </w:rPr>
            </w:pPr>
            <w:r>
              <w:rPr>
                <w:sz w:val="20"/>
              </w:rPr>
              <w:t>receita corrente</w:t>
            </w:r>
          </w:p>
        </w:tc>
        <w:tc>
          <w:tcPr>
            <w:tcW w:w="128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43"/>
              <w:rPr>
                <w:sz w:val="20"/>
              </w:rPr>
            </w:pPr>
            <w:r>
              <w:rPr>
                <w:sz w:val="20"/>
              </w:rPr>
              <w:t>Semestral</w:t>
            </w:r>
          </w:p>
        </w:tc>
        <w:tc>
          <w:tcPr>
            <w:tcW w:w="141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124"/>
              <w:ind w:left="75" w:right="50"/>
              <w:jc w:val="center"/>
              <w:rPr>
                <w:sz w:val="20"/>
              </w:rPr>
            </w:pPr>
            <w:r>
              <w:rPr>
                <w:sz w:val="20"/>
              </w:rPr>
              <w:t>SICCAU,</w:t>
            </w:r>
          </w:p>
          <w:p>
            <w:pPr>
              <w:pStyle w:val="TableParagraph"/>
              <w:spacing w:before="1"/>
              <w:ind w:left="78" w:right="50"/>
              <w:jc w:val="center"/>
              <w:rPr>
                <w:sz w:val="20"/>
              </w:rPr>
            </w:pPr>
            <w:r>
              <w:rPr>
                <w:sz w:val="20"/>
              </w:rPr>
              <w:t>Planejamento </w:t>
            </w:r>
            <w:r>
              <w:rPr>
                <w:spacing w:val="-12"/>
                <w:sz w:val="20"/>
              </w:rPr>
              <w:t>e </w:t>
            </w:r>
            <w:r>
              <w:rPr>
                <w:sz w:val="20"/>
              </w:rPr>
              <w:t>Orçamento, Siscont</w:t>
            </w:r>
          </w:p>
        </w:tc>
      </w:tr>
      <w:tr>
        <w:trPr>
          <w:trHeight w:val="870" w:hRule="atLeast"/>
        </w:trPr>
        <w:tc>
          <w:tcPr>
            <w:tcW w:w="1906" w:type="dxa"/>
            <w:vMerge/>
            <w:tcBorders>
              <w:top w:val="nil"/>
              <w:bottom w:val="single" w:sz="4" w:space="0" w:color="000000"/>
              <w:right w:val="single" w:sz="4" w:space="0" w:color="000000"/>
            </w:tcBorders>
          </w:tcPr>
          <w:p>
            <w:pPr>
              <w:rPr>
                <w:sz w:val="2"/>
                <w:szCs w:val="2"/>
              </w:rPr>
            </w:pPr>
          </w:p>
        </w:tc>
        <w:tc>
          <w:tcPr>
            <w:tcW w:w="1487" w:type="dxa"/>
            <w:vMerge/>
            <w:tcBorders>
              <w:top w:val="nil"/>
              <w:left w:val="single" w:sz="4" w:space="0" w:color="000000"/>
              <w:bottom w:val="single" w:sz="4" w:space="0" w:color="000000"/>
              <w:right w:val="single" w:sz="4" w:space="0" w:color="000000"/>
            </w:tcBorders>
          </w:tcPr>
          <w:p>
            <w:pPr>
              <w:rPr>
                <w:sz w:val="2"/>
                <w:szCs w:val="2"/>
              </w:rPr>
            </w:pPr>
          </w:p>
        </w:tc>
        <w:tc>
          <w:tcPr>
            <w:tcW w:w="1994" w:type="dxa"/>
            <w:vMerge/>
            <w:tcBorders>
              <w:top w:val="nil"/>
              <w:left w:val="single" w:sz="4" w:space="0" w:color="000000"/>
              <w:bottom w:val="single" w:sz="4" w:space="0" w:color="000000"/>
              <w:right w:val="single" w:sz="4" w:space="0" w:color="000000"/>
            </w:tcBorders>
          </w:tcPr>
          <w:p>
            <w:pPr>
              <w:rPr>
                <w:sz w:val="2"/>
                <w:szCs w:val="2"/>
              </w:rPr>
            </w:pPr>
          </w:p>
        </w:tc>
        <w:tc>
          <w:tcPr>
            <w:tcW w:w="4257" w:type="dxa"/>
            <w:vMerge/>
            <w:tcBorders>
              <w:top w:val="nil"/>
              <w:left w:val="single" w:sz="4" w:space="0" w:color="000000"/>
              <w:bottom w:val="single" w:sz="4" w:space="0" w:color="000000"/>
              <w:right w:val="single" w:sz="4" w:space="0" w:color="000000"/>
            </w:tcBorders>
          </w:tcPr>
          <w:p>
            <w:pPr>
              <w:rPr>
                <w:sz w:val="2"/>
                <w:szCs w:val="2"/>
              </w:rPr>
            </w:pPr>
          </w:p>
        </w:tc>
        <w:tc>
          <w:tcPr>
            <w:tcW w:w="3252"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519"/>
              <w:rPr>
                <w:sz w:val="20"/>
              </w:rPr>
            </w:pPr>
            <w:r>
              <w:rPr>
                <w:sz w:val="20"/>
              </w:rPr>
              <w:t>total de profissionais ativos</w:t>
            </w:r>
          </w:p>
        </w:tc>
        <w:tc>
          <w:tcPr>
            <w:tcW w:w="1281" w:type="dxa"/>
            <w:vMerge/>
            <w:tcBorders>
              <w:top w:val="nil"/>
              <w:left w:val="single" w:sz="4" w:space="0" w:color="000000"/>
              <w:bottom w:val="single" w:sz="4" w:space="0" w:color="000000"/>
              <w:right w:val="single" w:sz="4" w:space="0" w:color="000000"/>
            </w:tcBorders>
          </w:tcPr>
          <w:p>
            <w:pPr>
              <w:rPr>
                <w:sz w:val="2"/>
                <w:szCs w:val="2"/>
              </w:rPr>
            </w:pPr>
          </w:p>
        </w:tc>
        <w:tc>
          <w:tcPr>
            <w:tcW w:w="1418"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39"/>
          <w:footerReference w:type="default" r:id="rId40"/>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8"/>
        <w:gridCol w:w="1512"/>
        <w:gridCol w:w="1691"/>
        <w:gridCol w:w="3939"/>
        <w:gridCol w:w="3478"/>
        <w:gridCol w:w="667"/>
        <w:gridCol w:w="1302"/>
        <w:gridCol w:w="1678"/>
      </w:tblGrid>
      <w:tr>
        <w:trPr>
          <w:trHeight w:val="1574" w:hRule="atLeast"/>
        </w:trPr>
        <w:tc>
          <w:tcPr>
            <w:tcW w:w="1328"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81"/>
              <w:rPr>
                <w:b/>
                <w:sz w:val="20"/>
              </w:rPr>
            </w:pPr>
            <w:r>
              <w:rPr>
                <w:b/>
                <w:color w:val="FFFFFF"/>
                <w:sz w:val="20"/>
              </w:rPr>
              <w:t>Perspectiva</w:t>
            </w:r>
          </w:p>
        </w:tc>
        <w:tc>
          <w:tcPr>
            <w:tcW w:w="151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99" w:firstLine="103"/>
              <w:rPr>
                <w:b/>
                <w:sz w:val="20"/>
              </w:rPr>
            </w:pPr>
            <w:r>
              <w:rPr>
                <w:b/>
                <w:color w:val="FFFFFF"/>
                <w:sz w:val="20"/>
              </w:rPr>
              <w:t>Objetivo </w:t>
            </w:r>
            <w:r>
              <w:rPr>
                <w:b/>
                <w:color w:val="FFFFFF"/>
                <w:w w:val="95"/>
                <w:sz w:val="20"/>
              </w:rPr>
              <w:t>Estratégico</w:t>
            </w:r>
          </w:p>
        </w:tc>
        <w:tc>
          <w:tcPr>
            <w:tcW w:w="1691"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455"/>
              <w:rPr>
                <w:b/>
                <w:sz w:val="20"/>
              </w:rPr>
            </w:pPr>
            <w:r>
              <w:rPr>
                <w:b/>
                <w:color w:val="FFFFFF"/>
                <w:sz w:val="20"/>
              </w:rPr>
              <w:t>Indicador</w:t>
            </w:r>
          </w:p>
        </w:tc>
        <w:tc>
          <w:tcPr>
            <w:tcW w:w="393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549" w:right="1539"/>
              <w:jc w:val="center"/>
              <w:rPr>
                <w:b/>
                <w:sz w:val="20"/>
              </w:rPr>
            </w:pPr>
            <w:r>
              <w:rPr>
                <w:b/>
                <w:color w:val="FFFFFF"/>
                <w:sz w:val="20"/>
              </w:rPr>
              <w:t>Descrição</w:t>
            </w:r>
          </w:p>
        </w:tc>
        <w:tc>
          <w:tcPr>
            <w:tcW w:w="4145"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280"/>
              <w:rPr>
                <w:b/>
                <w:sz w:val="20"/>
              </w:rPr>
            </w:pPr>
            <w:r>
              <w:rPr>
                <w:b/>
                <w:color w:val="FFFFFF"/>
                <w:sz w:val="20"/>
              </w:rPr>
              <w:t>Fórmula de Cálculo</w:t>
            </w:r>
          </w:p>
        </w:tc>
        <w:tc>
          <w:tcPr>
            <w:tcW w:w="130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71" w:right="125" w:firstLine="28"/>
              <w:rPr>
                <w:b/>
                <w:sz w:val="20"/>
              </w:rPr>
            </w:pPr>
            <w:r>
              <w:rPr>
                <w:b/>
                <w:color w:val="FFFFFF"/>
                <w:sz w:val="20"/>
              </w:rPr>
              <w:t>Frequência de Medição</w:t>
            </w:r>
          </w:p>
        </w:tc>
        <w:tc>
          <w:tcPr>
            <w:tcW w:w="1678"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453" w:right="404" w:firstLine="21"/>
              <w:rPr>
                <w:b/>
                <w:sz w:val="20"/>
              </w:rPr>
            </w:pPr>
            <w:r>
              <w:rPr>
                <w:b/>
                <w:color w:val="FFFFFF"/>
                <w:sz w:val="20"/>
              </w:rPr>
              <w:t>Fonte do Indicador</w:t>
            </w:r>
          </w:p>
        </w:tc>
      </w:tr>
      <w:tr>
        <w:trPr>
          <w:trHeight w:val="896" w:hRule="atLeast"/>
        </w:trPr>
        <w:tc>
          <w:tcPr>
            <w:tcW w:w="1328"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6"/>
              </w:rPr>
            </w:pPr>
          </w:p>
          <w:p>
            <w:pPr>
              <w:pStyle w:val="TableParagraph"/>
              <w:ind w:left="69"/>
              <w:rPr>
                <w:sz w:val="20"/>
              </w:rPr>
            </w:pPr>
            <w:r>
              <w:rPr>
                <w:sz w:val="20"/>
              </w:rPr>
              <w:t>Alavancadores</w:t>
            </w:r>
          </w:p>
        </w:tc>
        <w:tc>
          <w:tcPr>
            <w:tcW w:w="1512"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6"/>
              <w:rPr>
                <w:rFonts w:ascii="Calibri Light"/>
                <w:b w:val="0"/>
                <w:sz w:val="16"/>
              </w:rPr>
            </w:pPr>
          </w:p>
          <w:p>
            <w:pPr>
              <w:pStyle w:val="TableParagraph"/>
              <w:ind w:left="85" w:right="68" w:hanging="1"/>
              <w:jc w:val="center"/>
              <w:rPr>
                <w:sz w:val="20"/>
              </w:rPr>
            </w:pPr>
            <w:r>
              <w:rPr>
                <w:sz w:val="20"/>
              </w:rPr>
              <w:t>Assegurar a </w:t>
            </w:r>
            <w:r>
              <w:rPr>
                <w:w w:val="95"/>
                <w:sz w:val="20"/>
              </w:rPr>
              <w:t>sustentabilidade </w:t>
            </w:r>
            <w:r>
              <w:rPr>
                <w:sz w:val="20"/>
              </w:rPr>
              <w:t>financeira</w:t>
            </w:r>
          </w:p>
        </w:tc>
        <w:tc>
          <w:tcPr>
            <w:tcW w:w="1691"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95" w:right="77"/>
              <w:jc w:val="center"/>
              <w:rPr>
                <w:b/>
                <w:sz w:val="20"/>
              </w:rPr>
            </w:pPr>
            <w:r>
              <w:rPr>
                <w:sz w:val="20"/>
              </w:rPr>
              <w:t>Relação receita/custo total de pessoal (%) </w:t>
            </w:r>
            <w:r>
              <w:rPr>
                <w:b/>
                <w:sz w:val="20"/>
              </w:rPr>
              <w:t>(CAU/UF)</w:t>
            </w:r>
          </w:p>
        </w:tc>
        <w:tc>
          <w:tcPr>
            <w:tcW w:w="3939" w:type="dxa"/>
            <w:vMerge w:val="restart"/>
            <w:tcBorders>
              <w:left w:val="single" w:sz="4" w:space="0" w:color="000000"/>
              <w:bottom w:val="single" w:sz="4" w:space="0" w:color="000000"/>
              <w:right w:val="single" w:sz="4" w:space="0" w:color="000000"/>
            </w:tcBorders>
          </w:tcPr>
          <w:p>
            <w:pPr>
              <w:pStyle w:val="TableParagraph"/>
              <w:spacing w:before="1"/>
              <w:rPr>
                <w:rFonts w:ascii="Calibri Light"/>
                <w:b w:val="0"/>
                <w:sz w:val="20"/>
              </w:rPr>
            </w:pPr>
          </w:p>
          <w:p>
            <w:pPr>
              <w:pStyle w:val="TableParagraph"/>
              <w:ind w:left="75" w:right="57"/>
              <w:jc w:val="both"/>
              <w:rPr>
                <w:sz w:val="20"/>
              </w:rPr>
            </w:pPr>
            <w:r>
              <w:rPr>
                <w:sz w:val="20"/>
              </w:rPr>
              <w:t>Para que haja orçamento suficiente para os investimentos de crescimento, o custo total</w:t>
            </w:r>
            <w:r>
              <w:rPr>
                <w:spacing w:val="-24"/>
                <w:sz w:val="20"/>
              </w:rPr>
              <w:t> </w:t>
            </w:r>
            <w:r>
              <w:rPr>
                <w:sz w:val="20"/>
              </w:rPr>
              <w:t>de pessoal deve ser limitado para não ultrapassar um determinado percentual da receita corrente.</w:t>
            </w:r>
          </w:p>
        </w:tc>
        <w:tc>
          <w:tcPr>
            <w:tcW w:w="3478" w:type="dxa"/>
            <w:tcBorders>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811" w:val="left" w:leader="none"/>
                <w:tab w:pos="3398" w:val="left" w:leader="none"/>
              </w:tabs>
              <w:ind w:right="61"/>
              <w:jc w:val="center"/>
              <w:rPr>
                <w:sz w:val="20"/>
              </w:rPr>
            </w:pPr>
            <w:r>
              <w:rPr>
                <w:w w:val="99"/>
                <w:sz w:val="20"/>
                <w:u w:val="single"/>
              </w:rPr>
              <w:t> </w:t>
            </w:r>
            <w:r>
              <w:rPr>
                <w:sz w:val="20"/>
                <w:u w:val="single"/>
              </w:rPr>
              <w:tab/>
              <w:t>custo total de</w:t>
            </w:r>
            <w:r>
              <w:rPr>
                <w:spacing w:val="-6"/>
                <w:sz w:val="20"/>
                <w:u w:val="single"/>
              </w:rPr>
              <w:t> </w:t>
            </w:r>
            <w:r>
              <w:rPr>
                <w:sz w:val="20"/>
                <w:u w:val="single"/>
              </w:rPr>
              <w:t>pessoal</w:t>
              <w:tab/>
            </w:r>
          </w:p>
        </w:tc>
        <w:tc>
          <w:tcPr>
            <w:tcW w:w="667"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85"/>
              <w:rPr>
                <w:sz w:val="20"/>
              </w:rPr>
            </w:pPr>
            <w:r>
              <w:rPr>
                <w:sz w:val="20"/>
              </w:rPr>
              <w:t>x 100</w:t>
            </w:r>
          </w:p>
        </w:tc>
        <w:tc>
          <w:tcPr>
            <w:tcW w:w="1302"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53"/>
              <w:rPr>
                <w:sz w:val="20"/>
              </w:rPr>
            </w:pPr>
            <w:r>
              <w:rPr>
                <w:sz w:val="20"/>
              </w:rPr>
              <w:t>Semestral</w:t>
            </w:r>
          </w:p>
        </w:tc>
        <w:tc>
          <w:tcPr>
            <w:tcW w:w="1678" w:type="dxa"/>
            <w:vMerge w:val="restart"/>
            <w:tcBorders>
              <w:left w:val="single" w:sz="4" w:space="0" w:color="000000"/>
              <w:bottom w:val="single" w:sz="4" w:space="0" w:color="000000"/>
            </w:tcBorders>
          </w:tcPr>
          <w:p>
            <w:pPr>
              <w:pStyle w:val="TableParagraph"/>
              <w:rPr>
                <w:rFonts w:ascii="Calibri Light"/>
                <w:b w:val="0"/>
                <w:sz w:val="20"/>
              </w:rPr>
            </w:pPr>
          </w:p>
          <w:p>
            <w:pPr>
              <w:pStyle w:val="TableParagraph"/>
              <w:spacing w:before="124"/>
              <w:ind w:left="203" w:right="182"/>
              <w:jc w:val="center"/>
              <w:rPr>
                <w:sz w:val="20"/>
              </w:rPr>
            </w:pPr>
            <w:r>
              <w:rPr>
                <w:sz w:val="20"/>
              </w:rPr>
              <w:t>SICCAU,</w:t>
            </w:r>
          </w:p>
          <w:p>
            <w:pPr>
              <w:pStyle w:val="TableParagraph"/>
              <w:ind w:left="206" w:right="182"/>
              <w:jc w:val="center"/>
              <w:rPr>
                <w:sz w:val="20"/>
              </w:rPr>
            </w:pPr>
            <w:r>
              <w:rPr>
                <w:sz w:val="20"/>
              </w:rPr>
              <w:t>Planejamento </w:t>
            </w:r>
            <w:r>
              <w:rPr>
                <w:spacing w:val="-12"/>
                <w:sz w:val="20"/>
              </w:rPr>
              <w:t>e </w:t>
            </w:r>
            <w:r>
              <w:rPr>
                <w:sz w:val="20"/>
              </w:rPr>
              <w:t>Orçamento, Siscont</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tcBorders>
              <w:top w:val="nil"/>
              <w:left w:val="single" w:sz="4" w:space="0" w:color="000000"/>
              <w:bottom w:val="single" w:sz="4" w:space="0" w:color="000000"/>
              <w:right w:val="single" w:sz="4" w:space="0" w:color="000000"/>
            </w:tcBorders>
          </w:tcPr>
          <w:p>
            <w:pPr>
              <w:rPr>
                <w:sz w:val="2"/>
                <w:szCs w:val="2"/>
              </w:rPr>
            </w:pPr>
          </w:p>
        </w:tc>
        <w:tc>
          <w:tcPr>
            <w:tcW w:w="3939" w:type="dxa"/>
            <w:vMerge/>
            <w:tcBorders>
              <w:top w:val="nil"/>
              <w:left w:val="single" w:sz="4" w:space="0" w:color="000000"/>
              <w:bottom w:val="single" w:sz="4" w:space="0" w:color="000000"/>
              <w:right w:val="single" w:sz="4" w:space="0" w:color="000000"/>
            </w:tcBorders>
          </w:tcPr>
          <w:p>
            <w:pPr>
              <w:rPr>
                <w:sz w:val="2"/>
                <w:szCs w:val="2"/>
              </w:rPr>
            </w:pPr>
          </w:p>
        </w:tc>
        <w:tc>
          <w:tcPr>
            <w:tcW w:w="3478" w:type="dxa"/>
            <w:tcBorders>
              <w:top w:val="nil"/>
              <w:left w:val="single" w:sz="4" w:space="0" w:color="000000"/>
              <w:bottom w:val="single" w:sz="4" w:space="0" w:color="000000"/>
              <w:right w:val="nil"/>
            </w:tcBorders>
          </w:tcPr>
          <w:p>
            <w:pPr>
              <w:pStyle w:val="TableParagraph"/>
              <w:spacing w:line="200" w:lineRule="exact"/>
              <w:ind w:right="71"/>
              <w:jc w:val="center"/>
              <w:rPr>
                <w:sz w:val="20"/>
              </w:rPr>
            </w:pPr>
            <w:r>
              <w:rPr>
                <w:sz w:val="20"/>
              </w:rPr>
              <w:t>receita corrente</w:t>
            </w:r>
          </w:p>
        </w:tc>
        <w:tc>
          <w:tcPr>
            <w:tcW w:w="667" w:type="dxa"/>
            <w:vMerge/>
            <w:tcBorders>
              <w:top w:val="nil"/>
              <w:left w:val="nil"/>
              <w:bottom w:val="single" w:sz="4" w:space="0" w:color="000000"/>
              <w:right w:val="single" w:sz="4" w:space="0" w:color="000000"/>
            </w:tcBorders>
          </w:tcPr>
          <w:p>
            <w:pPr>
              <w:rPr>
                <w:sz w:val="2"/>
                <w:szCs w:val="2"/>
              </w:rPr>
            </w:pPr>
          </w:p>
        </w:tc>
        <w:tc>
          <w:tcPr>
            <w:tcW w:w="1302" w:type="dxa"/>
            <w:vMerge/>
            <w:tcBorders>
              <w:top w:val="nil"/>
              <w:left w:val="single" w:sz="4" w:space="0" w:color="000000"/>
              <w:bottom w:val="single" w:sz="4" w:space="0" w:color="000000"/>
              <w:right w:val="single" w:sz="4" w:space="0" w:color="000000"/>
            </w:tcBorders>
          </w:tcPr>
          <w:p>
            <w:pPr>
              <w:rPr>
                <w:sz w:val="2"/>
                <w:szCs w:val="2"/>
              </w:rPr>
            </w:pPr>
          </w:p>
        </w:tc>
        <w:tc>
          <w:tcPr>
            <w:tcW w:w="1678" w:type="dxa"/>
            <w:vMerge/>
            <w:tcBorders>
              <w:top w:val="nil"/>
              <w:left w:val="single" w:sz="4" w:space="0" w:color="000000"/>
              <w:bottom w:val="single" w:sz="4" w:space="0" w:color="000000"/>
            </w:tcBorders>
          </w:tcPr>
          <w:p>
            <w:pPr>
              <w:rPr>
                <w:sz w:val="2"/>
                <w:szCs w:val="2"/>
              </w:rPr>
            </w:pPr>
          </w:p>
        </w:tc>
      </w:tr>
      <w:tr>
        <w:trPr>
          <w:trHeight w:val="868"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ind w:left="141" w:right="123"/>
              <w:jc w:val="center"/>
              <w:rPr>
                <w:b/>
                <w:sz w:val="20"/>
              </w:rPr>
            </w:pPr>
            <w:r>
              <w:rPr>
                <w:sz w:val="20"/>
              </w:rPr>
              <w:t>Índice de liquidez corrente </w:t>
            </w:r>
            <w:r>
              <w:rPr>
                <w:b/>
                <w:sz w:val="20"/>
              </w:rPr>
              <w:t>(CAU/UF)</w:t>
            </w:r>
          </w:p>
        </w:tc>
        <w:tc>
          <w:tcPr>
            <w:tcW w:w="3939"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ind w:left="75" w:right="58"/>
              <w:jc w:val="both"/>
              <w:rPr>
                <w:sz w:val="20"/>
              </w:rPr>
            </w:pPr>
            <w:r>
              <w:rPr>
                <w:sz w:val="20"/>
              </w:rPr>
              <w:t>Acompanha a liquidez corrente comparando a situação do ativo circulante contra o passivo circulante.</w:t>
            </w:r>
          </w:p>
        </w:tc>
        <w:tc>
          <w:tcPr>
            <w:tcW w:w="4145"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29"/>
              </w:rPr>
            </w:pPr>
          </w:p>
          <w:p>
            <w:pPr>
              <w:pStyle w:val="TableParagraph"/>
              <w:spacing w:line="242" w:lineRule="exact"/>
              <w:ind w:left="1428" w:right="1414"/>
              <w:jc w:val="center"/>
              <w:rPr>
                <w:sz w:val="20"/>
              </w:rPr>
            </w:pPr>
            <w:r>
              <w:rPr>
                <w:sz w:val="20"/>
              </w:rPr>
              <w:t>ativo circulante</w:t>
            </w:r>
          </w:p>
        </w:tc>
        <w:tc>
          <w:tcPr>
            <w:tcW w:w="130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255"/>
              <w:rPr>
                <w:sz w:val="20"/>
              </w:rPr>
            </w:pPr>
            <w:r>
              <w:rPr>
                <w:sz w:val="20"/>
              </w:rPr>
              <w:t>Semestral</w:t>
            </w:r>
          </w:p>
        </w:tc>
        <w:tc>
          <w:tcPr>
            <w:tcW w:w="167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23"/>
              <w:ind w:left="115" w:right="68" w:firstLine="319"/>
              <w:rPr>
                <w:sz w:val="20"/>
              </w:rPr>
            </w:pPr>
            <w:r>
              <w:rPr>
                <w:sz w:val="20"/>
              </w:rPr>
              <w:t>Relatórios contábeis, Siscont</w:t>
            </w:r>
          </w:p>
        </w:tc>
      </w:tr>
      <w:tr>
        <w:trPr>
          <w:trHeight w:val="870"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tcBorders>
              <w:top w:val="nil"/>
              <w:left w:val="single" w:sz="4" w:space="0" w:color="000000"/>
              <w:bottom w:val="single" w:sz="4" w:space="0" w:color="000000"/>
              <w:right w:val="single" w:sz="4" w:space="0" w:color="000000"/>
            </w:tcBorders>
          </w:tcPr>
          <w:p>
            <w:pPr>
              <w:rPr>
                <w:sz w:val="2"/>
                <w:szCs w:val="2"/>
              </w:rPr>
            </w:pPr>
          </w:p>
        </w:tc>
        <w:tc>
          <w:tcPr>
            <w:tcW w:w="3939" w:type="dxa"/>
            <w:vMerge/>
            <w:tcBorders>
              <w:top w:val="nil"/>
              <w:left w:val="single" w:sz="4" w:space="0" w:color="000000"/>
              <w:bottom w:val="single" w:sz="4" w:space="0" w:color="000000"/>
              <w:right w:val="single" w:sz="4" w:space="0" w:color="000000"/>
            </w:tcBorders>
          </w:tcPr>
          <w:p>
            <w:pPr>
              <w:rPr>
                <w:sz w:val="2"/>
                <w:szCs w:val="2"/>
              </w:rPr>
            </w:pPr>
          </w:p>
        </w:tc>
        <w:tc>
          <w:tcPr>
            <w:tcW w:w="414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352"/>
              <w:rPr>
                <w:sz w:val="20"/>
              </w:rPr>
            </w:pPr>
            <w:r>
              <w:rPr>
                <w:sz w:val="20"/>
              </w:rPr>
              <w:t>passivo circulante</w:t>
            </w:r>
          </w:p>
        </w:tc>
        <w:tc>
          <w:tcPr>
            <w:tcW w:w="1302" w:type="dxa"/>
            <w:vMerge/>
            <w:tcBorders>
              <w:top w:val="nil"/>
              <w:left w:val="single" w:sz="4" w:space="0" w:color="000000"/>
              <w:bottom w:val="single" w:sz="4" w:space="0" w:color="000000"/>
              <w:right w:val="single" w:sz="4" w:space="0" w:color="000000"/>
            </w:tcBorders>
          </w:tcPr>
          <w:p>
            <w:pPr>
              <w:rPr>
                <w:sz w:val="2"/>
                <w:szCs w:val="2"/>
              </w:rPr>
            </w:pPr>
          </w:p>
        </w:tc>
        <w:tc>
          <w:tcPr>
            <w:tcW w:w="1678" w:type="dxa"/>
            <w:vMerge/>
            <w:tcBorders>
              <w:top w:val="nil"/>
              <w:left w:val="single" w:sz="4" w:space="0" w:color="000000"/>
              <w:bottom w:val="single" w:sz="4" w:space="0" w:color="000000"/>
            </w:tcBorders>
          </w:tcPr>
          <w:p>
            <w:pPr>
              <w:rPr>
                <w:sz w:val="2"/>
                <w:szCs w:val="2"/>
              </w:rPr>
            </w:pPr>
          </w:p>
        </w:tc>
      </w:tr>
      <w:tr>
        <w:trPr>
          <w:trHeight w:val="896"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5"/>
              <w:ind w:left="184" w:right="167" w:firstLine="3"/>
              <w:jc w:val="center"/>
              <w:rPr>
                <w:b/>
                <w:sz w:val="20"/>
              </w:rPr>
            </w:pPr>
            <w:r>
              <w:rPr>
                <w:sz w:val="20"/>
              </w:rPr>
              <w:t>Índice de inadimplência pessoa física (%) </w:t>
            </w:r>
            <w:r>
              <w:rPr>
                <w:b/>
                <w:sz w:val="20"/>
              </w:rPr>
              <w:t>(CAU/UF)</w:t>
            </w:r>
          </w:p>
        </w:tc>
        <w:tc>
          <w:tcPr>
            <w:tcW w:w="3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rPr>
                <w:rFonts w:ascii="Calibri Light"/>
                <w:b w:val="0"/>
                <w:sz w:val="20"/>
              </w:rPr>
            </w:pPr>
          </w:p>
          <w:p>
            <w:pPr>
              <w:pStyle w:val="TableParagraph"/>
              <w:ind w:left="75" w:right="55"/>
              <w:jc w:val="both"/>
              <w:rPr>
                <w:sz w:val="20"/>
              </w:rPr>
            </w:pPr>
            <w:r>
              <w:rPr>
                <w:sz w:val="20"/>
              </w:rPr>
              <w:t>Para sustentabilidade financeira, é importante acompanhar o nível de inadimplência, comparando a quantidade de profissionais inadimplentes contra o total de profissionais ativos.</w:t>
            </w:r>
          </w:p>
        </w:tc>
        <w:tc>
          <w:tcPr>
            <w:tcW w:w="3478"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247" w:val="left" w:leader="none"/>
                <w:tab w:pos="3398" w:val="left" w:leader="none"/>
              </w:tabs>
              <w:spacing w:before="1"/>
              <w:ind w:right="62"/>
              <w:jc w:val="center"/>
              <w:rPr>
                <w:sz w:val="20"/>
              </w:rPr>
            </w:pPr>
            <w:r>
              <w:rPr>
                <w:w w:val="99"/>
                <w:sz w:val="20"/>
                <w:u w:val="single"/>
              </w:rPr>
              <w:t> </w:t>
            </w:r>
            <w:r>
              <w:rPr>
                <w:sz w:val="20"/>
                <w:u w:val="single"/>
              </w:rPr>
              <w:tab/>
              <w:t>total de profissionais</w:t>
            </w:r>
            <w:r>
              <w:rPr>
                <w:spacing w:val="-10"/>
                <w:sz w:val="20"/>
                <w:u w:val="single"/>
              </w:rPr>
              <w:t> </w:t>
            </w:r>
            <w:r>
              <w:rPr>
                <w:sz w:val="20"/>
                <w:u w:val="single"/>
              </w:rPr>
              <w:t>inadimplentes</w:t>
              <w:tab/>
            </w:r>
          </w:p>
        </w:tc>
        <w:tc>
          <w:tcPr>
            <w:tcW w:w="667"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85"/>
              <w:rPr>
                <w:sz w:val="20"/>
              </w:rPr>
            </w:pPr>
            <w:r>
              <w:rPr>
                <w:sz w:val="20"/>
              </w:rPr>
              <w:t>x 100</w:t>
            </w:r>
          </w:p>
        </w:tc>
        <w:tc>
          <w:tcPr>
            <w:tcW w:w="130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358"/>
              <w:rPr>
                <w:sz w:val="20"/>
              </w:rPr>
            </w:pPr>
            <w:r>
              <w:rPr>
                <w:sz w:val="20"/>
              </w:rPr>
              <w:t>Mensal</w:t>
            </w:r>
          </w:p>
        </w:tc>
        <w:tc>
          <w:tcPr>
            <w:tcW w:w="167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3"/>
              <w:rPr>
                <w:rFonts w:ascii="Calibri Light"/>
                <w:b w:val="0"/>
                <w:sz w:val="20"/>
              </w:rPr>
            </w:pPr>
          </w:p>
          <w:p>
            <w:pPr>
              <w:pStyle w:val="TableParagraph"/>
              <w:ind w:left="203" w:right="182"/>
              <w:jc w:val="center"/>
              <w:rPr>
                <w:sz w:val="20"/>
              </w:rPr>
            </w:pPr>
            <w:r>
              <w:rPr>
                <w:sz w:val="20"/>
              </w:rPr>
              <w:t>SICCAU/IGEO,</w:t>
            </w:r>
          </w:p>
          <w:p>
            <w:pPr>
              <w:pStyle w:val="TableParagraph"/>
              <w:spacing w:before="1"/>
              <w:ind w:left="206" w:right="182"/>
              <w:jc w:val="center"/>
              <w:rPr>
                <w:sz w:val="20"/>
              </w:rPr>
            </w:pPr>
            <w:r>
              <w:rPr>
                <w:sz w:val="20"/>
              </w:rPr>
              <w:t>Planejamento e Orçamento</w:t>
            </w:r>
          </w:p>
        </w:tc>
      </w:tr>
      <w:tr>
        <w:trPr>
          <w:trHeight w:val="843"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tcBorders>
              <w:top w:val="nil"/>
              <w:left w:val="single" w:sz="4" w:space="0" w:color="000000"/>
              <w:bottom w:val="single" w:sz="4" w:space="0" w:color="000000"/>
              <w:right w:val="single" w:sz="4" w:space="0" w:color="000000"/>
            </w:tcBorders>
          </w:tcPr>
          <w:p>
            <w:pPr>
              <w:rPr>
                <w:sz w:val="2"/>
                <w:szCs w:val="2"/>
              </w:rPr>
            </w:pPr>
          </w:p>
        </w:tc>
        <w:tc>
          <w:tcPr>
            <w:tcW w:w="3939" w:type="dxa"/>
            <w:vMerge/>
            <w:tcBorders>
              <w:top w:val="nil"/>
              <w:left w:val="single" w:sz="4" w:space="0" w:color="000000"/>
              <w:bottom w:val="single" w:sz="4" w:space="0" w:color="000000"/>
              <w:right w:val="single" w:sz="4" w:space="0" w:color="000000"/>
            </w:tcBorders>
          </w:tcPr>
          <w:p>
            <w:pPr>
              <w:rPr>
                <w:sz w:val="2"/>
                <w:szCs w:val="2"/>
              </w:rPr>
            </w:pPr>
          </w:p>
        </w:tc>
        <w:tc>
          <w:tcPr>
            <w:tcW w:w="3478" w:type="dxa"/>
            <w:tcBorders>
              <w:top w:val="nil"/>
              <w:left w:val="single" w:sz="4" w:space="0" w:color="000000"/>
              <w:bottom w:val="single" w:sz="4" w:space="0" w:color="000000"/>
              <w:right w:val="nil"/>
            </w:tcBorders>
          </w:tcPr>
          <w:p>
            <w:pPr>
              <w:pStyle w:val="TableParagraph"/>
              <w:spacing w:line="199" w:lineRule="exact"/>
              <w:ind w:right="67"/>
              <w:jc w:val="center"/>
              <w:rPr>
                <w:sz w:val="20"/>
              </w:rPr>
            </w:pPr>
            <w:r>
              <w:rPr>
                <w:sz w:val="20"/>
              </w:rPr>
              <w:t>total de profissionais ativos</w:t>
            </w:r>
          </w:p>
        </w:tc>
        <w:tc>
          <w:tcPr>
            <w:tcW w:w="667" w:type="dxa"/>
            <w:vMerge/>
            <w:tcBorders>
              <w:top w:val="nil"/>
              <w:left w:val="nil"/>
              <w:bottom w:val="single" w:sz="4" w:space="0" w:color="000000"/>
              <w:right w:val="single" w:sz="4" w:space="0" w:color="000000"/>
            </w:tcBorders>
          </w:tcPr>
          <w:p>
            <w:pPr>
              <w:rPr>
                <w:sz w:val="2"/>
                <w:szCs w:val="2"/>
              </w:rPr>
            </w:pPr>
          </w:p>
        </w:tc>
        <w:tc>
          <w:tcPr>
            <w:tcW w:w="1302" w:type="dxa"/>
            <w:vMerge/>
            <w:tcBorders>
              <w:top w:val="nil"/>
              <w:left w:val="single" w:sz="4" w:space="0" w:color="000000"/>
              <w:bottom w:val="single" w:sz="4" w:space="0" w:color="000000"/>
              <w:right w:val="single" w:sz="4" w:space="0" w:color="000000"/>
            </w:tcBorders>
          </w:tcPr>
          <w:p>
            <w:pPr>
              <w:rPr>
                <w:sz w:val="2"/>
                <w:szCs w:val="2"/>
              </w:rPr>
            </w:pPr>
          </w:p>
        </w:tc>
        <w:tc>
          <w:tcPr>
            <w:tcW w:w="1678" w:type="dxa"/>
            <w:vMerge/>
            <w:tcBorders>
              <w:top w:val="nil"/>
              <w:left w:val="single" w:sz="4" w:space="0" w:color="000000"/>
              <w:bottom w:val="single" w:sz="4" w:space="0" w:color="000000"/>
            </w:tcBorders>
          </w:tcPr>
          <w:p>
            <w:pPr>
              <w:rPr>
                <w:sz w:val="2"/>
                <w:szCs w:val="2"/>
              </w:rPr>
            </w:pPr>
          </w:p>
        </w:tc>
      </w:tr>
      <w:tr>
        <w:trPr>
          <w:trHeight w:val="897"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90" w:right="72" w:firstLine="1"/>
              <w:jc w:val="center"/>
              <w:rPr>
                <w:b/>
                <w:sz w:val="20"/>
              </w:rPr>
            </w:pPr>
            <w:r>
              <w:rPr>
                <w:sz w:val="20"/>
              </w:rPr>
              <w:t>Índice de inadimplência pessoa jurídica (%) </w:t>
            </w:r>
            <w:r>
              <w:rPr>
                <w:b/>
                <w:sz w:val="20"/>
              </w:rPr>
              <w:t>(CAU/UF)</w:t>
            </w:r>
          </w:p>
        </w:tc>
        <w:tc>
          <w:tcPr>
            <w:tcW w:w="393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rFonts w:ascii="Calibri Light"/>
                <w:b w:val="0"/>
                <w:sz w:val="20"/>
              </w:rPr>
            </w:pPr>
          </w:p>
          <w:p>
            <w:pPr>
              <w:pStyle w:val="TableParagraph"/>
              <w:spacing w:before="1"/>
              <w:ind w:left="75" w:right="60"/>
              <w:jc w:val="both"/>
              <w:rPr>
                <w:sz w:val="20"/>
              </w:rPr>
            </w:pPr>
            <w:r>
              <w:rPr>
                <w:sz w:val="20"/>
              </w:rPr>
              <w:t>Para sustentabilidade financeira, é importante acompanhar o nível de inadimplência, comparando a quantidade de empresas inadimplentes contra o total de empresas ativas.</w:t>
            </w:r>
          </w:p>
        </w:tc>
        <w:tc>
          <w:tcPr>
            <w:tcW w:w="3478"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362" w:val="left" w:leader="none"/>
                <w:tab w:pos="3398" w:val="left" w:leader="none"/>
              </w:tabs>
              <w:ind w:right="62"/>
              <w:jc w:val="center"/>
              <w:rPr>
                <w:sz w:val="20"/>
              </w:rPr>
            </w:pPr>
            <w:r>
              <w:rPr>
                <w:w w:val="99"/>
                <w:sz w:val="20"/>
                <w:u w:val="single"/>
              </w:rPr>
              <w:t> </w:t>
            </w:r>
            <w:r>
              <w:rPr>
                <w:sz w:val="20"/>
                <w:u w:val="single"/>
              </w:rPr>
              <w:tab/>
              <w:t>total de empresas</w:t>
            </w:r>
            <w:r>
              <w:rPr>
                <w:spacing w:val="-7"/>
                <w:sz w:val="20"/>
                <w:u w:val="single"/>
              </w:rPr>
              <w:t> </w:t>
            </w:r>
            <w:r>
              <w:rPr>
                <w:sz w:val="20"/>
                <w:u w:val="single"/>
              </w:rPr>
              <w:t>inadimplentes</w:t>
              <w:tab/>
            </w:r>
          </w:p>
        </w:tc>
        <w:tc>
          <w:tcPr>
            <w:tcW w:w="667"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85"/>
              <w:rPr>
                <w:sz w:val="20"/>
              </w:rPr>
            </w:pPr>
            <w:r>
              <w:rPr>
                <w:sz w:val="20"/>
              </w:rPr>
              <w:t>x 100</w:t>
            </w:r>
          </w:p>
        </w:tc>
        <w:tc>
          <w:tcPr>
            <w:tcW w:w="130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358"/>
              <w:rPr>
                <w:sz w:val="20"/>
              </w:rPr>
            </w:pPr>
            <w:r>
              <w:rPr>
                <w:sz w:val="20"/>
              </w:rPr>
              <w:t>Mensal</w:t>
            </w:r>
          </w:p>
        </w:tc>
        <w:tc>
          <w:tcPr>
            <w:tcW w:w="1678"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spacing w:before="2"/>
              <w:rPr>
                <w:rFonts w:ascii="Calibri Light"/>
                <w:b w:val="0"/>
                <w:sz w:val="20"/>
              </w:rPr>
            </w:pPr>
          </w:p>
          <w:p>
            <w:pPr>
              <w:pStyle w:val="TableParagraph"/>
              <w:ind w:left="203" w:right="182"/>
              <w:jc w:val="center"/>
              <w:rPr>
                <w:sz w:val="20"/>
              </w:rPr>
            </w:pPr>
            <w:r>
              <w:rPr>
                <w:sz w:val="20"/>
              </w:rPr>
              <w:t>SICCAU/IGEO,</w:t>
            </w:r>
          </w:p>
          <w:p>
            <w:pPr>
              <w:pStyle w:val="TableParagraph"/>
              <w:spacing w:before="1"/>
              <w:ind w:left="206" w:right="182"/>
              <w:jc w:val="center"/>
              <w:rPr>
                <w:sz w:val="20"/>
              </w:rPr>
            </w:pPr>
            <w:r>
              <w:rPr>
                <w:sz w:val="20"/>
              </w:rPr>
              <w:t>Planejamento e Orçamento</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tcPr>
          <w:p>
            <w:pPr>
              <w:rPr>
                <w:sz w:val="2"/>
                <w:szCs w:val="2"/>
              </w:rPr>
            </w:pPr>
          </w:p>
        </w:tc>
        <w:tc>
          <w:tcPr>
            <w:tcW w:w="1691" w:type="dxa"/>
            <w:vMerge/>
            <w:tcBorders>
              <w:top w:val="nil"/>
              <w:left w:val="single" w:sz="4" w:space="0" w:color="000000"/>
              <w:bottom w:val="single" w:sz="4" w:space="0" w:color="000000"/>
              <w:right w:val="single" w:sz="4" w:space="0" w:color="000000"/>
            </w:tcBorders>
          </w:tcPr>
          <w:p>
            <w:pPr>
              <w:rPr>
                <w:sz w:val="2"/>
                <w:szCs w:val="2"/>
              </w:rPr>
            </w:pPr>
          </w:p>
        </w:tc>
        <w:tc>
          <w:tcPr>
            <w:tcW w:w="3939" w:type="dxa"/>
            <w:vMerge/>
            <w:tcBorders>
              <w:top w:val="nil"/>
              <w:left w:val="single" w:sz="4" w:space="0" w:color="000000"/>
              <w:bottom w:val="single" w:sz="4" w:space="0" w:color="000000"/>
              <w:right w:val="single" w:sz="4" w:space="0" w:color="000000"/>
            </w:tcBorders>
          </w:tcPr>
          <w:p>
            <w:pPr>
              <w:rPr>
                <w:sz w:val="2"/>
                <w:szCs w:val="2"/>
              </w:rPr>
            </w:pPr>
          </w:p>
        </w:tc>
        <w:tc>
          <w:tcPr>
            <w:tcW w:w="3478" w:type="dxa"/>
            <w:tcBorders>
              <w:top w:val="nil"/>
              <w:left w:val="single" w:sz="4" w:space="0" w:color="000000"/>
              <w:bottom w:val="single" w:sz="4" w:space="0" w:color="000000"/>
              <w:right w:val="nil"/>
            </w:tcBorders>
          </w:tcPr>
          <w:p>
            <w:pPr>
              <w:pStyle w:val="TableParagraph"/>
              <w:spacing w:line="200" w:lineRule="exact"/>
              <w:ind w:right="69"/>
              <w:jc w:val="center"/>
              <w:rPr>
                <w:sz w:val="20"/>
              </w:rPr>
            </w:pPr>
            <w:r>
              <w:rPr>
                <w:sz w:val="20"/>
              </w:rPr>
              <w:t>total de empresas ativas</w:t>
            </w:r>
          </w:p>
        </w:tc>
        <w:tc>
          <w:tcPr>
            <w:tcW w:w="667" w:type="dxa"/>
            <w:vMerge/>
            <w:tcBorders>
              <w:top w:val="nil"/>
              <w:left w:val="nil"/>
              <w:bottom w:val="single" w:sz="4" w:space="0" w:color="000000"/>
              <w:right w:val="single" w:sz="4" w:space="0" w:color="000000"/>
            </w:tcBorders>
          </w:tcPr>
          <w:p>
            <w:pPr>
              <w:rPr>
                <w:sz w:val="2"/>
                <w:szCs w:val="2"/>
              </w:rPr>
            </w:pPr>
          </w:p>
        </w:tc>
        <w:tc>
          <w:tcPr>
            <w:tcW w:w="1302" w:type="dxa"/>
            <w:vMerge/>
            <w:tcBorders>
              <w:top w:val="nil"/>
              <w:left w:val="single" w:sz="4" w:space="0" w:color="000000"/>
              <w:bottom w:val="single" w:sz="4" w:space="0" w:color="000000"/>
              <w:right w:val="single" w:sz="4" w:space="0" w:color="000000"/>
            </w:tcBorders>
          </w:tcPr>
          <w:p>
            <w:pPr>
              <w:rPr>
                <w:sz w:val="2"/>
                <w:szCs w:val="2"/>
              </w:rPr>
            </w:pPr>
          </w:p>
        </w:tc>
        <w:tc>
          <w:tcPr>
            <w:tcW w:w="1678"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41"/>
          <w:footerReference w:type="default" r:id="rId42"/>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28"/>
        <w:gridCol w:w="1369"/>
        <w:gridCol w:w="1557"/>
        <w:gridCol w:w="4256"/>
        <w:gridCol w:w="3468"/>
        <w:gridCol w:w="641"/>
        <w:gridCol w:w="1276"/>
        <w:gridCol w:w="1560"/>
      </w:tblGrid>
      <w:tr>
        <w:trPr>
          <w:trHeight w:val="1574" w:hRule="atLeast"/>
        </w:trPr>
        <w:tc>
          <w:tcPr>
            <w:tcW w:w="1328"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81"/>
              <w:rPr>
                <w:b/>
                <w:sz w:val="20"/>
              </w:rPr>
            </w:pPr>
            <w:r>
              <w:rPr>
                <w:b/>
                <w:color w:val="FFFFFF"/>
                <w:sz w:val="20"/>
              </w:rPr>
              <w:t>Perspectiva</w:t>
            </w:r>
          </w:p>
        </w:tc>
        <w:tc>
          <w:tcPr>
            <w:tcW w:w="136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227" w:firstLine="105"/>
              <w:rPr>
                <w:b/>
                <w:sz w:val="20"/>
              </w:rPr>
            </w:pPr>
            <w:r>
              <w:rPr>
                <w:b/>
                <w:color w:val="FFFFFF"/>
                <w:sz w:val="20"/>
              </w:rPr>
              <w:t>Objetivo </w:t>
            </w:r>
            <w:r>
              <w:rPr>
                <w:b/>
                <w:color w:val="FFFFFF"/>
                <w:w w:val="95"/>
                <w:sz w:val="20"/>
              </w:rPr>
              <w:t>Estratégico</w:t>
            </w:r>
          </w:p>
        </w:tc>
        <w:tc>
          <w:tcPr>
            <w:tcW w:w="1557"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389"/>
              <w:rPr>
                <w:b/>
                <w:sz w:val="20"/>
              </w:rPr>
            </w:pPr>
            <w:r>
              <w:rPr>
                <w:b/>
                <w:color w:val="FFFFFF"/>
                <w:sz w:val="20"/>
              </w:rPr>
              <w:t>Indicador</w:t>
            </w:r>
          </w:p>
        </w:tc>
        <w:tc>
          <w:tcPr>
            <w:tcW w:w="425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708" w:right="1696"/>
              <w:jc w:val="center"/>
              <w:rPr>
                <w:b/>
                <w:sz w:val="20"/>
              </w:rPr>
            </w:pPr>
            <w:r>
              <w:rPr>
                <w:b/>
                <w:color w:val="FFFFFF"/>
                <w:sz w:val="20"/>
              </w:rPr>
              <w:t>Descrição</w:t>
            </w:r>
          </w:p>
        </w:tc>
        <w:tc>
          <w:tcPr>
            <w:tcW w:w="4109"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263"/>
              <w:rPr>
                <w:b/>
                <w:sz w:val="20"/>
              </w:rPr>
            </w:pPr>
            <w:r>
              <w:rPr>
                <w:b/>
                <w:color w:val="FFFFFF"/>
                <w:sz w:val="20"/>
              </w:rPr>
              <w:t>Fórmula de Cálculo</w:t>
            </w:r>
          </w:p>
        </w:tc>
        <w:tc>
          <w:tcPr>
            <w:tcW w:w="127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60" w:right="110" w:firstLine="28"/>
              <w:rPr>
                <w:b/>
                <w:sz w:val="20"/>
              </w:rPr>
            </w:pPr>
            <w:r>
              <w:rPr>
                <w:b/>
                <w:color w:val="FFFFFF"/>
                <w:sz w:val="20"/>
              </w:rPr>
              <w:t>Frequência de Medição</w:t>
            </w:r>
          </w:p>
        </w:tc>
        <w:tc>
          <w:tcPr>
            <w:tcW w:w="1560"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96" w:right="343" w:firstLine="21"/>
              <w:rPr>
                <w:b/>
                <w:sz w:val="20"/>
              </w:rPr>
            </w:pPr>
            <w:r>
              <w:rPr>
                <w:b/>
                <w:color w:val="FFFFFF"/>
                <w:sz w:val="20"/>
              </w:rPr>
              <w:t>Fonte do Indicador</w:t>
            </w:r>
          </w:p>
        </w:tc>
      </w:tr>
      <w:tr>
        <w:trPr>
          <w:trHeight w:val="896" w:hRule="atLeast"/>
        </w:trPr>
        <w:tc>
          <w:tcPr>
            <w:tcW w:w="1328" w:type="dxa"/>
            <w:vMerge w:val="restart"/>
            <w:tcBorders>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4"/>
              <w:rPr>
                <w:rFonts w:ascii="Calibri Light"/>
                <w:b w:val="0"/>
                <w:sz w:val="24"/>
              </w:rPr>
            </w:pPr>
          </w:p>
          <w:p>
            <w:pPr>
              <w:pStyle w:val="TableParagraph"/>
              <w:spacing w:before="1"/>
              <w:ind w:left="69"/>
              <w:rPr>
                <w:sz w:val="20"/>
              </w:rPr>
            </w:pPr>
            <w:r>
              <w:rPr>
                <w:sz w:val="20"/>
              </w:rPr>
              <w:t>Alavancadores</w:t>
            </w:r>
          </w:p>
        </w:tc>
        <w:tc>
          <w:tcPr>
            <w:tcW w:w="1369"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rPr>
                <w:rFonts w:ascii="Calibri Light"/>
                <w:b w:val="0"/>
                <w:sz w:val="20"/>
              </w:rPr>
            </w:pPr>
          </w:p>
          <w:p>
            <w:pPr>
              <w:pStyle w:val="TableParagraph"/>
              <w:spacing w:before="177"/>
              <w:ind w:left="102" w:right="85" w:firstLine="1"/>
              <w:jc w:val="center"/>
              <w:rPr>
                <w:sz w:val="20"/>
              </w:rPr>
            </w:pPr>
            <w:r>
              <w:rPr>
                <w:sz w:val="20"/>
              </w:rPr>
              <w:t>Aprimorar e inovar os processos e as ações</w:t>
            </w:r>
          </w:p>
        </w:tc>
        <w:tc>
          <w:tcPr>
            <w:tcW w:w="1557"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101" w:right="84"/>
              <w:jc w:val="center"/>
              <w:rPr>
                <w:b/>
                <w:sz w:val="20"/>
              </w:rPr>
            </w:pPr>
            <w:r>
              <w:rPr>
                <w:sz w:val="20"/>
              </w:rPr>
              <w:t>Índice de mapeamento processos (%) </w:t>
            </w:r>
            <w:r>
              <w:rPr>
                <w:b/>
                <w:sz w:val="20"/>
              </w:rPr>
              <w:t>(CAU/UF)</w:t>
            </w:r>
          </w:p>
        </w:tc>
        <w:tc>
          <w:tcPr>
            <w:tcW w:w="4256" w:type="dxa"/>
            <w:vMerge w:val="restart"/>
            <w:tcBorders>
              <w:left w:val="single" w:sz="4" w:space="0" w:color="000000"/>
              <w:bottom w:val="single" w:sz="4" w:space="0" w:color="000000"/>
              <w:right w:val="single" w:sz="4" w:space="0" w:color="000000"/>
            </w:tcBorders>
          </w:tcPr>
          <w:p>
            <w:pPr>
              <w:pStyle w:val="TableParagraph"/>
              <w:spacing w:before="1"/>
              <w:rPr>
                <w:rFonts w:ascii="Calibri Light"/>
                <w:b w:val="0"/>
                <w:sz w:val="20"/>
              </w:rPr>
            </w:pPr>
          </w:p>
          <w:p>
            <w:pPr>
              <w:pStyle w:val="TableParagraph"/>
              <w:ind w:left="76" w:right="52"/>
              <w:jc w:val="both"/>
              <w:rPr>
                <w:sz w:val="20"/>
              </w:rPr>
            </w:pPr>
            <w:r>
              <w:rPr>
                <w:sz w:val="20"/>
              </w:rPr>
              <w:t>Para evoluir no aprimoramento de seus processos, o CAU necessita mapeá-los, defini-los e aprimorá- los. Esse índice mede a evolução no tempo de quantos processos estão sendo mapeados, conforme meta definida no plano de ação vigente.</w:t>
            </w:r>
          </w:p>
        </w:tc>
        <w:tc>
          <w:tcPr>
            <w:tcW w:w="3468" w:type="dxa"/>
            <w:tcBorders>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376" w:val="left" w:leader="none"/>
                <w:tab w:pos="3396" w:val="left" w:leader="none"/>
              </w:tabs>
              <w:ind w:right="51"/>
              <w:jc w:val="center"/>
              <w:rPr>
                <w:sz w:val="20"/>
              </w:rPr>
            </w:pPr>
            <w:r>
              <w:rPr>
                <w:w w:val="99"/>
                <w:sz w:val="20"/>
                <w:u w:val="single"/>
              </w:rPr>
              <w:t> </w:t>
            </w:r>
            <w:r>
              <w:rPr>
                <w:sz w:val="20"/>
                <w:u w:val="single"/>
              </w:rPr>
              <w:tab/>
              <w:t>número de processos</w:t>
            </w:r>
            <w:r>
              <w:rPr>
                <w:spacing w:val="-9"/>
                <w:sz w:val="20"/>
                <w:u w:val="single"/>
              </w:rPr>
              <w:t> </w:t>
            </w:r>
            <w:r>
              <w:rPr>
                <w:sz w:val="20"/>
                <w:u w:val="single"/>
              </w:rPr>
              <w:t>mapeados</w:t>
              <w:tab/>
            </w:r>
          </w:p>
        </w:tc>
        <w:tc>
          <w:tcPr>
            <w:tcW w:w="641" w:type="dxa"/>
            <w:vMerge w:val="restart"/>
            <w:tcBorders>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76"/>
              <w:rPr>
                <w:sz w:val="20"/>
              </w:rPr>
            </w:pPr>
            <w:r>
              <w:rPr>
                <w:sz w:val="20"/>
              </w:rPr>
              <w:t>x 100</w:t>
            </w:r>
          </w:p>
        </w:tc>
        <w:tc>
          <w:tcPr>
            <w:tcW w:w="1276" w:type="dxa"/>
            <w:vMerge w:val="restart"/>
            <w:tcBorders>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237"/>
              <w:rPr>
                <w:sz w:val="20"/>
              </w:rPr>
            </w:pPr>
            <w:r>
              <w:rPr>
                <w:sz w:val="20"/>
              </w:rPr>
              <w:t>Semestral</w:t>
            </w:r>
          </w:p>
        </w:tc>
        <w:tc>
          <w:tcPr>
            <w:tcW w:w="1560" w:type="dxa"/>
            <w:vMerge w:val="restart"/>
            <w:tcBorders>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59"/>
              <w:rPr>
                <w:sz w:val="20"/>
              </w:rPr>
            </w:pPr>
            <w:r>
              <w:rPr>
                <w:sz w:val="20"/>
              </w:rPr>
              <w:t>CAU/UF</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4256" w:type="dxa"/>
            <w:vMerge/>
            <w:tcBorders>
              <w:top w:val="nil"/>
              <w:left w:val="single" w:sz="4" w:space="0" w:color="000000"/>
              <w:bottom w:val="single" w:sz="4" w:space="0" w:color="000000"/>
              <w:right w:val="single" w:sz="4" w:space="0" w:color="000000"/>
            </w:tcBorders>
          </w:tcPr>
          <w:p>
            <w:pPr>
              <w:rPr>
                <w:sz w:val="2"/>
                <w:szCs w:val="2"/>
              </w:rPr>
            </w:pPr>
          </w:p>
        </w:tc>
        <w:tc>
          <w:tcPr>
            <w:tcW w:w="3468" w:type="dxa"/>
            <w:tcBorders>
              <w:top w:val="nil"/>
              <w:left w:val="single" w:sz="4" w:space="0" w:color="000000"/>
              <w:bottom w:val="single" w:sz="4" w:space="0" w:color="000000"/>
              <w:right w:val="nil"/>
            </w:tcBorders>
          </w:tcPr>
          <w:p>
            <w:pPr>
              <w:pStyle w:val="TableParagraph"/>
              <w:spacing w:line="200" w:lineRule="exact"/>
              <w:ind w:right="59"/>
              <w:jc w:val="center"/>
              <w:rPr>
                <w:sz w:val="20"/>
              </w:rPr>
            </w:pPr>
            <w:r>
              <w:rPr>
                <w:sz w:val="20"/>
              </w:rPr>
              <w:t>total de processos existentes</w:t>
            </w:r>
          </w:p>
        </w:tc>
        <w:tc>
          <w:tcPr>
            <w:tcW w:w="641" w:type="dxa"/>
            <w:vMerge/>
            <w:tcBorders>
              <w:top w:val="nil"/>
              <w:left w:val="nil"/>
              <w:bottom w:val="single" w:sz="4" w:space="0" w:color="000000"/>
              <w:right w:val="single" w:sz="4" w:space="0" w:color="000000"/>
            </w:tcBorders>
          </w:tcPr>
          <w:p>
            <w:pPr>
              <w:rPr>
                <w:sz w:val="2"/>
                <w:szCs w:val="2"/>
              </w:rPr>
            </w:pPr>
          </w:p>
        </w:tc>
        <w:tc>
          <w:tcPr>
            <w:tcW w:w="1276"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tcBorders>
          </w:tcPr>
          <w:p>
            <w:pPr>
              <w:rPr>
                <w:sz w:val="2"/>
                <w:szCs w:val="2"/>
              </w:rPr>
            </w:pPr>
          </w:p>
        </w:tc>
      </w:tr>
      <w:tr>
        <w:trPr>
          <w:trHeight w:val="894"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7"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101" w:right="85"/>
              <w:jc w:val="center"/>
              <w:rPr>
                <w:b/>
                <w:sz w:val="20"/>
              </w:rPr>
            </w:pPr>
            <w:r>
              <w:rPr>
                <w:sz w:val="20"/>
              </w:rPr>
              <w:t>Índice de normatização de processos (%) </w:t>
            </w:r>
            <w:r>
              <w:rPr>
                <w:b/>
                <w:sz w:val="20"/>
              </w:rPr>
              <w:t>(CAU/UF)</w:t>
            </w:r>
          </w:p>
        </w:tc>
        <w:tc>
          <w:tcPr>
            <w:tcW w:w="42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4"/>
              <w:ind w:left="76" w:right="54"/>
              <w:jc w:val="both"/>
              <w:rPr>
                <w:sz w:val="20"/>
              </w:rPr>
            </w:pPr>
            <w:r>
              <w:rPr>
                <w:sz w:val="20"/>
              </w:rPr>
              <w:t>Para evoluir no aprimoramento de seus processos, o CAU necessita normatizá-los, defini-los e aprimorá-los. Esse índice mede a evolução no tempo de quantos processos estão sendo normatizados, conforme meta definida no plano de ação vigente.</w:t>
            </w:r>
          </w:p>
        </w:tc>
        <w:tc>
          <w:tcPr>
            <w:tcW w:w="3468"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8"/>
              <w:rPr>
                <w:rFonts w:ascii="Calibri Light"/>
                <w:b w:val="0"/>
                <w:sz w:val="29"/>
              </w:rPr>
            </w:pPr>
          </w:p>
          <w:p>
            <w:pPr>
              <w:pStyle w:val="TableParagraph"/>
              <w:tabs>
                <w:tab w:pos="3396" w:val="left" w:leader="none"/>
              </w:tabs>
              <w:ind w:right="51"/>
              <w:jc w:val="center"/>
              <w:rPr>
                <w:sz w:val="20"/>
              </w:rPr>
            </w:pPr>
            <w:r>
              <w:rPr>
                <w:w w:val="99"/>
                <w:sz w:val="20"/>
                <w:u w:val="single"/>
              </w:rPr>
              <w:t> </w:t>
            </w:r>
            <w:r>
              <w:rPr>
                <w:sz w:val="20"/>
                <w:u w:val="single"/>
              </w:rPr>
              <w:t>   </w:t>
            </w:r>
            <w:r>
              <w:rPr>
                <w:spacing w:val="18"/>
                <w:sz w:val="20"/>
                <w:u w:val="single"/>
              </w:rPr>
              <w:t> </w:t>
            </w:r>
            <w:r>
              <w:rPr>
                <w:sz w:val="20"/>
                <w:u w:val="single"/>
              </w:rPr>
              <w:t>número de processos</w:t>
            </w:r>
            <w:r>
              <w:rPr>
                <w:spacing w:val="-9"/>
                <w:sz w:val="20"/>
                <w:u w:val="single"/>
              </w:rPr>
              <w:t> </w:t>
            </w:r>
            <w:r>
              <w:rPr>
                <w:sz w:val="20"/>
                <w:u w:val="single"/>
              </w:rPr>
              <w:t>normatizados</w:t>
              <w:tab/>
            </w:r>
          </w:p>
        </w:tc>
        <w:tc>
          <w:tcPr>
            <w:tcW w:w="641"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76"/>
              <w:rPr>
                <w:sz w:val="20"/>
              </w:rPr>
            </w:pPr>
            <w:r>
              <w:rPr>
                <w:sz w:val="20"/>
              </w:rPr>
              <w:t>x 100</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
              <w:rPr>
                <w:rFonts w:ascii="Calibri Light"/>
                <w:b w:val="0"/>
                <w:sz w:val="20"/>
              </w:rPr>
            </w:pPr>
          </w:p>
          <w:p>
            <w:pPr>
              <w:pStyle w:val="TableParagraph"/>
              <w:ind w:left="237"/>
              <w:rPr>
                <w:sz w:val="20"/>
              </w:rPr>
            </w:pPr>
            <w:r>
              <w:rPr>
                <w:sz w:val="20"/>
              </w:rPr>
              <w:t>Semestral</w:t>
            </w:r>
          </w:p>
        </w:tc>
        <w:tc>
          <w:tcPr>
            <w:tcW w:w="156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23"/>
              <w:ind w:left="459" w:right="48" w:hanging="370"/>
              <w:rPr>
                <w:sz w:val="20"/>
              </w:rPr>
            </w:pPr>
            <w:r>
              <w:rPr>
                <w:sz w:val="20"/>
              </w:rPr>
              <w:t>Plano de ação do CAU/UF</w:t>
            </w:r>
          </w:p>
        </w:tc>
      </w:tr>
      <w:tr>
        <w:trPr>
          <w:trHeight w:val="844"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4256" w:type="dxa"/>
            <w:vMerge/>
            <w:tcBorders>
              <w:top w:val="nil"/>
              <w:left w:val="single" w:sz="4" w:space="0" w:color="000000"/>
              <w:bottom w:val="single" w:sz="4" w:space="0" w:color="000000"/>
              <w:right w:val="single" w:sz="4" w:space="0" w:color="000000"/>
            </w:tcBorders>
          </w:tcPr>
          <w:p>
            <w:pPr>
              <w:rPr>
                <w:sz w:val="2"/>
                <w:szCs w:val="2"/>
              </w:rPr>
            </w:pPr>
          </w:p>
        </w:tc>
        <w:tc>
          <w:tcPr>
            <w:tcW w:w="3468" w:type="dxa"/>
            <w:tcBorders>
              <w:top w:val="nil"/>
              <w:left w:val="single" w:sz="4" w:space="0" w:color="000000"/>
              <w:bottom w:val="single" w:sz="4" w:space="0" w:color="000000"/>
              <w:right w:val="nil"/>
            </w:tcBorders>
          </w:tcPr>
          <w:p>
            <w:pPr>
              <w:pStyle w:val="TableParagraph"/>
              <w:spacing w:line="200" w:lineRule="exact"/>
              <w:ind w:right="59"/>
              <w:jc w:val="center"/>
              <w:rPr>
                <w:sz w:val="20"/>
              </w:rPr>
            </w:pPr>
            <w:r>
              <w:rPr>
                <w:sz w:val="20"/>
              </w:rPr>
              <w:t>total de processos existentes</w:t>
            </w:r>
          </w:p>
        </w:tc>
        <w:tc>
          <w:tcPr>
            <w:tcW w:w="641" w:type="dxa"/>
            <w:vMerge/>
            <w:tcBorders>
              <w:top w:val="nil"/>
              <w:left w:val="nil"/>
              <w:bottom w:val="single" w:sz="4" w:space="0" w:color="000000"/>
              <w:right w:val="single" w:sz="4" w:space="0" w:color="000000"/>
            </w:tcBorders>
          </w:tcPr>
          <w:p>
            <w:pPr>
              <w:rPr>
                <w:sz w:val="2"/>
                <w:szCs w:val="2"/>
              </w:rPr>
            </w:pPr>
          </w:p>
        </w:tc>
        <w:tc>
          <w:tcPr>
            <w:tcW w:w="1276"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tcBorders>
          </w:tcPr>
          <w:p>
            <w:pPr>
              <w:rPr>
                <w:sz w:val="2"/>
                <w:szCs w:val="2"/>
              </w:rPr>
            </w:pPr>
          </w:p>
        </w:tc>
      </w:tr>
      <w:tr>
        <w:trPr>
          <w:trHeight w:val="896"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7"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5"/>
              <w:ind w:left="200" w:right="181" w:hanging="2"/>
              <w:jc w:val="center"/>
              <w:rPr>
                <w:b/>
                <w:sz w:val="20"/>
              </w:rPr>
            </w:pPr>
            <w:r>
              <w:rPr>
                <w:sz w:val="20"/>
              </w:rPr>
              <w:t>Índice de automação de processos (%) </w:t>
            </w:r>
            <w:r>
              <w:rPr>
                <w:b/>
                <w:sz w:val="20"/>
              </w:rPr>
              <w:t>(CAU/UF)</w:t>
            </w:r>
          </w:p>
        </w:tc>
        <w:tc>
          <w:tcPr>
            <w:tcW w:w="42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3"/>
              <w:ind w:left="76" w:right="57"/>
              <w:jc w:val="both"/>
              <w:rPr>
                <w:sz w:val="20"/>
              </w:rPr>
            </w:pPr>
            <w:r>
              <w:rPr>
                <w:sz w:val="20"/>
              </w:rPr>
              <w:t>Para evoluir no aprimoramento de seus processos, o CAU necessita automatizá-los, defini-los e aprimorá-los. Esse índice mede a evolução no tempo de quantos processos estão sendo automatizados (no SGI ou outro programa), conforme meta definida no plano de ação vigente.</w:t>
            </w:r>
          </w:p>
        </w:tc>
        <w:tc>
          <w:tcPr>
            <w:tcW w:w="3468" w:type="dxa"/>
            <w:tcBorders>
              <w:top w:val="single" w:sz="4" w:space="0" w:color="000000"/>
              <w:left w:val="single" w:sz="4" w:space="0" w:color="000000"/>
              <w:bottom w:val="nil"/>
              <w:right w:val="nil"/>
            </w:tcBorders>
          </w:tcPr>
          <w:p>
            <w:pPr>
              <w:pStyle w:val="TableParagraph"/>
              <w:rPr>
                <w:rFonts w:ascii="Calibri Light"/>
                <w:b w:val="0"/>
                <w:sz w:val="20"/>
              </w:rPr>
            </w:pPr>
          </w:p>
          <w:p>
            <w:pPr>
              <w:pStyle w:val="TableParagraph"/>
              <w:spacing w:before="10"/>
              <w:rPr>
                <w:rFonts w:ascii="Calibri Light"/>
                <w:b w:val="0"/>
                <w:sz w:val="29"/>
              </w:rPr>
            </w:pPr>
          </w:p>
          <w:p>
            <w:pPr>
              <w:pStyle w:val="TableParagraph"/>
              <w:tabs>
                <w:tab w:pos="3396" w:val="left" w:leader="none"/>
              </w:tabs>
              <w:spacing w:before="1"/>
              <w:ind w:right="51"/>
              <w:jc w:val="center"/>
              <w:rPr>
                <w:sz w:val="20"/>
              </w:rPr>
            </w:pPr>
            <w:r>
              <w:rPr>
                <w:w w:val="99"/>
                <w:sz w:val="20"/>
                <w:u w:val="single"/>
              </w:rPr>
              <w:t> </w:t>
            </w:r>
            <w:r>
              <w:rPr>
                <w:sz w:val="20"/>
                <w:u w:val="single"/>
              </w:rPr>
              <w:t>  </w:t>
            </w:r>
            <w:r>
              <w:rPr>
                <w:spacing w:val="16"/>
                <w:sz w:val="20"/>
                <w:u w:val="single"/>
              </w:rPr>
              <w:t> </w:t>
            </w:r>
            <w:r>
              <w:rPr>
                <w:sz w:val="20"/>
                <w:u w:val="single"/>
              </w:rPr>
              <w:t>número de processos</w:t>
            </w:r>
            <w:r>
              <w:rPr>
                <w:spacing w:val="-12"/>
                <w:sz w:val="20"/>
                <w:u w:val="single"/>
              </w:rPr>
              <w:t> </w:t>
            </w:r>
            <w:r>
              <w:rPr>
                <w:sz w:val="20"/>
                <w:u w:val="single"/>
              </w:rPr>
              <w:t>automatizados</w:t>
              <w:tab/>
            </w:r>
          </w:p>
        </w:tc>
        <w:tc>
          <w:tcPr>
            <w:tcW w:w="641"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76"/>
              <w:rPr>
                <w:sz w:val="20"/>
              </w:rPr>
            </w:pPr>
            <w:r>
              <w:rPr>
                <w:sz w:val="20"/>
              </w:rPr>
              <w:t>x 100</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spacing w:before="1"/>
              <w:ind w:left="237"/>
              <w:rPr>
                <w:sz w:val="20"/>
              </w:rPr>
            </w:pPr>
            <w:r>
              <w:rPr>
                <w:sz w:val="20"/>
              </w:rPr>
              <w:t>Semestral</w:t>
            </w:r>
          </w:p>
        </w:tc>
        <w:tc>
          <w:tcPr>
            <w:tcW w:w="156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25"/>
              <w:ind w:left="459" w:right="48" w:hanging="370"/>
              <w:rPr>
                <w:sz w:val="20"/>
              </w:rPr>
            </w:pPr>
            <w:r>
              <w:rPr>
                <w:sz w:val="20"/>
              </w:rPr>
              <w:t>Plano de ação do CAU/UF</w:t>
            </w:r>
          </w:p>
        </w:tc>
      </w:tr>
      <w:tr>
        <w:trPr>
          <w:trHeight w:val="843"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4256" w:type="dxa"/>
            <w:vMerge/>
            <w:tcBorders>
              <w:top w:val="nil"/>
              <w:left w:val="single" w:sz="4" w:space="0" w:color="000000"/>
              <w:bottom w:val="single" w:sz="4" w:space="0" w:color="000000"/>
              <w:right w:val="single" w:sz="4" w:space="0" w:color="000000"/>
            </w:tcBorders>
          </w:tcPr>
          <w:p>
            <w:pPr>
              <w:rPr>
                <w:sz w:val="2"/>
                <w:szCs w:val="2"/>
              </w:rPr>
            </w:pPr>
          </w:p>
        </w:tc>
        <w:tc>
          <w:tcPr>
            <w:tcW w:w="3468" w:type="dxa"/>
            <w:tcBorders>
              <w:top w:val="nil"/>
              <w:left w:val="single" w:sz="4" w:space="0" w:color="000000"/>
              <w:bottom w:val="single" w:sz="4" w:space="0" w:color="000000"/>
              <w:right w:val="nil"/>
            </w:tcBorders>
          </w:tcPr>
          <w:p>
            <w:pPr>
              <w:pStyle w:val="TableParagraph"/>
              <w:spacing w:line="199" w:lineRule="exact"/>
              <w:ind w:right="59"/>
              <w:jc w:val="center"/>
              <w:rPr>
                <w:sz w:val="20"/>
              </w:rPr>
            </w:pPr>
            <w:r>
              <w:rPr>
                <w:sz w:val="20"/>
              </w:rPr>
              <w:t>total de processos existentes</w:t>
            </w:r>
          </w:p>
        </w:tc>
        <w:tc>
          <w:tcPr>
            <w:tcW w:w="641" w:type="dxa"/>
            <w:vMerge/>
            <w:tcBorders>
              <w:top w:val="nil"/>
              <w:left w:val="nil"/>
              <w:bottom w:val="single" w:sz="4" w:space="0" w:color="000000"/>
              <w:right w:val="single" w:sz="4" w:space="0" w:color="000000"/>
            </w:tcBorders>
          </w:tcPr>
          <w:p>
            <w:pPr>
              <w:rPr>
                <w:sz w:val="2"/>
                <w:szCs w:val="2"/>
              </w:rPr>
            </w:pPr>
          </w:p>
        </w:tc>
        <w:tc>
          <w:tcPr>
            <w:tcW w:w="1276"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tcBorders>
          </w:tcPr>
          <w:p>
            <w:pPr>
              <w:rPr>
                <w:sz w:val="2"/>
                <w:szCs w:val="2"/>
              </w:rPr>
            </w:pPr>
          </w:p>
        </w:tc>
      </w:tr>
      <w:tr>
        <w:trPr>
          <w:trHeight w:val="871" w:hRule="atLeast"/>
        </w:trPr>
        <w:tc>
          <w:tcPr>
            <w:tcW w:w="1328" w:type="dxa"/>
            <w:vMerge w:val="restart"/>
            <w:tcBorders>
              <w:top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25"/>
              <w:ind w:left="93" w:right="60" w:firstLine="177"/>
              <w:rPr>
                <w:sz w:val="20"/>
              </w:rPr>
            </w:pPr>
            <w:r>
              <w:rPr>
                <w:sz w:val="20"/>
              </w:rPr>
              <w:t>Pessoas e Infraestrutura</w:t>
            </w:r>
          </w:p>
        </w:tc>
        <w:tc>
          <w:tcPr>
            <w:tcW w:w="1369"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24"/>
              <w:ind w:left="88" w:right="67" w:hanging="1"/>
              <w:jc w:val="center"/>
              <w:rPr>
                <w:sz w:val="20"/>
              </w:rPr>
            </w:pPr>
            <w:r>
              <w:rPr>
                <w:sz w:val="20"/>
              </w:rPr>
              <w:t>Desenvolver competências de dirigentes </w:t>
            </w:r>
            <w:r>
              <w:rPr>
                <w:spacing w:val="-15"/>
                <w:sz w:val="20"/>
              </w:rPr>
              <w:t>e </w:t>
            </w:r>
            <w:r>
              <w:rPr>
                <w:sz w:val="20"/>
              </w:rPr>
              <w:t>colaboradores</w:t>
            </w:r>
          </w:p>
        </w:tc>
        <w:tc>
          <w:tcPr>
            <w:tcW w:w="155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6"/>
              <w:ind w:left="125" w:right="110" w:hanging="2"/>
              <w:jc w:val="center"/>
              <w:rPr>
                <w:b/>
                <w:sz w:val="20"/>
              </w:rPr>
            </w:pPr>
            <w:r>
              <w:rPr>
                <w:sz w:val="20"/>
              </w:rPr>
              <w:t>Média de horas de treinamento por      colaboradores e dirigentes </w:t>
            </w:r>
            <w:r>
              <w:rPr>
                <w:b/>
                <w:sz w:val="20"/>
              </w:rPr>
              <w:t>(CAU/UF)</w:t>
            </w:r>
          </w:p>
        </w:tc>
        <w:tc>
          <w:tcPr>
            <w:tcW w:w="425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rFonts w:ascii="Calibri Light"/>
                <w:b w:val="0"/>
                <w:sz w:val="20"/>
              </w:rPr>
            </w:pPr>
          </w:p>
          <w:p>
            <w:pPr>
              <w:pStyle w:val="TableParagraph"/>
              <w:spacing w:before="1"/>
              <w:ind w:left="76" w:right="54"/>
              <w:jc w:val="both"/>
              <w:rPr>
                <w:sz w:val="20"/>
              </w:rPr>
            </w:pPr>
            <w:r>
              <w:rPr>
                <w:sz w:val="20"/>
              </w:rPr>
              <w:t>Para medir se estão sendo dedicadas horas suficientes de treinamento, na média, para os colaboradores e dirigentes do CAU. Compara o total de horas dedicadas a treinamentos com o total de colaboradores e dirigentes.</w:t>
            </w:r>
          </w:p>
        </w:tc>
        <w:tc>
          <w:tcPr>
            <w:tcW w:w="410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spacing w:before="10"/>
              <w:rPr>
                <w:rFonts w:ascii="Calibri Light"/>
                <w:b w:val="0"/>
                <w:sz w:val="29"/>
              </w:rPr>
            </w:pPr>
          </w:p>
          <w:p>
            <w:pPr>
              <w:pStyle w:val="TableParagraph"/>
              <w:spacing w:line="243" w:lineRule="exact"/>
              <w:ind w:left="923"/>
              <w:rPr>
                <w:sz w:val="20"/>
              </w:rPr>
            </w:pPr>
            <w:r>
              <w:rPr>
                <w:sz w:val="20"/>
              </w:rPr>
              <w:t>horas totais de treinamento</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15"/>
              <w:rPr>
                <w:sz w:val="20"/>
              </w:rPr>
            </w:pPr>
            <w:r>
              <w:rPr>
                <w:sz w:val="20"/>
              </w:rPr>
              <w:t>Anual</w:t>
            </w:r>
          </w:p>
        </w:tc>
        <w:tc>
          <w:tcPr>
            <w:tcW w:w="1560" w:type="dxa"/>
            <w:vMerge w:val="restart"/>
            <w:tcBorders>
              <w:top w:val="single" w:sz="4" w:space="0" w:color="000000"/>
              <w:left w:val="single" w:sz="4" w:space="0" w:color="000000"/>
              <w:bottom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3"/>
              <w:rPr>
                <w:rFonts w:ascii="Calibri Light"/>
                <w:b w:val="0"/>
                <w:sz w:val="20"/>
              </w:rPr>
            </w:pPr>
          </w:p>
          <w:p>
            <w:pPr>
              <w:pStyle w:val="TableParagraph"/>
              <w:ind w:left="464"/>
              <w:rPr>
                <w:sz w:val="20"/>
              </w:rPr>
            </w:pPr>
            <w:r>
              <w:rPr>
                <w:sz w:val="20"/>
              </w:rPr>
              <w:t>CAU/UF</w:t>
            </w:r>
          </w:p>
        </w:tc>
      </w:tr>
      <w:tr>
        <w:trPr>
          <w:trHeight w:val="870" w:hRule="atLeast"/>
        </w:trPr>
        <w:tc>
          <w:tcPr>
            <w:tcW w:w="1328" w:type="dxa"/>
            <w:vMerge/>
            <w:tcBorders>
              <w:top w:val="nil"/>
              <w:bottom w:val="single" w:sz="4" w:space="0" w:color="000000"/>
              <w:right w:val="single" w:sz="4" w:space="0" w:color="000000"/>
            </w:tcBorders>
          </w:tcPr>
          <w:p>
            <w:pPr>
              <w:rPr>
                <w:sz w:val="2"/>
                <w:szCs w:val="2"/>
              </w:rPr>
            </w:pPr>
          </w:p>
        </w:tc>
        <w:tc>
          <w:tcPr>
            <w:tcW w:w="1369" w:type="dxa"/>
            <w:vMerge/>
            <w:tcBorders>
              <w:top w:val="nil"/>
              <w:left w:val="single" w:sz="4" w:space="0" w:color="000000"/>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4256" w:type="dxa"/>
            <w:vMerge/>
            <w:tcBorders>
              <w:top w:val="nil"/>
              <w:left w:val="single" w:sz="4" w:space="0" w:color="000000"/>
              <w:bottom w:val="single" w:sz="4" w:space="0" w:color="000000"/>
              <w:right w:val="single" w:sz="4" w:space="0" w:color="000000"/>
            </w:tcBorders>
          </w:tcPr>
          <w:p>
            <w:pPr>
              <w:rPr>
                <w:sz w:val="2"/>
                <w:szCs w:val="2"/>
              </w:rPr>
            </w:pPr>
          </w:p>
        </w:tc>
        <w:tc>
          <w:tcPr>
            <w:tcW w:w="4109"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294"/>
              <w:rPr>
                <w:sz w:val="20"/>
              </w:rPr>
            </w:pPr>
            <w:r>
              <w:rPr>
                <w:sz w:val="20"/>
              </w:rPr>
              <w:t>número total de colaboradores e dirigentes</w:t>
            </w:r>
          </w:p>
        </w:tc>
        <w:tc>
          <w:tcPr>
            <w:tcW w:w="1276"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43"/>
          <w:footerReference w:type="default" r:id="rId44"/>
          <w:pgSz w:w="16840" w:h="11910" w:orient="landscape"/>
          <w:pgMar w:header="590" w:footer="618" w:top="2000" w:bottom="800" w:left="440" w:right="40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9"/>
        <w:gridCol w:w="1982"/>
        <w:gridCol w:w="2129"/>
        <w:gridCol w:w="2976"/>
        <w:gridCol w:w="3508"/>
        <w:gridCol w:w="744"/>
        <w:gridCol w:w="1274"/>
        <w:gridCol w:w="1418"/>
      </w:tblGrid>
      <w:tr>
        <w:trPr>
          <w:trHeight w:val="1574" w:hRule="atLeast"/>
        </w:trPr>
        <w:tc>
          <w:tcPr>
            <w:tcW w:w="1419" w:type="dxa"/>
            <w:tcBorders>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16" w:right="106"/>
              <w:jc w:val="center"/>
              <w:rPr>
                <w:b/>
                <w:sz w:val="20"/>
              </w:rPr>
            </w:pPr>
            <w:r>
              <w:rPr>
                <w:b/>
                <w:color w:val="FFFFFF"/>
                <w:sz w:val="20"/>
              </w:rPr>
              <w:t>Perspectiva</w:t>
            </w:r>
          </w:p>
        </w:tc>
        <w:tc>
          <w:tcPr>
            <w:tcW w:w="1982"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53" w:right="37"/>
              <w:jc w:val="center"/>
              <w:rPr>
                <w:b/>
                <w:sz w:val="20"/>
              </w:rPr>
            </w:pPr>
            <w:r>
              <w:rPr>
                <w:b/>
                <w:color w:val="FFFFFF"/>
                <w:sz w:val="20"/>
              </w:rPr>
              <w:t>Objetivo Estratégico</w:t>
            </w:r>
          </w:p>
        </w:tc>
        <w:tc>
          <w:tcPr>
            <w:tcW w:w="2129"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03" w:right="83"/>
              <w:jc w:val="center"/>
              <w:rPr>
                <w:b/>
                <w:sz w:val="20"/>
              </w:rPr>
            </w:pPr>
            <w:r>
              <w:rPr>
                <w:b/>
                <w:color w:val="FFFFFF"/>
                <w:sz w:val="20"/>
              </w:rPr>
              <w:t>Indicador</w:t>
            </w:r>
          </w:p>
        </w:tc>
        <w:tc>
          <w:tcPr>
            <w:tcW w:w="2976"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070" w:right="1054"/>
              <w:jc w:val="center"/>
              <w:rPr>
                <w:b/>
                <w:sz w:val="20"/>
              </w:rPr>
            </w:pPr>
            <w:r>
              <w:rPr>
                <w:b/>
                <w:color w:val="FFFFFF"/>
                <w:sz w:val="20"/>
              </w:rPr>
              <w:t>Descrição</w:t>
            </w:r>
          </w:p>
        </w:tc>
        <w:tc>
          <w:tcPr>
            <w:tcW w:w="4252" w:type="dxa"/>
            <w:gridSpan w:val="2"/>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rPr>
                <w:rFonts w:ascii="Calibri Light"/>
                <w:b w:val="0"/>
                <w:sz w:val="20"/>
              </w:rPr>
            </w:pPr>
          </w:p>
          <w:p>
            <w:pPr>
              <w:pStyle w:val="TableParagraph"/>
              <w:spacing w:before="158"/>
              <w:ind w:left="1337"/>
              <w:rPr>
                <w:b/>
                <w:sz w:val="20"/>
              </w:rPr>
            </w:pPr>
            <w:r>
              <w:rPr>
                <w:b/>
                <w:color w:val="FFFFFF"/>
                <w:sz w:val="20"/>
              </w:rPr>
              <w:t>Fórmula de Cálculo</w:t>
            </w:r>
          </w:p>
        </w:tc>
        <w:tc>
          <w:tcPr>
            <w:tcW w:w="1274" w:type="dxa"/>
            <w:tcBorders>
              <w:left w:val="single" w:sz="4" w:space="0" w:color="000000"/>
              <w:righ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155" w:right="113" w:firstLine="28"/>
              <w:rPr>
                <w:b/>
                <w:sz w:val="20"/>
              </w:rPr>
            </w:pPr>
            <w:r>
              <w:rPr>
                <w:b/>
                <w:color w:val="FFFFFF"/>
                <w:sz w:val="20"/>
              </w:rPr>
              <w:t>Frequência de Medição</w:t>
            </w:r>
          </w:p>
        </w:tc>
        <w:tc>
          <w:tcPr>
            <w:tcW w:w="1418" w:type="dxa"/>
            <w:tcBorders>
              <w:left w:val="single" w:sz="4" w:space="0" w:color="000000"/>
            </w:tcBorders>
            <w:shd w:val="clear" w:color="auto" w:fill="006666"/>
          </w:tcPr>
          <w:p>
            <w:pPr>
              <w:pStyle w:val="TableParagraph"/>
              <w:rPr>
                <w:rFonts w:ascii="Calibri Light"/>
                <w:b w:val="0"/>
                <w:sz w:val="20"/>
              </w:rPr>
            </w:pPr>
          </w:p>
          <w:p>
            <w:pPr>
              <w:pStyle w:val="TableParagraph"/>
              <w:spacing w:before="11"/>
              <w:rPr>
                <w:rFonts w:ascii="Calibri Light"/>
                <w:b w:val="0"/>
                <w:sz w:val="22"/>
              </w:rPr>
            </w:pPr>
          </w:p>
          <w:p>
            <w:pPr>
              <w:pStyle w:val="TableParagraph"/>
              <w:ind w:left="324" w:right="273" w:firstLine="24"/>
              <w:rPr>
                <w:b/>
                <w:sz w:val="20"/>
              </w:rPr>
            </w:pPr>
            <w:r>
              <w:rPr>
                <w:b/>
                <w:color w:val="FFFFFF"/>
                <w:sz w:val="20"/>
              </w:rPr>
              <w:t>Fonte do Indicador</w:t>
            </w:r>
          </w:p>
        </w:tc>
      </w:tr>
      <w:tr>
        <w:trPr>
          <w:trHeight w:val="607" w:hRule="atLeast"/>
        </w:trPr>
        <w:tc>
          <w:tcPr>
            <w:tcW w:w="1419" w:type="dxa"/>
            <w:tcBorders>
              <w:bottom w:val="nil"/>
              <w:right w:val="single" w:sz="4" w:space="0" w:color="000000"/>
            </w:tcBorders>
          </w:tcPr>
          <w:p>
            <w:pPr>
              <w:pStyle w:val="TableParagraph"/>
              <w:rPr>
                <w:rFonts w:ascii="Times New Roman"/>
                <w:sz w:val="20"/>
              </w:rPr>
            </w:pPr>
          </w:p>
        </w:tc>
        <w:tc>
          <w:tcPr>
            <w:tcW w:w="1982" w:type="dxa"/>
            <w:tcBorders>
              <w:left w:val="single" w:sz="4" w:space="0" w:color="000000"/>
              <w:bottom w:val="nil"/>
              <w:right w:val="single" w:sz="4" w:space="0" w:color="000000"/>
            </w:tcBorders>
          </w:tcPr>
          <w:p>
            <w:pPr>
              <w:pStyle w:val="TableParagraph"/>
              <w:rPr>
                <w:rFonts w:ascii="Times New Roman"/>
                <w:sz w:val="20"/>
              </w:rPr>
            </w:pPr>
          </w:p>
        </w:tc>
        <w:tc>
          <w:tcPr>
            <w:tcW w:w="2129" w:type="dxa"/>
            <w:tcBorders>
              <w:left w:val="single" w:sz="4" w:space="0" w:color="000000"/>
              <w:bottom w:val="nil"/>
              <w:right w:val="single" w:sz="4" w:space="0" w:color="000000"/>
            </w:tcBorders>
          </w:tcPr>
          <w:p>
            <w:pPr>
              <w:pStyle w:val="TableParagraph"/>
              <w:rPr>
                <w:rFonts w:ascii="Times New Roman"/>
                <w:sz w:val="20"/>
              </w:rPr>
            </w:pPr>
          </w:p>
        </w:tc>
        <w:tc>
          <w:tcPr>
            <w:tcW w:w="2976" w:type="dxa"/>
            <w:tcBorders>
              <w:left w:val="single" w:sz="4" w:space="0" w:color="000000"/>
              <w:bottom w:val="nil"/>
              <w:right w:val="single" w:sz="4" w:space="0" w:color="000000"/>
            </w:tcBorders>
          </w:tcPr>
          <w:p>
            <w:pPr>
              <w:pStyle w:val="TableParagraph"/>
              <w:spacing w:before="7"/>
              <w:rPr>
                <w:rFonts w:ascii="Calibri Light"/>
                <w:b w:val="0"/>
                <w:sz w:val="26"/>
              </w:rPr>
            </w:pPr>
          </w:p>
          <w:p>
            <w:pPr>
              <w:pStyle w:val="TableParagraph"/>
              <w:ind w:left="74"/>
              <w:rPr>
                <w:sz w:val="20"/>
              </w:rPr>
            </w:pPr>
            <w:r>
              <w:rPr>
                <w:sz w:val="20"/>
              </w:rPr>
              <w:t>Mede a quantidade de ações</w:t>
            </w:r>
          </w:p>
        </w:tc>
        <w:tc>
          <w:tcPr>
            <w:tcW w:w="4252" w:type="dxa"/>
            <w:gridSpan w:val="2"/>
            <w:tcBorders>
              <w:left w:val="single" w:sz="4" w:space="0" w:color="000000"/>
              <w:bottom w:val="nil"/>
              <w:right w:val="single" w:sz="4" w:space="0" w:color="000000"/>
            </w:tcBorders>
          </w:tcPr>
          <w:p>
            <w:pPr>
              <w:pStyle w:val="TableParagraph"/>
              <w:rPr>
                <w:rFonts w:ascii="Times New Roman"/>
                <w:sz w:val="20"/>
              </w:rPr>
            </w:pPr>
          </w:p>
        </w:tc>
        <w:tc>
          <w:tcPr>
            <w:tcW w:w="1274" w:type="dxa"/>
            <w:tcBorders>
              <w:left w:val="single" w:sz="4" w:space="0" w:color="000000"/>
              <w:bottom w:val="nil"/>
              <w:right w:val="single" w:sz="4" w:space="0" w:color="000000"/>
            </w:tcBorders>
          </w:tcPr>
          <w:p>
            <w:pPr>
              <w:pStyle w:val="TableParagraph"/>
              <w:rPr>
                <w:rFonts w:ascii="Times New Roman"/>
                <w:sz w:val="20"/>
              </w:rPr>
            </w:pPr>
          </w:p>
        </w:tc>
        <w:tc>
          <w:tcPr>
            <w:tcW w:w="1418" w:type="dxa"/>
            <w:tcBorders>
              <w:left w:val="single" w:sz="4" w:space="0" w:color="000000"/>
              <w:bottom w:val="nil"/>
            </w:tcBorders>
          </w:tcPr>
          <w:p>
            <w:pPr>
              <w:pStyle w:val="TableParagraph"/>
              <w:rPr>
                <w:rFonts w:ascii="Times New Roman"/>
                <w:sz w:val="20"/>
              </w:rPr>
            </w:pPr>
          </w:p>
        </w:tc>
      </w:tr>
      <w:tr>
        <w:trPr>
          <w:trHeight w:val="487"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rPr>
                <w:rFonts w:ascii="Times New Roman"/>
                <w:sz w:val="20"/>
              </w:rPr>
            </w:pPr>
          </w:p>
        </w:tc>
        <w:tc>
          <w:tcPr>
            <w:tcW w:w="2129" w:type="dxa"/>
            <w:tcBorders>
              <w:top w:val="nil"/>
              <w:left w:val="single" w:sz="4" w:space="0" w:color="000000"/>
              <w:bottom w:val="nil"/>
              <w:right w:val="single" w:sz="4" w:space="0" w:color="000000"/>
            </w:tcBorders>
          </w:tcPr>
          <w:p>
            <w:pPr>
              <w:pStyle w:val="TableParagraph"/>
              <w:spacing w:line="206" w:lineRule="exact"/>
              <w:ind w:left="103" w:right="83"/>
              <w:jc w:val="center"/>
              <w:rPr>
                <w:sz w:val="20"/>
              </w:rPr>
            </w:pPr>
            <w:r>
              <w:rPr>
                <w:sz w:val="20"/>
              </w:rPr>
              <w:t>Número de ações</w:t>
            </w:r>
          </w:p>
          <w:p>
            <w:pPr>
              <w:pStyle w:val="TableParagraph"/>
              <w:spacing w:line="243" w:lineRule="exact"/>
              <w:ind w:left="103" w:right="83"/>
              <w:jc w:val="center"/>
              <w:rPr>
                <w:sz w:val="20"/>
              </w:rPr>
            </w:pPr>
            <w:r>
              <w:rPr>
                <w:sz w:val="20"/>
              </w:rPr>
              <w:t>executadas</w:t>
            </w:r>
          </w:p>
        </w:tc>
        <w:tc>
          <w:tcPr>
            <w:tcW w:w="2976" w:type="dxa"/>
            <w:tcBorders>
              <w:top w:val="nil"/>
              <w:left w:val="single" w:sz="4" w:space="0" w:color="000000"/>
              <w:bottom w:val="nil"/>
              <w:right w:val="single" w:sz="4" w:space="0" w:color="000000"/>
            </w:tcBorders>
          </w:tcPr>
          <w:p>
            <w:pPr>
              <w:pStyle w:val="TableParagraph"/>
              <w:spacing w:line="206" w:lineRule="exact"/>
              <w:ind w:left="74"/>
              <w:rPr>
                <w:sz w:val="20"/>
              </w:rPr>
            </w:pPr>
            <w:r>
              <w:rPr>
                <w:sz w:val="20"/>
              </w:rPr>
              <w:t>previstas    em    prol    da   </w:t>
            </w:r>
            <w:r>
              <w:rPr>
                <w:spacing w:val="14"/>
                <w:sz w:val="20"/>
              </w:rPr>
              <w:t> </w:t>
            </w:r>
            <w:r>
              <w:rPr>
                <w:sz w:val="20"/>
              </w:rPr>
              <w:t>cultura</w:t>
            </w:r>
          </w:p>
          <w:p>
            <w:pPr>
              <w:pStyle w:val="TableParagraph"/>
              <w:spacing w:line="243" w:lineRule="exact"/>
              <w:ind w:left="74"/>
              <w:rPr>
                <w:sz w:val="20"/>
              </w:rPr>
            </w:pPr>
            <w:r>
              <w:rPr>
                <w:sz w:val="20"/>
              </w:rPr>
              <w:t>organizacional    e    estratégia  </w:t>
            </w:r>
            <w:r>
              <w:rPr>
                <w:spacing w:val="36"/>
                <w:sz w:val="20"/>
              </w:rPr>
              <w:t> </w:t>
            </w:r>
            <w:r>
              <w:rPr>
                <w:sz w:val="20"/>
              </w:rPr>
              <w:t>no</w:t>
            </w:r>
          </w:p>
        </w:tc>
        <w:tc>
          <w:tcPr>
            <w:tcW w:w="4252" w:type="dxa"/>
            <w:gridSpan w:val="2"/>
            <w:tcBorders>
              <w:top w:val="nil"/>
              <w:left w:val="single" w:sz="4" w:space="0" w:color="000000"/>
              <w:bottom w:val="nil"/>
              <w:right w:val="single" w:sz="4" w:space="0" w:color="000000"/>
            </w:tcBorders>
          </w:tcPr>
          <w:p>
            <w:pPr>
              <w:pStyle w:val="TableParagraph"/>
              <w:spacing w:line="206" w:lineRule="exact"/>
              <w:ind w:left="349" w:right="331"/>
              <w:jc w:val="center"/>
              <w:rPr>
                <w:sz w:val="20"/>
              </w:rPr>
            </w:pPr>
            <w:r>
              <w:rPr>
                <w:sz w:val="20"/>
              </w:rPr>
              <w:t>quantidade de ações executadas voltadas à</w:t>
            </w:r>
          </w:p>
          <w:p>
            <w:pPr>
              <w:pStyle w:val="TableParagraph"/>
              <w:spacing w:line="243" w:lineRule="exact"/>
              <w:ind w:left="346" w:right="331"/>
              <w:jc w:val="center"/>
              <w:rPr>
                <w:sz w:val="20"/>
              </w:rPr>
            </w:pPr>
            <w:r>
              <w:rPr>
                <w:sz w:val="20"/>
              </w:rPr>
              <w:t>cultura organizacional e estratégia</w:t>
            </w:r>
          </w:p>
        </w:tc>
        <w:tc>
          <w:tcPr>
            <w:tcW w:w="1274" w:type="dxa"/>
            <w:tcBorders>
              <w:top w:val="nil"/>
              <w:left w:val="single" w:sz="4" w:space="0" w:color="000000"/>
              <w:bottom w:val="nil"/>
              <w:right w:val="single" w:sz="4" w:space="0" w:color="000000"/>
            </w:tcBorders>
          </w:tcPr>
          <w:p>
            <w:pPr>
              <w:pStyle w:val="TableParagraph"/>
              <w:spacing w:before="85"/>
              <w:ind w:left="219" w:right="195"/>
              <w:jc w:val="center"/>
              <w:rPr>
                <w:sz w:val="20"/>
              </w:rPr>
            </w:pPr>
            <w:r>
              <w:rPr>
                <w:sz w:val="20"/>
              </w:rPr>
              <w:t>Anual</w:t>
            </w:r>
          </w:p>
        </w:tc>
        <w:tc>
          <w:tcPr>
            <w:tcW w:w="1418" w:type="dxa"/>
            <w:tcBorders>
              <w:top w:val="nil"/>
              <w:left w:val="single" w:sz="4" w:space="0" w:color="000000"/>
              <w:bottom w:val="nil"/>
            </w:tcBorders>
          </w:tcPr>
          <w:p>
            <w:pPr>
              <w:pStyle w:val="TableParagraph"/>
              <w:spacing w:before="85"/>
              <w:ind w:left="78" w:right="47"/>
              <w:jc w:val="center"/>
              <w:rPr>
                <w:sz w:val="20"/>
              </w:rPr>
            </w:pPr>
            <w:r>
              <w:rPr>
                <w:sz w:val="20"/>
              </w:rPr>
              <w:t>CAU/UF</w:t>
            </w:r>
          </w:p>
        </w:tc>
      </w:tr>
      <w:tr>
        <w:trPr>
          <w:trHeight w:val="405"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spacing w:before="123"/>
              <w:ind w:left="59" w:right="36"/>
              <w:jc w:val="center"/>
              <w:rPr>
                <w:sz w:val="20"/>
              </w:rPr>
            </w:pPr>
            <w:r>
              <w:rPr>
                <w:sz w:val="20"/>
              </w:rPr>
              <w:t>Construir cultura</w:t>
            </w:r>
          </w:p>
        </w:tc>
        <w:tc>
          <w:tcPr>
            <w:tcW w:w="2129" w:type="dxa"/>
            <w:tcBorders>
              <w:top w:val="nil"/>
              <w:left w:val="single" w:sz="4" w:space="0" w:color="000000"/>
              <w:bottom w:val="nil"/>
              <w:right w:val="single" w:sz="4" w:space="0" w:color="000000"/>
            </w:tcBorders>
          </w:tcPr>
          <w:p>
            <w:pPr>
              <w:pStyle w:val="TableParagraph"/>
              <w:rPr>
                <w:rFonts w:ascii="Times New Roman"/>
                <w:sz w:val="20"/>
              </w:rPr>
            </w:pPr>
          </w:p>
        </w:tc>
        <w:tc>
          <w:tcPr>
            <w:tcW w:w="2976" w:type="dxa"/>
            <w:tcBorders>
              <w:top w:val="nil"/>
              <w:left w:val="single" w:sz="4" w:space="0" w:color="000000"/>
              <w:bottom w:val="nil"/>
              <w:right w:val="single" w:sz="4" w:space="0" w:color="000000"/>
            </w:tcBorders>
          </w:tcPr>
          <w:p>
            <w:pPr>
              <w:pStyle w:val="TableParagraph"/>
              <w:spacing w:line="207" w:lineRule="exact"/>
              <w:ind w:left="74"/>
              <w:rPr>
                <w:sz w:val="20"/>
              </w:rPr>
            </w:pPr>
            <w:r>
              <w:rPr>
                <w:sz w:val="20"/>
              </w:rPr>
              <w:t>Plano de Ação aprovado</w:t>
            </w:r>
          </w:p>
        </w:tc>
        <w:tc>
          <w:tcPr>
            <w:tcW w:w="4252" w:type="dxa"/>
            <w:gridSpan w:val="2"/>
            <w:tcBorders>
              <w:top w:val="nil"/>
              <w:left w:val="single" w:sz="4" w:space="0" w:color="000000"/>
              <w:bottom w:val="nil"/>
              <w:right w:val="single" w:sz="4" w:space="0" w:color="000000"/>
            </w:tcBorders>
          </w:tcPr>
          <w:p>
            <w:pPr>
              <w:pStyle w:val="TableParagraph"/>
              <w:rPr>
                <w:rFonts w:ascii="Times New Roman"/>
                <w:sz w:val="20"/>
              </w:rPr>
            </w:pPr>
          </w:p>
        </w:tc>
        <w:tc>
          <w:tcPr>
            <w:tcW w:w="1274" w:type="dxa"/>
            <w:tcBorders>
              <w:top w:val="nil"/>
              <w:left w:val="single" w:sz="4" w:space="0" w:color="000000"/>
              <w:bottom w:val="nil"/>
              <w:right w:val="single" w:sz="4" w:space="0" w:color="000000"/>
            </w:tcBorders>
          </w:tcPr>
          <w:p>
            <w:pPr>
              <w:pStyle w:val="TableParagraph"/>
              <w:rPr>
                <w:rFonts w:ascii="Times New Roman"/>
                <w:sz w:val="20"/>
              </w:rPr>
            </w:pPr>
          </w:p>
        </w:tc>
        <w:tc>
          <w:tcPr>
            <w:tcW w:w="1418" w:type="dxa"/>
            <w:tcBorders>
              <w:top w:val="nil"/>
              <w:left w:val="single" w:sz="4" w:space="0" w:color="000000"/>
              <w:bottom w:val="nil"/>
            </w:tcBorders>
          </w:tcPr>
          <w:p>
            <w:pPr>
              <w:pStyle w:val="TableParagraph"/>
              <w:rPr>
                <w:rFonts w:ascii="Times New Roman"/>
                <w:sz w:val="20"/>
              </w:rPr>
            </w:pPr>
          </w:p>
        </w:tc>
      </w:tr>
      <w:tr>
        <w:trPr>
          <w:trHeight w:val="162" w:hRule="atLeast"/>
        </w:trPr>
        <w:tc>
          <w:tcPr>
            <w:tcW w:w="1419" w:type="dxa"/>
            <w:vMerge w:val="restart"/>
            <w:tcBorders>
              <w:top w:val="nil"/>
              <w:bottom w:val="nil"/>
              <w:right w:val="single" w:sz="4" w:space="0" w:color="000000"/>
            </w:tcBorders>
          </w:tcPr>
          <w:p>
            <w:pPr>
              <w:pStyle w:val="TableParagraph"/>
              <w:rPr>
                <w:rFonts w:ascii="Times New Roman"/>
                <w:sz w:val="16"/>
              </w:rPr>
            </w:pPr>
          </w:p>
        </w:tc>
        <w:tc>
          <w:tcPr>
            <w:tcW w:w="1982" w:type="dxa"/>
            <w:vMerge w:val="restart"/>
            <w:tcBorders>
              <w:top w:val="nil"/>
              <w:left w:val="single" w:sz="4" w:space="0" w:color="000000"/>
              <w:bottom w:val="nil"/>
              <w:right w:val="single" w:sz="4" w:space="0" w:color="000000"/>
            </w:tcBorders>
          </w:tcPr>
          <w:p>
            <w:pPr>
              <w:pStyle w:val="TableParagraph"/>
              <w:spacing w:line="207" w:lineRule="exact"/>
              <w:ind w:left="410"/>
              <w:rPr>
                <w:sz w:val="20"/>
              </w:rPr>
            </w:pPr>
            <w:r>
              <w:rPr>
                <w:sz w:val="20"/>
              </w:rPr>
              <w:t>organizacional</w:t>
            </w:r>
          </w:p>
        </w:tc>
        <w:tc>
          <w:tcPr>
            <w:tcW w:w="2129" w:type="dxa"/>
            <w:tcBorders>
              <w:top w:val="nil"/>
              <w:left w:val="single" w:sz="4" w:space="0" w:color="000000"/>
              <w:bottom w:val="single" w:sz="4" w:space="0" w:color="000000"/>
              <w:right w:val="single" w:sz="4" w:space="0" w:color="000000"/>
            </w:tcBorders>
          </w:tcPr>
          <w:p>
            <w:pPr>
              <w:pStyle w:val="TableParagraph"/>
              <w:rPr>
                <w:rFonts w:ascii="Times New Roman"/>
                <w:sz w:val="10"/>
              </w:rPr>
            </w:pPr>
          </w:p>
        </w:tc>
        <w:tc>
          <w:tcPr>
            <w:tcW w:w="2976" w:type="dxa"/>
            <w:tcBorders>
              <w:top w:val="nil"/>
              <w:left w:val="single" w:sz="4" w:space="0" w:color="000000"/>
              <w:bottom w:val="single" w:sz="4" w:space="0" w:color="000000"/>
              <w:right w:val="single" w:sz="4" w:space="0" w:color="000000"/>
            </w:tcBorders>
          </w:tcPr>
          <w:p>
            <w:pPr>
              <w:pStyle w:val="TableParagraph"/>
              <w:rPr>
                <w:rFonts w:ascii="Times New Roman"/>
                <w:sz w:val="10"/>
              </w:rPr>
            </w:pPr>
          </w:p>
        </w:tc>
        <w:tc>
          <w:tcPr>
            <w:tcW w:w="4252" w:type="dxa"/>
            <w:gridSpan w:val="2"/>
            <w:tcBorders>
              <w:top w:val="nil"/>
              <w:left w:val="single" w:sz="4" w:space="0" w:color="000000"/>
              <w:bottom w:val="single" w:sz="4" w:space="0" w:color="000000"/>
              <w:right w:val="single" w:sz="4" w:space="0" w:color="000000"/>
            </w:tcBorders>
          </w:tcPr>
          <w:p>
            <w:pPr>
              <w:pStyle w:val="TableParagraph"/>
              <w:rPr>
                <w:rFonts w:ascii="Times New Roman"/>
                <w:sz w:val="10"/>
              </w:rPr>
            </w:pPr>
          </w:p>
        </w:tc>
        <w:tc>
          <w:tcPr>
            <w:tcW w:w="1274" w:type="dxa"/>
            <w:tcBorders>
              <w:top w:val="nil"/>
              <w:left w:val="single" w:sz="4" w:space="0" w:color="000000"/>
              <w:bottom w:val="single" w:sz="4" w:space="0" w:color="000000"/>
              <w:right w:val="single" w:sz="4" w:space="0" w:color="000000"/>
            </w:tcBorders>
          </w:tcPr>
          <w:p>
            <w:pPr>
              <w:pStyle w:val="TableParagraph"/>
              <w:rPr>
                <w:rFonts w:ascii="Times New Roman"/>
                <w:sz w:val="10"/>
              </w:rPr>
            </w:pPr>
          </w:p>
        </w:tc>
        <w:tc>
          <w:tcPr>
            <w:tcW w:w="1418" w:type="dxa"/>
            <w:tcBorders>
              <w:top w:val="nil"/>
              <w:left w:val="single" w:sz="4" w:space="0" w:color="000000"/>
              <w:bottom w:val="single" w:sz="4" w:space="0" w:color="000000"/>
            </w:tcBorders>
          </w:tcPr>
          <w:p>
            <w:pPr>
              <w:pStyle w:val="TableParagraph"/>
              <w:rPr>
                <w:rFonts w:ascii="Times New Roman"/>
                <w:sz w:val="10"/>
              </w:rPr>
            </w:pPr>
          </w:p>
        </w:tc>
      </w:tr>
      <w:tr>
        <w:trPr>
          <w:trHeight w:val="67" w:hRule="atLeast"/>
        </w:trPr>
        <w:tc>
          <w:tcPr>
            <w:tcW w:w="1419" w:type="dxa"/>
            <w:vMerge/>
            <w:tcBorders>
              <w:top w:val="nil"/>
              <w:bottom w:val="nil"/>
              <w:right w:val="single" w:sz="4" w:space="0" w:color="000000"/>
            </w:tcBorders>
          </w:tcPr>
          <w:p>
            <w:pPr>
              <w:rPr>
                <w:sz w:val="2"/>
                <w:szCs w:val="2"/>
              </w:rPr>
            </w:pPr>
          </w:p>
        </w:tc>
        <w:tc>
          <w:tcPr>
            <w:tcW w:w="1982" w:type="dxa"/>
            <w:vMerge/>
            <w:tcBorders>
              <w:top w:val="nil"/>
              <w:left w:val="single" w:sz="4" w:space="0" w:color="000000"/>
              <w:bottom w:val="nil"/>
              <w:right w:val="single" w:sz="4" w:space="0" w:color="000000"/>
            </w:tcBorders>
          </w:tcPr>
          <w:p>
            <w:pPr>
              <w:rPr>
                <w:sz w:val="2"/>
                <w:szCs w:val="2"/>
              </w:rPr>
            </w:pPr>
          </w:p>
        </w:tc>
        <w:tc>
          <w:tcPr>
            <w:tcW w:w="2129"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2976"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3508" w:type="dxa"/>
            <w:vMerge w:val="restart"/>
            <w:tcBorders>
              <w:top w:val="single" w:sz="4" w:space="0" w:color="000000"/>
              <w:left w:val="single" w:sz="4" w:space="0" w:color="000000"/>
              <w:bottom w:val="single" w:sz="4" w:space="0" w:color="000000"/>
              <w:right w:val="nil"/>
            </w:tcBorders>
          </w:tcPr>
          <w:p>
            <w:pPr>
              <w:pStyle w:val="TableParagraph"/>
              <w:rPr>
                <w:rFonts w:ascii="Calibri Light"/>
                <w:b w:val="0"/>
                <w:sz w:val="20"/>
              </w:rPr>
            </w:pPr>
          </w:p>
          <w:p>
            <w:pPr>
              <w:pStyle w:val="TableParagraph"/>
              <w:spacing w:before="1"/>
              <w:rPr>
                <w:rFonts w:ascii="Calibri Light"/>
                <w:b w:val="0"/>
                <w:sz w:val="26"/>
              </w:rPr>
            </w:pPr>
          </w:p>
          <w:p>
            <w:pPr>
              <w:pStyle w:val="TableParagraph"/>
              <w:tabs>
                <w:tab w:pos="528" w:val="left" w:leader="none"/>
                <w:tab w:pos="3493" w:val="left" w:leader="none"/>
              </w:tabs>
              <w:spacing w:line="259" w:lineRule="auto"/>
              <w:ind w:left="550" w:right="7" w:hanging="540"/>
              <w:rPr>
                <w:sz w:val="20"/>
              </w:rPr>
            </w:pPr>
            <w:r>
              <w:rPr>
                <w:w w:val="99"/>
                <w:sz w:val="20"/>
                <w:u w:val="single"/>
              </w:rPr>
              <w:t> </w:t>
            </w:r>
            <w:r>
              <w:rPr>
                <w:sz w:val="20"/>
                <w:u w:val="single"/>
              </w:rPr>
              <w:tab/>
              <w:t>total de</w:t>
            </w:r>
            <w:r>
              <w:rPr>
                <w:spacing w:val="-8"/>
                <w:sz w:val="20"/>
                <w:u w:val="single"/>
              </w:rPr>
              <w:t> </w:t>
            </w:r>
            <w:r>
              <w:rPr>
                <w:sz w:val="20"/>
                <w:u w:val="single"/>
              </w:rPr>
              <w:t>iniciativas</w:t>
            </w:r>
            <w:r>
              <w:rPr>
                <w:spacing w:val="-2"/>
                <w:sz w:val="20"/>
                <w:u w:val="single"/>
              </w:rPr>
              <w:t> </w:t>
            </w:r>
            <w:r>
              <w:rPr>
                <w:sz w:val="20"/>
                <w:u w:val="single"/>
              </w:rPr>
              <w:t>executadas</w:t>
              <w:tab/>
            </w:r>
            <w:r>
              <w:rPr>
                <w:sz w:val="20"/>
              </w:rPr>
              <w:t> total de iniciativas</w:t>
            </w:r>
            <w:r>
              <w:rPr>
                <w:spacing w:val="-2"/>
                <w:sz w:val="20"/>
              </w:rPr>
              <w:t> </w:t>
            </w:r>
            <w:r>
              <w:rPr>
                <w:sz w:val="20"/>
              </w:rPr>
              <w:t>planejadas</w:t>
            </w:r>
          </w:p>
        </w:tc>
        <w:tc>
          <w:tcPr>
            <w:tcW w:w="744"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144"/>
              <w:ind w:left="156"/>
              <w:rPr>
                <w:sz w:val="20"/>
              </w:rPr>
            </w:pPr>
            <w:r>
              <w:rPr>
                <w:sz w:val="20"/>
              </w:rPr>
              <w:t>x 100</w:t>
            </w:r>
          </w:p>
        </w:tc>
        <w:tc>
          <w:tcPr>
            <w:tcW w:w="1274"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1418" w:type="dxa"/>
            <w:tcBorders>
              <w:top w:val="single" w:sz="4" w:space="0" w:color="000000"/>
              <w:left w:val="single" w:sz="4" w:space="0" w:color="000000"/>
              <w:bottom w:val="nil"/>
            </w:tcBorders>
          </w:tcPr>
          <w:p>
            <w:pPr>
              <w:pStyle w:val="TableParagraph"/>
              <w:rPr>
                <w:rFonts w:ascii="Times New Roman"/>
                <w:sz w:val="2"/>
              </w:rPr>
            </w:pPr>
          </w:p>
        </w:tc>
      </w:tr>
      <w:tr>
        <w:trPr>
          <w:trHeight w:val="288"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spacing w:line="202" w:lineRule="exact"/>
              <w:ind w:left="57" w:right="37"/>
              <w:jc w:val="center"/>
              <w:rPr>
                <w:sz w:val="20"/>
              </w:rPr>
            </w:pPr>
            <w:r>
              <w:rPr>
                <w:sz w:val="20"/>
              </w:rPr>
              <w:t>adequada à estratégia</w:t>
            </w:r>
          </w:p>
        </w:tc>
        <w:tc>
          <w:tcPr>
            <w:tcW w:w="2129" w:type="dxa"/>
            <w:tcBorders>
              <w:top w:val="nil"/>
              <w:left w:val="single" w:sz="4" w:space="0" w:color="000000"/>
              <w:bottom w:val="nil"/>
              <w:right w:val="single" w:sz="4" w:space="0" w:color="000000"/>
            </w:tcBorders>
          </w:tcPr>
          <w:p>
            <w:pPr>
              <w:pStyle w:val="TableParagraph"/>
              <w:rPr>
                <w:rFonts w:ascii="Times New Roman"/>
                <w:sz w:val="20"/>
              </w:rPr>
            </w:pPr>
          </w:p>
        </w:tc>
        <w:tc>
          <w:tcPr>
            <w:tcW w:w="2976" w:type="dxa"/>
            <w:tcBorders>
              <w:top w:val="nil"/>
              <w:left w:val="single" w:sz="4" w:space="0" w:color="000000"/>
              <w:bottom w:val="nil"/>
              <w:right w:val="single" w:sz="4" w:space="0" w:color="000000"/>
            </w:tcBorders>
          </w:tcPr>
          <w:p>
            <w:pPr>
              <w:pStyle w:val="TableParagraph"/>
              <w:rPr>
                <w:rFonts w:ascii="Times New Roman"/>
                <w:sz w:val="20"/>
              </w:rPr>
            </w:pP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Times New Roman"/>
                <w:sz w:val="20"/>
              </w:rPr>
            </w:pPr>
          </w:p>
        </w:tc>
        <w:tc>
          <w:tcPr>
            <w:tcW w:w="1418" w:type="dxa"/>
            <w:tcBorders>
              <w:top w:val="nil"/>
              <w:left w:val="single" w:sz="4" w:space="0" w:color="000000"/>
              <w:bottom w:val="nil"/>
            </w:tcBorders>
          </w:tcPr>
          <w:p>
            <w:pPr>
              <w:pStyle w:val="TableParagraph"/>
              <w:rPr>
                <w:rFonts w:ascii="Times New Roman"/>
                <w:sz w:val="20"/>
              </w:rPr>
            </w:pPr>
          </w:p>
        </w:tc>
      </w:tr>
      <w:tr>
        <w:trPr>
          <w:trHeight w:val="288"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rPr>
                <w:rFonts w:ascii="Times New Roman"/>
                <w:sz w:val="20"/>
              </w:rPr>
            </w:pPr>
          </w:p>
        </w:tc>
        <w:tc>
          <w:tcPr>
            <w:tcW w:w="2129" w:type="dxa"/>
            <w:tcBorders>
              <w:top w:val="nil"/>
              <w:left w:val="single" w:sz="4" w:space="0" w:color="000000"/>
              <w:bottom w:val="nil"/>
              <w:right w:val="single" w:sz="4" w:space="0" w:color="000000"/>
            </w:tcBorders>
          </w:tcPr>
          <w:p>
            <w:pPr>
              <w:pStyle w:val="TableParagraph"/>
              <w:spacing w:before="11"/>
              <w:ind w:left="103" w:right="83"/>
              <w:jc w:val="center"/>
              <w:rPr>
                <w:sz w:val="20"/>
              </w:rPr>
            </w:pPr>
            <w:r>
              <w:rPr>
                <w:sz w:val="20"/>
              </w:rPr>
              <w:t>Índice de cumprimento</w:t>
            </w:r>
          </w:p>
        </w:tc>
        <w:tc>
          <w:tcPr>
            <w:tcW w:w="2976" w:type="dxa"/>
            <w:tcBorders>
              <w:top w:val="nil"/>
              <w:left w:val="single" w:sz="4" w:space="0" w:color="000000"/>
              <w:bottom w:val="nil"/>
              <w:right w:val="single" w:sz="4" w:space="0" w:color="000000"/>
            </w:tcBorders>
          </w:tcPr>
          <w:p>
            <w:pPr>
              <w:pStyle w:val="TableParagraph"/>
              <w:spacing w:before="11"/>
              <w:ind w:left="74"/>
              <w:rPr>
                <w:sz w:val="20"/>
              </w:rPr>
            </w:pPr>
            <w:r>
              <w:rPr>
                <w:sz w:val="20"/>
              </w:rPr>
              <w:t>Mede o nível de gerenciamento e</w:t>
            </w: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Times New Roman"/>
                <w:sz w:val="20"/>
              </w:rPr>
            </w:pPr>
          </w:p>
        </w:tc>
        <w:tc>
          <w:tcPr>
            <w:tcW w:w="1418" w:type="dxa"/>
            <w:tcBorders>
              <w:top w:val="nil"/>
              <w:left w:val="single" w:sz="4" w:space="0" w:color="000000"/>
              <w:bottom w:val="nil"/>
            </w:tcBorders>
          </w:tcPr>
          <w:p>
            <w:pPr>
              <w:pStyle w:val="TableParagraph"/>
              <w:spacing w:before="11"/>
              <w:ind w:left="78" w:right="46"/>
              <w:jc w:val="center"/>
              <w:rPr>
                <w:sz w:val="20"/>
              </w:rPr>
            </w:pPr>
            <w:r>
              <w:rPr>
                <w:sz w:val="20"/>
              </w:rPr>
              <w:t>Plano de ação</w:t>
            </w:r>
          </w:p>
        </w:tc>
      </w:tr>
      <w:tr>
        <w:trPr>
          <w:trHeight w:val="233" w:hRule="atLeast"/>
        </w:trPr>
        <w:tc>
          <w:tcPr>
            <w:tcW w:w="1419" w:type="dxa"/>
            <w:tcBorders>
              <w:top w:val="nil"/>
              <w:bottom w:val="nil"/>
              <w:right w:val="single" w:sz="4" w:space="0" w:color="000000"/>
            </w:tcBorders>
          </w:tcPr>
          <w:p>
            <w:pPr>
              <w:pStyle w:val="TableParagraph"/>
              <w:rPr>
                <w:rFonts w:ascii="Times New Roman"/>
                <w:sz w:val="16"/>
              </w:rPr>
            </w:pPr>
          </w:p>
        </w:tc>
        <w:tc>
          <w:tcPr>
            <w:tcW w:w="1982" w:type="dxa"/>
            <w:tcBorders>
              <w:top w:val="nil"/>
              <w:left w:val="single" w:sz="4" w:space="0" w:color="000000"/>
              <w:bottom w:val="nil"/>
              <w:right w:val="single" w:sz="4" w:space="0" w:color="000000"/>
            </w:tcBorders>
          </w:tcPr>
          <w:p>
            <w:pPr>
              <w:pStyle w:val="TableParagraph"/>
              <w:rPr>
                <w:rFonts w:ascii="Times New Roman"/>
                <w:sz w:val="16"/>
              </w:rPr>
            </w:pPr>
          </w:p>
        </w:tc>
        <w:tc>
          <w:tcPr>
            <w:tcW w:w="2129" w:type="dxa"/>
            <w:tcBorders>
              <w:top w:val="nil"/>
              <w:left w:val="single" w:sz="4" w:space="0" w:color="000000"/>
              <w:bottom w:val="nil"/>
              <w:right w:val="single" w:sz="4" w:space="0" w:color="000000"/>
            </w:tcBorders>
          </w:tcPr>
          <w:p>
            <w:pPr>
              <w:pStyle w:val="TableParagraph"/>
              <w:spacing w:line="202" w:lineRule="exact"/>
              <w:ind w:left="101" w:right="83"/>
              <w:jc w:val="center"/>
              <w:rPr>
                <w:sz w:val="20"/>
              </w:rPr>
            </w:pPr>
            <w:r>
              <w:rPr>
                <w:sz w:val="20"/>
              </w:rPr>
              <w:t>das metas do Plano de</w:t>
            </w:r>
          </w:p>
        </w:tc>
        <w:tc>
          <w:tcPr>
            <w:tcW w:w="2976" w:type="dxa"/>
            <w:tcBorders>
              <w:top w:val="nil"/>
              <w:left w:val="single" w:sz="4" w:space="0" w:color="000000"/>
              <w:bottom w:val="nil"/>
              <w:right w:val="single" w:sz="4" w:space="0" w:color="000000"/>
            </w:tcBorders>
          </w:tcPr>
          <w:p>
            <w:pPr>
              <w:pStyle w:val="TableParagraph"/>
              <w:tabs>
                <w:tab w:pos="1504" w:val="left" w:leader="none"/>
                <w:tab w:pos="2108" w:val="left" w:leader="none"/>
              </w:tabs>
              <w:spacing w:line="202" w:lineRule="exact"/>
              <w:ind w:left="74"/>
              <w:rPr>
                <w:sz w:val="20"/>
              </w:rPr>
            </w:pPr>
            <w:r>
              <w:rPr>
                <w:sz w:val="20"/>
              </w:rPr>
              <w:t>cumprimento</w:t>
              <w:tab/>
              <w:t>das</w:t>
              <w:tab/>
              <w:t>iniciativas</w:t>
            </w: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spacing w:line="202" w:lineRule="exact"/>
              <w:ind w:left="219" w:right="197"/>
              <w:jc w:val="center"/>
              <w:rPr>
                <w:sz w:val="20"/>
              </w:rPr>
            </w:pPr>
            <w:r>
              <w:rPr>
                <w:sz w:val="20"/>
              </w:rPr>
              <w:t>Semestral</w:t>
            </w:r>
          </w:p>
        </w:tc>
        <w:tc>
          <w:tcPr>
            <w:tcW w:w="1418" w:type="dxa"/>
            <w:tcBorders>
              <w:top w:val="nil"/>
              <w:left w:val="single" w:sz="4" w:space="0" w:color="000000"/>
              <w:bottom w:val="nil"/>
            </w:tcBorders>
          </w:tcPr>
          <w:p>
            <w:pPr>
              <w:pStyle w:val="TableParagraph"/>
              <w:spacing w:line="202" w:lineRule="exact"/>
              <w:ind w:left="78" w:right="46"/>
              <w:jc w:val="center"/>
              <w:rPr>
                <w:sz w:val="20"/>
              </w:rPr>
            </w:pPr>
            <w:r>
              <w:rPr>
                <w:sz w:val="20"/>
              </w:rPr>
              <w:t>do CAU/UF</w:t>
            </w:r>
          </w:p>
        </w:tc>
      </w:tr>
      <w:tr>
        <w:trPr>
          <w:trHeight w:val="345" w:hRule="atLeast"/>
        </w:trPr>
        <w:tc>
          <w:tcPr>
            <w:tcW w:w="1419" w:type="dxa"/>
            <w:tcBorders>
              <w:top w:val="nil"/>
              <w:bottom w:val="nil"/>
              <w:right w:val="single" w:sz="4" w:space="0" w:color="000000"/>
            </w:tcBorders>
          </w:tcPr>
          <w:p>
            <w:pPr>
              <w:pStyle w:val="TableParagraph"/>
              <w:rPr>
                <w:rFonts w:ascii="Times New Roman"/>
                <w:sz w:val="20"/>
              </w:rPr>
            </w:pPr>
          </w:p>
        </w:tc>
        <w:tc>
          <w:tcPr>
            <w:tcW w:w="1982" w:type="dxa"/>
            <w:tcBorders>
              <w:top w:val="nil"/>
              <w:left w:val="single" w:sz="4" w:space="0" w:color="000000"/>
              <w:bottom w:val="nil"/>
              <w:right w:val="single" w:sz="4" w:space="0" w:color="000000"/>
            </w:tcBorders>
          </w:tcPr>
          <w:p>
            <w:pPr>
              <w:pStyle w:val="TableParagraph"/>
              <w:rPr>
                <w:rFonts w:ascii="Times New Roman"/>
                <w:sz w:val="20"/>
              </w:rPr>
            </w:pPr>
          </w:p>
        </w:tc>
        <w:tc>
          <w:tcPr>
            <w:tcW w:w="2129" w:type="dxa"/>
            <w:tcBorders>
              <w:top w:val="nil"/>
              <w:left w:val="single" w:sz="4" w:space="0" w:color="000000"/>
              <w:bottom w:val="nil"/>
              <w:right w:val="single" w:sz="4" w:space="0" w:color="000000"/>
            </w:tcBorders>
          </w:tcPr>
          <w:p>
            <w:pPr>
              <w:pStyle w:val="TableParagraph"/>
              <w:spacing w:line="200" w:lineRule="exact"/>
              <w:ind w:left="103" w:right="83"/>
              <w:jc w:val="center"/>
              <w:rPr>
                <w:sz w:val="20"/>
              </w:rPr>
            </w:pPr>
            <w:r>
              <w:rPr>
                <w:sz w:val="20"/>
              </w:rPr>
              <w:t>Ação (%)</w:t>
            </w:r>
          </w:p>
        </w:tc>
        <w:tc>
          <w:tcPr>
            <w:tcW w:w="2976" w:type="dxa"/>
            <w:tcBorders>
              <w:top w:val="nil"/>
              <w:left w:val="single" w:sz="4" w:space="0" w:color="000000"/>
              <w:bottom w:val="nil"/>
              <w:right w:val="single" w:sz="4" w:space="0" w:color="000000"/>
            </w:tcBorders>
          </w:tcPr>
          <w:p>
            <w:pPr>
              <w:pStyle w:val="TableParagraph"/>
              <w:spacing w:line="200" w:lineRule="exact"/>
              <w:ind w:left="74"/>
              <w:rPr>
                <w:sz w:val="20"/>
              </w:rPr>
            </w:pPr>
            <w:r>
              <w:rPr>
                <w:sz w:val="20"/>
              </w:rPr>
              <w:t>estratégicas</w:t>
            </w: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Times New Roman"/>
                <w:sz w:val="20"/>
              </w:rPr>
            </w:pPr>
          </w:p>
        </w:tc>
        <w:tc>
          <w:tcPr>
            <w:tcW w:w="1418" w:type="dxa"/>
            <w:tcBorders>
              <w:top w:val="nil"/>
              <w:left w:val="single" w:sz="4" w:space="0" w:color="000000"/>
              <w:bottom w:val="nil"/>
            </w:tcBorders>
          </w:tcPr>
          <w:p>
            <w:pPr>
              <w:pStyle w:val="TableParagraph"/>
              <w:spacing w:line="200" w:lineRule="exact"/>
              <w:ind w:left="78" w:right="44"/>
              <w:jc w:val="center"/>
              <w:rPr>
                <w:sz w:val="20"/>
              </w:rPr>
            </w:pPr>
            <w:r>
              <w:rPr>
                <w:sz w:val="20"/>
              </w:rPr>
              <w:t>aprovado</w:t>
            </w:r>
          </w:p>
        </w:tc>
      </w:tr>
      <w:tr>
        <w:trPr>
          <w:trHeight w:val="259" w:hRule="atLeast"/>
        </w:trPr>
        <w:tc>
          <w:tcPr>
            <w:tcW w:w="1419" w:type="dxa"/>
            <w:vMerge w:val="restart"/>
            <w:tcBorders>
              <w:top w:val="nil"/>
              <w:bottom w:val="nil"/>
              <w:right w:val="single" w:sz="4" w:space="0" w:color="000000"/>
            </w:tcBorders>
          </w:tcPr>
          <w:p>
            <w:pPr>
              <w:pStyle w:val="TableParagraph"/>
              <w:spacing w:before="69"/>
              <w:ind w:left="316"/>
              <w:rPr>
                <w:sz w:val="20"/>
              </w:rPr>
            </w:pPr>
            <w:r>
              <w:rPr>
                <w:sz w:val="20"/>
              </w:rPr>
              <w:t>Pessoas e</w:t>
            </w:r>
          </w:p>
        </w:tc>
        <w:tc>
          <w:tcPr>
            <w:tcW w:w="1982"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2129"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2976"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418" w:type="dxa"/>
            <w:tcBorders>
              <w:top w:val="nil"/>
              <w:left w:val="single" w:sz="4" w:space="0" w:color="000000"/>
              <w:bottom w:val="single" w:sz="4" w:space="0" w:color="000000"/>
            </w:tcBorders>
          </w:tcPr>
          <w:p>
            <w:pPr>
              <w:pStyle w:val="TableParagraph"/>
              <w:rPr>
                <w:rFonts w:ascii="Times New Roman"/>
                <w:sz w:val="18"/>
              </w:rPr>
            </w:pPr>
          </w:p>
        </w:tc>
      </w:tr>
      <w:tr>
        <w:trPr>
          <w:trHeight w:val="77" w:hRule="atLeast"/>
        </w:trPr>
        <w:tc>
          <w:tcPr>
            <w:tcW w:w="1419" w:type="dxa"/>
            <w:vMerge/>
            <w:tcBorders>
              <w:top w:val="nil"/>
              <w:bottom w:val="nil"/>
              <w:right w:val="single" w:sz="4" w:space="0" w:color="000000"/>
            </w:tcBorders>
          </w:tcPr>
          <w:p>
            <w:pPr>
              <w:rPr>
                <w:sz w:val="2"/>
                <w:szCs w:val="2"/>
              </w:rPr>
            </w:pPr>
          </w:p>
        </w:tc>
        <w:tc>
          <w:tcPr>
            <w:tcW w:w="1982"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2129"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29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rPr>
                <w:rFonts w:ascii="Calibri Light"/>
                <w:b w:val="0"/>
                <w:sz w:val="28"/>
              </w:rPr>
            </w:pPr>
          </w:p>
          <w:p>
            <w:pPr>
              <w:pStyle w:val="TableParagraph"/>
              <w:ind w:left="74" w:right="53"/>
              <w:jc w:val="both"/>
              <w:rPr>
                <w:sz w:val="20"/>
              </w:rPr>
            </w:pPr>
            <w:r>
              <w:rPr>
                <w:sz w:val="20"/>
              </w:rPr>
              <w:t>Mede o quanto os usuários internos da tecnologia estão satisfeitos com seu uso.</w:t>
            </w:r>
          </w:p>
        </w:tc>
        <w:tc>
          <w:tcPr>
            <w:tcW w:w="3508" w:type="dxa"/>
            <w:vMerge w:val="restart"/>
            <w:tcBorders>
              <w:top w:val="single" w:sz="4" w:space="0" w:color="000000"/>
              <w:left w:val="single" w:sz="4" w:space="0" w:color="000000"/>
              <w:bottom w:val="single" w:sz="4" w:space="0" w:color="000000"/>
              <w:right w:val="nil"/>
            </w:tcBorders>
          </w:tcPr>
          <w:p>
            <w:pPr>
              <w:pStyle w:val="TableParagraph"/>
              <w:spacing w:before="1"/>
              <w:rPr>
                <w:rFonts w:ascii="Calibri Light"/>
                <w:b w:val="0"/>
                <w:sz w:val="20"/>
              </w:rPr>
            </w:pPr>
          </w:p>
          <w:p>
            <w:pPr>
              <w:pStyle w:val="TableParagraph"/>
              <w:spacing w:line="243" w:lineRule="exact" w:before="1"/>
              <w:ind w:left="1" w:right="7"/>
              <w:jc w:val="center"/>
              <w:rPr>
                <w:sz w:val="20"/>
              </w:rPr>
            </w:pPr>
            <w:r>
              <w:rPr>
                <w:sz w:val="20"/>
              </w:rPr>
              <w:t>número de usuários internos satisfeitos</w:t>
            </w:r>
          </w:p>
          <w:p>
            <w:pPr>
              <w:pStyle w:val="TableParagraph"/>
              <w:tabs>
                <w:tab w:pos="1056" w:val="left" w:leader="none"/>
                <w:tab w:pos="3493" w:val="left" w:leader="none"/>
              </w:tabs>
              <w:spacing w:line="249" w:lineRule="auto"/>
              <w:ind w:left="10" w:right="7"/>
              <w:jc w:val="center"/>
              <w:rPr>
                <w:sz w:val="20"/>
              </w:rPr>
            </w:pPr>
            <w:r>
              <w:rPr>
                <w:w w:val="99"/>
                <w:sz w:val="20"/>
                <w:u w:val="single"/>
              </w:rPr>
              <w:t> </w:t>
            </w:r>
            <w:r>
              <w:rPr>
                <w:sz w:val="20"/>
                <w:u w:val="single"/>
              </w:rPr>
              <w:tab/>
              <w:t>com</w:t>
            </w:r>
            <w:r>
              <w:rPr>
                <w:spacing w:val="-5"/>
                <w:sz w:val="20"/>
                <w:u w:val="single"/>
              </w:rPr>
              <w:t> </w:t>
            </w:r>
            <w:r>
              <w:rPr>
                <w:sz w:val="20"/>
                <w:u w:val="single"/>
              </w:rPr>
              <w:t>a</w:t>
            </w:r>
            <w:r>
              <w:rPr>
                <w:spacing w:val="-3"/>
                <w:sz w:val="20"/>
                <w:u w:val="single"/>
              </w:rPr>
              <w:t> </w:t>
            </w:r>
            <w:r>
              <w:rPr>
                <w:sz w:val="20"/>
                <w:u w:val="single"/>
              </w:rPr>
              <w:t>tecnologia</w:t>
              <w:tab/>
            </w:r>
            <w:r>
              <w:rPr>
                <w:sz w:val="20"/>
              </w:rPr>
              <w:t> total de usuários internos que participaram da</w:t>
            </w:r>
            <w:r>
              <w:rPr>
                <w:spacing w:val="-2"/>
                <w:sz w:val="20"/>
              </w:rPr>
              <w:t> </w:t>
            </w:r>
            <w:r>
              <w:rPr>
                <w:sz w:val="20"/>
              </w:rPr>
              <w:t>pesquisa</w:t>
            </w:r>
          </w:p>
        </w:tc>
        <w:tc>
          <w:tcPr>
            <w:tcW w:w="744" w:type="dxa"/>
            <w:vMerge w:val="restart"/>
            <w:tcBorders>
              <w:top w:val="single" w:sz="4" w:space="0" w:color="000000"/>
              <w:left w:val="nil"/>
              <w:bottom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28"/>
              </w:rPr>
            </w:pPr>
          </w:p>
          <w:p>
            <w:pPr>
              <w:pStyle w:val="TableParagraph"/>
              <w:ind w:left="156"/>
              <w:rPr>
                <w:sz w:val="20"/>
              </w:rPr>
            </w:pPr>
            <w:r>
              <w:rPr>
                <w:sz w:val="20"/>
              </w:rPr>
              <w:t>x 100</w:t>
            </w:r>
          </w:p>
        </w:tc>
        <w:tc>
          <w:tcPr>
            <w:tcW w:w="1274" w:type="dxa"/>
            <w:tcBorders>
              <w:top w:val="single" w:sz="4" w:space="0" w:color="000000"/>
              <w:left w:val="single" w:sz="4" w:space="0" w:color="000000"/>
              <w:bottom w:val="nil"/>
              <w:right w:val="single" w:sz="4" w:space="0" w:color="000000"/>
            </w:tcBorders>
          </w:tcPr>
          <w:p>
            <w:pPr>
              <w:pStyle w:val="TableParagraph"/>
              <w:rPr>
                <w:rFonts w:ascii="Times New Roman"/>
                <w:sz w:val="2"/>
              </w:rPr>
            </w:pPr>
          </w:p>
        </w:tc>
        <w:tc>
          <w:tcPr>
            <w:tcW w:w="1418" w:type="dxa"/>
            <w:tcBorders>
              <w:top w:val="single" w:sz="4" w:space="0" w:color="000000"/>
              <w:left w:val="single" w:sz="4" w:space="0" w:color="000000"/>
              <w:bottom w:val="nil"/>
            </w:tcBorders>
          </w:tcPr>
          <w:p>
            <w:pPr>
              <w:pStyle w:val="TableParagraph"/>
              <w:rPr>
                <w:rFonts w:ascii="Times New Roman"/>
                <w:sz w:val="2"/>
              </w:rPr>
            </w:pPr>
          </w:p>
        </w:tc>
      </w:tr>
      <w:tr>
        <w:trPr>
          <w:trHeight w:val="1133" w:hRule="atLeast"/>
        </w:trPr>
        <w:tc>
          <w:tcPr>
            <w:tcW w:w="1419" w:type="dxa"/>
            <w:tcBorders>
              <w:top w:val="nil"/>
              <w:bottom w:val="nil"/>
              <w:right w:val="single" w:sz="4" w:space="0" w:color="000000"/>
            </w:tcBorders>
          </w:tcPr>
          <w:p>
            <w:pPr>
              <w:pStyle w:val="TableParagraph"/>
              <w:spacing w:line="202" w:lineRule="exact"/>
              <w:ind w:left="118" w:right="106"/>
              <w:jc w:val="center"/>
              <w:rPr>
                <w:sz w:val="20"/>
              </w:rPr>
            </w:pPr>
            <w:r>
              <w:rPr>
                <w:sz w:val="20"/>
              </w:rPr>
              <w:t>Infraestrutura</w:t>
            </w:r>
          </w:p>
        </w:tc>
        <w:tc>
          <w:tcPr>
            <w:tcW w:w="1982" w:type="dxa"/>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spacing w:before="8"/>
              <w:rPr>
                <w:rFonts w:ascii="Calibri Light"/>
                <w:b w:val="0"/>
                <w:sz w:val="28"/>
              </w:rPr>
            </w:pPr>
          </w:p>
          <w:p>
            <w:pPr>
              <w:pStyle w:val="TableParagraph"/>
              <w:ind w:left="462" w:right="321" w:hanging="96"/>
              <w:rPr>
                <w:sz w:val="20"/>
              </w:rPr>
            </w:pPr>
            <w:r>
              <w:rPr>
                <w:sz w:val="20"/>
              </w:rPr>
              <w:t>Ter sistemas de informação e</w:t>
            </w:r>
          </w:p>
        </w:tc>
        <w:tc>
          <w:tcPr>
            <w:tcW w:w="2129" w:type="dxa"/>
            <w:tcBorders>
              <w:top w:val="nil"/>
              <w:left w:val="single" w:sz="4" w:space="0" w:color="000000"/>
              <w:bottom w:val="nil"/>
              <w:right w:val="single" w:sz="4" w:space="0" w:color="000000"/>
            </w:tcBorders>
          </w:tcPr>
          <w:p>
            <w:pPr>
              <w:pStyle w:val="TableParagraph"/>
              <w:spacing w:before="140"/>
              <w:ind w:left="124" w:right="105" w:firstLine="3"/>
              <w:jc w:val="center"/>
              <w:rPr>
                <w:b/>
                <w:sz w:val="20"/>
              </w:rPr>
            </w:pPr>
            <w:r>
              <w:rPr>
                <w:sz w:val="20"/>
              </w:rPr>
              <w:t>Índice de satisfação interna com a tecnologia utilizada (%) </w:t>
            </w:r>
            <w:r>
              <w:rPr>
                <w:b/>
                <w:sz w:val="20"/>
              </w:rPr>
              <w:t>(CAU/UF)</w:t>
            </w:r>
          </w:p>
        </w:tc>
        <w:tc>
          <w:tcPr>
            <w:tcW w:w="2976" w:type="dxa"/>
            <w:vMerge/>
            <w:tcBorders>
              <w:top w:val="nil"/>
              <w:left w:val="single" w:sz="4" w:space="0" w:color="000000"/>
              <w:bottom w:val="single" w:sz="4" w:space="0" w:color="000000"/>
              <w:right w:val="single" w:sz="4" w:space="0" w:color="000000"/>
            </w:tcBorders>
          </w:tcPr>
          <w:p>
            <w:pPr>
              <w:rPr>
                <w:sz w:val="2"/>
                <w:szCs w:val="2"/>
              </w:rPr>
            </w:pP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Calibri Light"/>
                <w:b w:val="0"/>
                <w:sz w:val="20"/>
              </w:rPr>
            </w:pPr>
          </w:p>
          <w:p>
            <w:pPr>
              <w:pStyle w:val="TableParagraph"/>
              <w:spacing w:before="7"/>
              <w:rPr>
                <w:rFonts w:ascii="Calibri Light"/>
                <w:b w:val="0"/>
                <w:sz w:val="21"/>
              </w:rPr>
            </w:pPr>
          </w:p>
          <w:p>
            <w:pPr>
              <w:pStyle w:val="TableParagraph"/>
              <w:ind w:left="219" w:right="197"/>
              <w:jc w:val="center"/>
              <w:rPr>
                <w:sz w:val="20"/>
              </w:rPr>
            </w:pPr>
            <w:r>
              <w:rPr>
                <w:sz w:val="20"/>
              </w:rPr>
              <w:t>Semestral</w:t>
            </w:r>
          </w:p>
        </w:tc>
        <w:tc>
          <w:tcPr>
            <w:tcW w:w="1418" w:type="dxa"/>
            <w:tcBorders>
              <w:top w:val="nil"/>
              <w:left w:val="single" w:sz="4" w:space="0" w:color="000000"/>
              <w:bottom w:val="nil"/>
            </w:tcBorders>
          </w:tcPr>
          <w:p>
            <w:pPr>
              <w:pStyle w:val="TableParagraph"/>
              <w:spacing w:before="5"/>
              <w:rPr>
                <w:rFonts w:ascii="Calibri Light"/>
                <w:b w:val="0"/>
                <w:sz w:val="21"/>
              </w:rPr>
            </w:pPr>
          </w:p>
          <w:p>
            <w:pPr>
              <w:pStyle w:val="TableParagraph"/>
              <w:spacing w:before="1"/>
              <w:ind w:left="78" w:right="47"/>
              <w:jc w:val="center"/>
              <w:rPr>
                <w:sz w:val="20"/>
              </w:rPr>
            </w:pPr>
            <w:r>
              <w:rPr>
                <w:sz w:val="20"/>
              </w:rPr>
              <w:t>CAU/UF-</w:t>
            </w:r>
          </w:p>
          <w:p>
            <w:pPr>
              <w:pStyle w:val="TableParagraph"/>
              <w:spacing w:before="1"/>
              <w:ind w:left="78" w:right="45"/>
              <w:jc w:val="center"/>
              <w:rPr>
                <w:sz w:val="20"/>
              </w:rPr>
            </w:pPr>
            <w:r>
              <w:rPr>
                <w:sz w:val="20"/>
              </w:rPr>
              <w:t>Pesquisa de satisfação</w:t>
            </w:r>
          </w:p>
        </w:tc>
      </w:tr>
      <w:tr>
        <w:trPr>
          <w:trHeight w:val="227" w:hRule="atLeast"/>
        </w:trPr>
        <w:tc>
          <w:tcPr>
            <w:tcW w:w="1419" w:type="dxa"/>
            <w:tcBorders>
              <w:top w:val="nil"/>
              <w:bottom w:val="nil"/>
              <w:right w:val="single" w:sz="4" w:space="0" w:color="000000"/>
            </w:tcBorders>
          </w:tcPr>
          <w:p>
            <w:pPr>
              <w:pStyle w:val="TableParagraph"/>
              <w:rPr>
                <w:rFonts w:ascii="Times New Roman"/>
                <w:sz w:val="16"/>
              </w:rPr>
            </w:pPr>
          </w:p>
        </w:tc>
        <w:tc>
          <w:tcPr>
            <w:tcW w:w="1982" w:type="dxa"/>
            <w:tcBorders>
              <w:top w:val="nil"/>
              <w:left w:val="single" w:sz="4" w:space="0" w:color="000000"/>
              <w:bottom w:val="nil"/>
              <w:right w:val="single" w:sz="4" w:space="0" w:color="000000"/>
            </w:tcBorders>
          </w:tcPr>
          <w:p>
            <w:pPr>
              <w:pStyle w:val="TableParagraph"/>
              <w:spacing w:line="185" w:lineRule="exact"/>
              <w:ind w:left="57" w:right="37"/>
              <w:jc w:val="center"/>
              <w:rPr>
                <w:sz w:val="20"/>
              </w:rPr>
            </w:pPr>
            <w:r>
              <w:rPr>
                <w:sz w:val="20"/>
              </w:rPr>
              <w:t>infraestrutura que</w:t>
            </w:r>
          </w:p>
        </w:tc>
        <w:tc>
          <w:tcPr>
            <w:tcW w:w="2129"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2976" w:type="dxa"/>
            <w:vMerge/>
            <w:tcBorders>
              <w:top w:val="nil"/>
              <w:left w:val="single" w:sz="4" w:space="0" w:color="000000"/>
              <w:bottom w:val="single" w:sz="4" w:space="0" w:color="000000"/>
              <w:right w:val="single" w:sz="4" w:space="0" w:color="000000"/>
            </w:tcBorders>
          </w:tcPr>
          <w:p>
            <w:pPr>
              <w:rPr>
                <w:sz w:val="2"/>
                <w:szCs w:val="2"/>
              </w:rPr>
            </w:pPr>
          </w:p>
        </w:tc>
        <w:tc>
          <w:tcPr>
            <w:tcW w:w="3508" w:type="dxa"/>
            <w:vMerge/>
            <w:tcBorders>
              <w:top w:val="nil"/>
              <w:left w:val="single" w:sz="4" w:space="0" w:color="000000"/>
              <w:bottom w:val="single" w:sz="4" w:space="0" w:color="000000"/>
              <w:right w:val="nil"/>
            </w:tcBorders>
          </w:tcPr>
          <w:p>
            <w:pPr>
              <w:rPr>
                <w:sz w:val="2"/>
                <w:szCs w:val="2"/>
              </w:rPr>
            </w:pPr>
          </w:p>
        </w:tc>
        <w:tc>
          <w:tcPr>
            <w:tcW w:w="744" w:type="dxa"/>
            <w:vMerge/>
            <w:tcBorders>
              <w:top w:val="nil"/>
              <w:left w:val="nil"/>
              <w:bottom w:val="single" w:sz="4" w:space="0" w:color="000000"/>
              <w:right w:val="single" w:sz="4" w:space="0" w:color="000000"/>
            </w:tcBorders>
          </w:tcPr>
          <w:p>
            <w:pPr>
              <w:rPr>
                <w:sz w:val="2"/>
                <w:szCs w:val="2"/>
              </w:rPr>
            </w:pPr>
          </w:p>
        </w:tc>
        <w:tc>
          <w:tcPr>
            <w:tcW w:w="1274" w:type="dxa"/>
            <w:tcBorders>
              <w:top w:val="nil"/>
              <w:left w:val="single" w:sz="4" w:space="0" w:color="000000"/>
              <w:bottom w:val="single" w:sz="4" w:space="0" w:color="000000"/>
              <w:right w:val="single" w:sz="4" w:space="0" w:color="000000"/>
            </w:tcBorders>
          </w:tcPr>
          <w:p>
            <w:pPr>
              <w:pStyle w:val="TableParagraph"/>
              <w:rPr>
                <w:rFonts w:ascii="Times New Roman"/>
                <w:sz w:val="16"/>
              </w:rPr>
            </w:pPr>
          </w:p>
        </w:tc>
        <w:tc>
          <w:tcPr>
            <w:tcW w:w="1418" w:type="dxa"/>
            <w:tcBorders>
              <w:top w:val="nil"/>
              <w:left w:val="single" w:sz="4" w:space="0" w:color="000000"/>
              <w:bottom w:val="single" w:sz="4" w:space="0" w:color="000000"/>
            </w:tcBorders>
          </w:tcPr>
          <w:p>
            <w:pPr>
              <w:pStyle w:val="TableParagraph"/>
              <w:rPr>
                <w:rFonts w:ascii="Times New Roman"/>
                <w:sz w:val="16"/>
              </w:rPr>
            </w:pPr>
          </w:p>
        </w:tc>
      </w:tr>
      <w:tr>
        <w:trPr>
          <w:trHeight w:val="219" w:hRule="atLeast"/>
        </w:trPr>
        <w:tc>
          <w:tcPr>
            <w:tcW w:w="1419" w:type="dxa"/>
            <w:tcBorders>
              <w:top w:val="nil"/>
              <w:bottom w:val="nil"/>
              <w:right w:val="single" w:sz="4" w:space="0" w:color="000000"/>
            </w:tcBorders>
          </w:tcPr>
          <w:p>
            <w:pPr>
              <w:pStyle w:val="TableParagraph"/>
              <w:rPr>
                <w:rFonts w:ascii="Times New Roman"/>
                <w:sz w:val="14"/>
              </w:rPr>
            </w:pPr>
          </w:p>
        </w:tc>
        <w:tc>
          <w:tcPr>
            <w:tcW w:w="1982" w:type="dxa"/>
            <w:tcBorders>
              <w:top w:val="nil"/>
              <w:left w:val="single" w:sz="4" w:space="0" w:color="000000"/>
              <w:bottom w:val="nil"/>
              <w:right w:val="single" w:sz="4" w:space="0" w:color="000000"/>
            </w:tcBorders>
          </w:tcPr>
          <w:p>
            <w:pPr>
              <w:pStyle w:val="TableParagraph"/>
              <w:spacing w:line="193" w:lineRule="exact"/>
              <w:ind w:left="59" w:right="37"/>
              <w:jc w:val="center"/>
              <w:rPr>
                <w:sz w:val="20"/>
              </w:rPr>
            </w:pPr>
            <w:r>
              <w:rPr>
                <w:sz w:val="20"/>
              </w:rPr>
              <w:t>viabilizem a gestão e o</w:t>
            </w:r>
          </w:p>
        </w:tc>
        <w:tc>
          <w:tcPr>
            <w:tcW w:w="2129" w:type="dxa"/>
            <w:tcBorders>
              <w:top w:val="single" w:sz="4" w:space="0" w:color="000000"/>
              <w:left w:val="single" w:sz="4" w:space="0" w:color="000000"/>
              <w:bottom w:val="nil"/>
              <w:right w:val="single" w:sz="4" w:space="0" w:color="000000"/>
            </w:tcBorders>
          </w:tcPr>
          <w:p>
            <w:pPr>
              <w:pStyle w:val="TableParagraph"/>
              <w:rPr>
                <w:rFonts w:ascii="Times New Roman"/>
                <w:sz w:val="14"/>
              </w:rPr>
            </w:pPr>
          </w:p>
        </w:tc>
        <w:tc>
          <w:tcPr>
            <w:tcW w:w="2976" w:type="dxa"/>
            <w:vMerge w:val="restart"/>
            <w:tcBorders>
              <w:top w:val="single" w:sz="4" w:space="0" w:color="000000"/>
              <w:left w:val="single" w:sz="4" w:space="0" w:color="000000"/>
              <w:right w:val="single" w:sz="4" w:space="0" w:color="000000"/>
            </w:tcBorders>
          </w:tcPr>
          <w:p>
            <w:pPr>
              <w:pStyle w:val="TableParagraph"/>
              <w:rPr>
                <w:rFonts w:ascii="Calibri Light"/>
                <w:b w:val="0"/>
                <w:sz w:val="20"/>
              </w:rPr>
            </w:pPr>
          </w:p>
          <w:p>
            <w:pPr>
              <w:pStyle w:val="TableParagraph"/>
              <w:spacing w:before="8"/>
              <w:rPr>
                <w:rFonts w:ascii="Calibri Light"/>
                <w:b w:val="0"/>
                <w:sz w:val="25"/>
              </w:rPr>
            </w:pPr>
          </w:p>
          <w:p>
            <w:pPr>
              <w:pStyle w:val="TableParagraph"/>
              <w:ind w:left="74" w:right="53"/>
              <w:jc w:val="both"/>
              <w:rPr>
                <w:sz w:val="20"/>
              </w:rPr>
            </w:pPr>
            <w:r>
              <w:rPr>
                <w:sz w:val="20"/>
              </w:rPr>
              <w:t>Mede o quanto os usuários externos da tecnologia, estão satisfeitos com seu uso.</w:t>
            </w:r>
          </w:p>
        </w:tc>
        <w:tc>
          <w:tcPr>
            <w:tcW w:w="3508" w:type="dxa"/>
            <w:vMerge w:val="restart"/>
            <w:tcBorders>
              <w:top w:val="single" w:sz="4" w:space="0" w:color="000000"/>
              <w:left w:val="single" w:sz="4" w:space="0" w:color="000000"/>
              <w:right w:val="nil"/>
            </w:tcBorders>
          </w:tcPr>
          <w:p>
            <w:pPr>
              <w:pStyle w:val="TableParagraph"/>
              <w:rPr>
                <w:rFonts w:ascii="Calibri Light"/>
                <w:b w:val="0"/>
                <w:sz w:val="20"/>
              </w:rPr>
            </w:pPr>
          </w:p>
          <w:p>
            <w:pPr>
              <w:pStyle w:val="TableParagraph"/>
              <w:spacing w:before="2"/>
              <w:rPr>
                <w:rFonts w:ascii="Calibri Light"/>
                <w:b w:val="0"/>
                <w:sz w:val="19"/>
              </w:rPr>
            </w:pPr>
          </w:p>
          <w:p>
            <w:pPr>
              <w:pStyle w:val="TableParagraph"/>
              <w:ind w:left="2" w:right="7"/>
              <w:jc w:val="center"/>
              <w:rPr>
                <w:sz w:val="20"/>
              </w:rPr>
            </w:pPr>
            <w:r>
              <w:rPr>
                <w:sz w:val="20"/>
              </w:rPr>
              <w:t>número de usuários externos satisfeitos</w:t>
            </w:r>
          </w:p>
          <w:p>
            <w:pPr>
              <w:pStyle w:val="TableParagraph"/>
              <w:tabs>
                <w:tab w:pos="1056" w:val="left" w:leader="none"/>
                <w:tab w:pos="3493" w:val="left" w:leader="none"/>
              </w:tabs>
              <w:spacing w:line="249" w:lineRule="auto" w:before="1"/>
              <w:ind w:left="10" w:right="7"/>
              <w:jc w:val="center"/>
              <w:rPr>
                <w:sz w:val="20"/>
              </w:rPr>
            </w:pPr>
            <w:r>
              <w:rPr>
                <w:w w:val="99"/>
                <w:sz w:val="20"/>
                <w:u w:val="single"/>
              </w:rPr>
              <w:t> </w:t>
            </w:r>
            <w:r>
              <w:rPr>
                <w:sz w:val="20"/>
                <w:u w:val="single"/>
              </w:rPr>
              <w:tab/>
              <w:t>com</w:t>
            </w:r>
            <w:r>
              <w:rPr>
                <w:spacing w:val="-5"/>
                <w:sz w:val="20"/>
                <w:u w:val="single"/>
              </w:rPr>
              <w:t> </w:t>
            </w:r>
            <w:r>
              <w:rPr>
                <w:sz w:val="20"/>
                <w:u w:val="single"/>
              </w:rPr>
              <w:t>a</w:t>
            </w:r>
            <w:r>
              <w:rPr>
                <w:spacing w:val="-3"/>
                <w:sz w:val="20"/>
                <w:u w:val="single"/>
              </w:rPr>
              <w:t> </w:t>
            </w:r>
            <w:r>
              <w:rPr>
                <w:sz w:val="20"/>
                <w:u w:val="single"/>
              </w:rPr>
              <w:t>tecnologia</w:t>
              <w:tab/>
            </w:r>
            <w:r>
              <w:rPr>
                <w:sz w:val="20"/>
              </w:rPr>
              <w:t> total de usuários externos que participaram da</w:t>
            </w:r>
            <w:r>
              <w:rPr>
                <w:spacing w:val="-2"/>
                <w:sz w:val="20"/>
              </w:rPr>
              <w:t> </w:t>
            </w:r>
            <w:r>
              <w:rPr>
                <w:sz w:val="20"/>
              </w:rPr>
              <w:t>pesquisa</w:t>
            </w:r>
          </w:p>
        </w:tc>
        <w:tc>
          <w:tcPr>
            <w:tcW w:w="744" w:type="dxa"/>
            <w:vMerge w:val="restart"/>
            <w:tcBorders>
              <w:top w:val="single" w:sz="4" w:space="0" w:color="000000"/>
              <w:left w:val="nil"/>
              <w:right w:val="single" w:sz="4" w:space="0" w:color="000000"/>
            </w:tcBorders>
          </w:tcPr>
          <w:p>
            <w:pPr>
              <w:pStyle w:val="TableParagraph"/>
              <w:rPr>
                <w:rFonts w:ascii="Calibri Light"/>
                <w:b w:val="0"/>
                <w:sz w:val="20"/>
              </w:rPr>
            </w:pPr>
          </w:p>
          <w:p>
            <w:pPr>
              <w:pStyle w:val="TableParagraph"/>
              <w:rPr>
                <w:rFonts w:ascii="Calibri Light"/>
                <w:b w:val="0"/>
                <w:sz w:val="20"/>
              </w:rPr>
            </w:pPr>
          </w:p>
          <w:p>
            <w:pPr>
              <w:pStyle w:val="TableParagraph"/>
              <w:spacing w:before="9"/>
              <w:rPr>
                <w:rFonts w:ascii="Calibri Light"/>
                <w:b w:val="0"/>
                <w:sz w:val="25"/>
              </w:rPr>
            </w:pPr>
          </w:p>
          <w:p>
            <w:pPr>
              <w:pStyle w:val="TableParagraph"/>
              <w:ind w:left="156"/>
              <w:rPr>
                <w:sz w:val="20"/>
              </w:rPr>
            </w:pPr>
            <w:r>
              <w:rPr>
                <w:sz w:val="20"/>
              </w:rPr>
              <w:t>x 100</w:t>
            </w:r>
          </w:p>
        </w:tc>
        <w:tc>
          <w:tcPr>
            <w:tcW w:w="1274" w:type="dxa"/>
            <w:tcBorders>
              <w:top w:val="single" w:sz="4" w:space="0" w:color="000000"/>
              <w:left w:val="single" w:sz="4" w:space="0" w:color="000000"/>
              <w:bottom w:val="nil"/>
              <w:right w:val="single" w:sz="4" w:space="0" w:color="000000"/>
            </w:tcBorders>
          </w:tcPr>
          <w:p>
            <w:pPr>
              <w:pStyle w:val="TableParagraph"/>
              <w:rPr>
                <w:rFonts w:ascii="Times New Roman"/>
                <w:sz w:val="14"/>
              </w:rPr>
            </w:pPr>
          </w:p>
        </w:tc>
        <w:tc>
          <w:tcPr>
            <w:tcW w:w="1418" w:type="dxa"/>
            <w:tcBorders>
              <w:top w:val="single" w:sz="4" w:space="0" w:color="000000"/>
              <w:left w:val="single" w:sz="4" w:space="0" w:color="000000"/>
              <w:bottom w:val="nil"/>
            </w:tcBorders>
          </w:tcPr>
          <w:p>
            <w:pPr>
              <w:pStyle w:val="TableParagraph"/>
              <w:rPr>
                <w:rFonts w:ascii="Times New Roman"/>
                <w:sz w:val="14"/>
              </w:rPr>
            </w:pPr>
          </w:p>
        </w:tc>
      </w:tr>
      <w:tr>
        <w:trPr>
          <w:trHeight w:val="223" w:hRule="atLeast"/>
        </w:trPr>
        <w:tc>
          <w:tcPr>
            <w:tcW w:w="1419" w:type="dxa"/>
            <w:tcBorders>
              <w:top w:val="nil"/>
              <w:bottom w:val="nil"/>
              <w:right w:val="single" w:sz="4" w:space="0" w:color="000000"/>
            </w:tcBorders>
          </w:tcPr>
          <w:p>
            <w:pPr>
              <w:pStyle w:val="TableParagraph"/>
              <w:rPr>
                <w:rFonts w:ascii="Times New Roman"/>
                <w:sz w:val="14"/>
              </w:rPr>
            </w:pPr>
          </w:p>
        </w:tc>
        <w:tc>
          <w:tcPr>
            <w:tcW w:w="1982" w:type="dxa"/>
            <w:tcBorders>
              <w:top w:val="nil"/>
              <w:left w:val="single" w:sz="4" w:space="0" w:color="000000"/>
              <w:bottom w:val="nil"/>
              <w:right w:val="single" w:sz="4" w:space="0" w:color="000000"/>
            </w:tcBorders>
          </w:tcPr>
          <w:p>
            <w:pPr>
              <w:pStyle w:val="TableParagraph"/>
              <w:spacing w:line="195" w:lineRule="exact"/>
              <w:ind w:left="56" w:right="37"/>
              <w:jc w:val="center"/>
              <w:rPr>
                <w:sz w:val="20"/>
              </w:rPr>
            </w:pPr>
            <w:r>
              <w:rPr>
                <w:sz w:val="20"/>
              </w:rPr>
              <w:t>atendimento dos</w:t>
            </w:r>
          </w:p>
        </w:tc>
        <w:tc>
          <w:tcPr>
            <w:tcW w:w="2129" w:type="dxa"/>
            <w:tcBorders>
              <w:top w:val="nil"/>
              <w:left w:val="single" w:sz="4" w:space="0" w:color="000000"/>
              <w:bottom w:val="nil"/>
              <w:right w:val="single" w:sz="4" w:space="0" w:color="000000"/>
            </w:tcBorders>
          </w:tcPr>
          <w:p>
            <w:pPr>
              <w:pStyle w:val="TableParagraph"/>
              <w:rPr>
                <w:rFonts w:ascii="Times New Roman"/>
                <w:sz w:val="14"/>
              </w:rPr>
            </w:pPr>
          </w:p>
        </w:tc>
        <w:tc>
          <w:tcPr>
            <w:tcW w:w="2976" w:type="dxa"/>
            <w:vMerge/>
            <w:tcBorders>
              <w:top w:val="nil"/>
              <w:left w:val="single" w:sz="4" w:space="0" w:color="000000"/>
              <w:right w:val="single" w:sz="4" w:space="0" w:color="000000"/>
            </w:tcBorders>
          </w:tcPr>
          <w:p>
            <w:pPr>
              <w:rPr>
                <w:sz w:val="2"/>
                <w:szCs w:val="2"/>
              </w:rPr>
            </w:pPr>
          </w:p>
        </w:tc>
        <w:tc>
          <w:tcPr>
            <w:tcW w:w="3508" w:type="dxa"/>
            <w:vMerge/>
            <w:tcBorders>
              <w:top w:val="nil"/>
              <w:left w:val="single" w:sz="4" w:space="0" w:color="000000"/>
              <w:right w:val="nil"/>
            </w:tcBorders>
          </w:tcPr>
          <w:p>
            <w:pPr>
              <w:rPr>
                <w:sz w:val="2"/>
                <w:szCs w:val="2"/>
              </w:rPr>
            </w:pPr>
          </w:p>
        </w:tc>
        <w:tc>
          <w:tcPr>
            <w:tcW w:w="744" w:type="dxa"/>
            <w:vMerge/>
            <w:tcBorders>
              <w:top w:val="nil"/>
              <w:left w:val="nil"/>
              <w:right w:val="single" w:sz="4" w:space="0" w:color="000000"/>
            </w:tcBorders>
          </w:tcPr>
          <w:p>
            <w:pPr>
              <w:rPr>
                <w:sz w:val="2"/>
                <w:szCs w:val="2"/>
              </w:rPr>
            </w:pPr>
          </w:p>
        </w:tc>
        <w:tc>
          <w:tcPr>
            <w:tcW w:w="1274" w:type="dxa"/>
            <w:tcBorders>
              <w:top w:val="nil"/>
              <w:left w:val="single" w:sz="4" w:space="0" w:color="000000"/>
              <w:bottom w:val="nil"/>
              <w:right w:val="single" w:sz="4" w:space="0" w:color="000000"/>
            </w:tcBorders>
          </w:tcPr>
          <w:p>
            <w:pPr>
              <w:pStyle w:val="TableParagraph"/>
              <w:rPr>
                <w:rFonts w:ascii="Times New Roman"/>
                <w:sz w:val="14"/>
              </w:rPr>
            </w:pPr>
          </w:p>
        </w:tc>
        <w:tc>
          <w:tcPr>
            <w:tcW w:w="1418" w:type="dxa"/>
            <w:tcBorders>
              <w:top w:val="nil"/>
              <w:left w:val="single" w:sz="4" w:space="0" w:color="000000"/>
              <w:bottom w:val="nil"/>
            </w:tcBorders>
          </w:tcPr>
          <w:p>
            <w:pPr>
              <w:pStyle w:val="TableParagraph"/>
              <w:rPr>
                <w:rFonts w:ascii="Times New Roman"/>
                <w:sz w:val="14"/>
              </w:rPr>
            </w:pPr>
          </w:p>
        </w:tc>
      </w:tr>
      <w:tr>
        <w:trPr>
          <w:trHeight w:val="1393" w:hRule="atLeast"/>
        </w:trPr>
        <w:tc>
          <w:tcPr>
            <w:tcW w:w="1419" w:type="dxa"/>
            <w:tcBorders>
              <w:top w:val="nil"/>
              <w:right w:val="single" w:sz="4" w:space="0" w:color="000000"/>
            </w:tcBorders>
          </w:tcPr>
          <w:p>
            <w:pPr>
              <w:pStyle w:val="TableParagraph"/>
              <w:rPr>
                <w:rFonts w:ascii="Times New Roman"/>
                <w:sz w:val="20"/>
              </w:rPr>
            </w:pPr>
          </w:p>
        </w:tc>
        <w:tc>
          <w:tcPr>
            <w:tcW w:w="1982" w:type="dxa"/>
            <w:tcBorders>
              <w:top w:val="nil"/>
              <w:left w:val="single" w:sz="4" w:space="0" w:color="000000"/>
              <w:right w:val="single" w:sz="4" w:space="0" w:color="000000"/>
            </w:tcBorders>
          </w:tcPr>
          <w:p>
            <w:pPr>
              <w:pStyle w:val="TableParagraph"/>
              <w:spacing w:line="197" w:lineRule="exact"/>
              <w:ind w:left="505"/>
              <w:rPr>
                <w:sz w:val="20"/>
              </w:rPr>
            </w:pPr>
            <w:r>
              <w:rPr>
                <w:sz w:val="20"/>
              </w:rPr>
              <w:t>arquitetos e</w:t>
            </w:r>
          </w:p>
          <w:p>
            <w:pPr>
              <w:pStyle w:val="TableParagraph"/>
              <w:ind w:left="587" w:right="389" w:hanging="156"/>
              <w:rPr>
                <w:sz w:val="20"/>
              </w:rPr>
            </w:pPr>
            <w:r>
              <w:rPr>
                <w:sz w:val="20"/>
              </w:rPr>
              <w:t>urbanistas e a sociedade</w:t>
            </w:r>
          </w:p>
        </w:tc>
        <w:tc>
          <w:tcPr>
            <w:tcW w:w="2129" w:type="dxa"/>
            <w:tcBorders>
              <w:top w:val="nil"/>
              <w:left w:val="single" w:sz="4" w:space="0" w:color="000000"/>
              <w:right w:val="single" w:sz="4" w:space="0" w:color="000000"/>
            </w:tcBorders>
          </w:tcPr>
          <w:p>
            <w:pPr>
              <w:pStyle w:val="TableParagraph"/>
              <w:spacing w:line="197" w:lineRule="exact"/>
              <w:ind w:left="103" w:right="83"/>
              <w:jc w:val="center"/>
              <w:rPr>
                <w:sz w:val="20"/>
              </w:rPr>
            </w:pPr>
            <w:r>
              <w:rPr>
                <w:sz w:val="20"/>
              </w:rPr>
              <w:t>Índice de satisfação</w:t>
            </w:r>
          </w:p>
          <w:p>
            <w:pPr>
              <w:pStyle w:val="TableParagraph"/>
              <w:ind w:left="124" w:right="105" w:firstLine="4"/>
              <w:jc w:val="center"/>
              <w:rPr>
                <w:b/>
                <w:sz w:val="20"/>
              </w:rPr>
            </w:pPr>
            <w:r>
              <w:rPr>
                <w:sz w:val="20"/>
              </w:rPr>
              <w:t>externa com a tecnologia utilizada (%) </w:t>
            </w:r>
            <w:r>
              <w:rPr>
                <w:b/>
                <w:sz w:val="20"/>
              </w:rPr>
              <w:t>(CAU/UF)</w:t>
            </w:r>
          </w:p>
        </w:tc>
        <w:tc>
          <w:tcPr>
            <w:tcW w:w="2976" w:type="dxa"/>
            <w:vMerge/>
            <w:tcBorders>
              <w:top w:val="nil"/>
              <w:left w:val="single" w:sz="4" w:space="0" w:color="000000"/>
              <w:right w:val="single" w:sz="4" w:space="0" w:color="000000"/>
            </w:tcBorders>
          </w:tcPr>
          <w:p>
            <w:pPr>
              <w:rPr>
                <w:sz w:val="2"/>
                <w:szCs w:val="2"/>
              </w:rPr>
            </w:pPr>
          </w:p>
        </w:tc>
        <w:tc>
          <w:tcPr>
            <w:tcW w:w="3508" w:type="dxa"/>
            <w:vMerge/>
            <w:tcBorders>
              <w:top w:val="nil"/>
              <w:left w:val="single" w:sz="4" w:space="0" w:color="000000"/>
              <w:right w:val="nil"/>
            </w:tcBorders>
          </w:tcPr>
          <w:p>
            <w:pPr>
              <w:rPr>
                <w:sz w:val="2"/>
                <w:szCs w:val="2"/>
              </w:rPr>
            </w:pPr>
          </w:p>
        </w:tc>
        <w:tc>
          <w:tcPr>
            <w:tcW w:w="744" w:type="dxa"/>
            <w:vMerge/>
            <w:tcBorders>
              <w:top w:val="nil"/>
              <w:left w:val="nil"/>
              <w:right w:val="single" w:sz="4" w:space="0" w:color="000000"/>
            </w:tcBorders>
          </w:tcPr>
          <w:p>
            <w:pPr>
              <w:rPr>
                <w:sz w:val="2"/>
                <w:szCs w:val="2"/>
              </w:rPr>
            </w:pPr>
          </w:p>
        </w:tc>
        <w:tc>
          <w:tcPr>
            <w:tcW w:w="1274" w:type="dxa"/>
            <w:tcBorders>
              <w:top w:val="nil"/>
              <w:left w:val="single" w:sz="4" w:space="0" w:color="000000"/>
              <w:right w:val="single" w:sz="4" w:space="0" w:color="000000"/>
            </w:tcBorders>
          </w:tcPr>
          <w:p>
            <w:pPr>
              <w:pStyle w:val="TableParagraph"/>
              <w:spacing w:before="2"/>
              <w:rPr>
                <w:rFonts w:ascii="Calibri Light"/>
                <w:b w:val="0"/>
                <w:sz w:val="26"/>
              </w:rPr>
            </w:pPr>
          </w:p>
          <w:p>
            <w:pPr>
              <w:pStyle w:val="TableParagraph"/>
              <w:ind w:left="219" w:right="197"/>
              <w:jc w:val="center"/>
              <w:rPr>
                <w:sz w:val="20"/>
              </w:rPr>
            </w:pPr>
            <w:r>
              <w:rPr>
                <w:sz w:val="20"/>
              </w:rPr>
              <w:t>Semestral</w:t>
            </w:r>
          </w:p>
        </w:tc>
        <w:tc>
          <w:tcPr>
            <w:tcW w:w="1418" w:type="dxa"/>
            <w:tcBorders>
              <w:top w:val="nil"/>
              <w:left w:val="single" w:sz="4" w:space="0" w:color="000000"/>
            </w:tcBorders>
          </w:tcPr>
          <w:p>
            <w:pPr>
              <w:pStyle w:val="TableParagraph"/>
              <w:spacing w:before="75"/>
              <w:ind w:left="78" w:right="47"/>
              <w:jc w:val="center"/>
              <w:rPr>
                <w:sz w:val="20"/>
              </w:rPr>
            </w:pPr>
            <w:r>
              <w:rPr>
                <w:sz w:val="20"/>
              </w:rPr>
              <w:t>CAU/UF-</w:t>
            </w:r>
          </w:p>
          <w:p>
            <w:pPr>
              <w:pStyle w:val="TableParagraph"/>
              <w:ind w:left="78" w:right="45"/>
              <w:jc w:val="center"/>
              <w:rPr>
                <w:sz w:val="20"/>
              </w:rPr>
            </w:pPr>
            <w:r>
              <w:rPr>
                <w:sz w:val="20"/>
              </w:rPr>
              <w:t>Pesquisa de satisfação</w:t>
            </w:r>
          </w:p>
        </w:tc>
      </w:tr>
    </w:tbl>
    <w:p>
      <w:pPr>
        <w:spacing w:after="0"/>
        <w:jc w:val="center"/>
        <w:rPr>
          <w:sz w:val="20"/>
        </w:rPr>
        <w:sectPr>
          <w:headerReference w:type="default" r:id="rId45"/>
          <w:footerReference w:type="default" r:id="rId46"/>
          <w:pgSz w:w="16840" w:h="11910" w:orient="landscape"/>
          <w:pgMar w:header="590" w:footer="618" w:top="2000" w:bottom="800" w:left="440" w:right="400"/>
        </w:sectPr>
      </w:pPr>
    </w:p>
    <w:p>
      <w:pPr>
        <w:pStyle w:val="BodyText"/>
        <w:rPr>
          <w:rFonts w:ascii="Calibri Light"/>
          <w:b w:val="0"/>
          <w:sz w:val="20"/>
        </w:rPr>
      </w:pPr>
      <w:r>
        <w:rPr/>
        <w:drawing>
          <wp:anchor distT="0" distB="0" distL="0" distR="0" allowOverlap="1" layoutInCell="1" locked="0" behindDoc="0" simplePos="0" relativeHeight="15735296">
            <wp:simplePos x="0" y="0"/>
            <wp:positionH relativeFrom="page">
              <wp:posOffset>0</wp:posOffset>
            </wp:positionH>
            <wp:positionV relativeFrom="page">
              <wp:posOffset>374395</wp:posOffset>
            </wp:positionV>
            <wp:extent cx="7558403" cy="561593"/>
            <wp:effectExtent l="0" t="0" r="0" b="0"/>
            <wp:wrapNone/>
            <wp:docPr id="53" name="image1.jpeg"/>
            <wp:cNvGraphicFramePr>
              <a:graphicFrameLocks noChangeAspect="1"/>
            </wp:cNvGraphicFramePr>
            <a:graphic>
              <a:graphicData uri="http://schemas.openxmlformats.org/drawingml/2006/picture">
                <pic:pic>
                  <pic:nvPicPr>
                    <pic:cNvPr id="54"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0"/>
        </w:rPr>
      </w:pPr>
    </w:p>
    <w:p>
      <w:pPr>
        <w:pStyle w:val="Heading1"/>
        <w:spacing w:line="360" w:lineRule="auto" w:before="11"/>
        <w:ind w:left="4453" w:right="1989" w:hanging="1890"/>
        <w:jc w:val="left"/>
        <w:rPr>
          <w:b w:val="0"/>
        </w:rPr>
      </w:pPr>
      <w:r>
        <w:rPr>
          <w:b w:val="0"/>
          <w:color w:val="006666"/>
        </w:rPr>
        <w:t>ANEXO II – Indicadores Institucionais e de Resultado – CAU/BR</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8"/>
        <w:rPr>
          <w:rFonts w:ascii="Calibri Light"/>
          <w:b w:val="0"/>
          <w:sz w:val="26"/>
        </w:rPr>
      </w:pPr>
      <w:r>
        <w:rPr/>
        <w:pict>
          <v:group style="position:absolute;margin-left:97.699997pt;margin-top:18.246876pt;width:431.25pt;height:5.05pt;mso-position-horizontal-relative:page;mso-position-vertical-relative:paragraph;z-index:-15722496;mso-wrap-distance-left:0;mso-wrap-distance-right:0" coordorigin="1954,365" coordsize="8625,101">
            <v:shape style="position:absolute;left:1961;top:372;width:8610;height:86" coordorigin="1961,372" coordsize="8610,86" path="m6266,372l1961,415,6266,458,10571,415,6266,372xe" filled="true" fillcolor="#bebebe" stroked="false">
              <v:path arrowok="t"/>
              <v:fill type="solid"/>
            </v:shape>
            <v:shape style="position:absolute;left:1961;top:372;width:8610;height:86" coordorigin="1961,372" coordsize="8610,86" path="m1961,415l6266,372,10571,415,6266,458,1961,415xe" filled="false" stroked="true" strokeweight=".75pt" strokecolor="#bebebe">
              <v:path arrowok="t"/>
              <v:stroke dashstyle="solid"/>
            </v:shape>
            <w10:wrap type="topAndBottom"/>
          </v:group>
        </w:pict>
      </w:r>
    </w:p>
    <w:p>
      <w:pPr>
        <w:spacing w:after="0"/>
        <w:rPr>
          <w:rFonts w:ascii="Calibri Light"/>
          <w:sz w:val="26"/>
        </w:rPr>
        <w:sectPr>
          <w:headerReference w:type="default" r:id="rId47"/>
          <w:footerReference w:type="default" r:id="rId48"/>
          <w:pgSz w:w="11910" w:h="16840"/>
          <w:pgMar w:header="0" w:footer="446" w:top="580" w:bottom="640" w:left="0" w:right="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5"/>
        <w:gridCol w:w="5635"/>
        <w:gridCol w:w="944"/>
        <w:gridCol w:w="1786"/>
        <w:gridCol w:w="1985"/>
      </w:tblGrid>
      <w:tr>
        <w:trPr>
          <w:trHeight w:val="1589" w:hRule="atLeast"/>
        </w:trPr>
        <w:tc>
          <w:tcPr>
            <w:tcW w:w="5245" w:type="dxa"/>
            <w:tcBorders>
              <w:top w:val="nil"/>
              <w:bottom w:val="single" w:sz="4" w:space="0" w:color="000000"/>
              <w:right w:val="single" w:sz="4" w:space="0" w:color="000000"/>
            </w:tcBorders>
            <w:shd w:val="clear" w:color="auto" w:fill="008080"/>
          </w:tcPr>
          <w:p>
            <w:pPr>
              <w:pStyle w:val="TableParagraph"/>
              <w:rPr>
                <w:rFonts w:ascii="Calibri Light"/>
                <w:b w:val="0"/>
                <w:sz w:val="29"/>
              </w:rPr>
            </w:pPr>
          </w:p>
          <w:p>
            <w:pPr>
              <w:pStyle w:val="TableParagraph"/>
              <w:ind w:left="69"/>
              <w:rPr>
                <w:b/>
                <w:sz w:val="24"/>
              </w:rPr>
            </w:pPr>
            <w:bookmarkStart w:name="_bookmark36" w:id="58"/>
            <w:bookmarkEnd w:id="58"/>
            <w:r>
              <w:rPr/>
            </w:r>
            <w:bookmarkStart w:name="_bookmark37" w:id="59"/>
            <w:bookmarkEnd w:id="59"/>
            <w:r>
              <w:rPr/>
            </w:r>
            <w:r>
              <w:rPr>
                <w:b/>
                <w:color w:val="FFFFFF"/>
                <w:sz w:val="24"/>
              </w:rPr>
              <w:t>Ser reconhecido como referência na defesa e fomento das boas práticas da Arquitetura e Urbanismo</w:t>
            </w:r>
          </w:p>
        </w:tc>
        <w:tc>
          <w:tcPr>
            <w:tcW w:w="6579" w:type="dxa"/>
            <w:gridSpan w:val="2"/>
            <w:tcBorders>
              <w:top w:val="nil"/>
              <w:left w:val="single" w:sz="4" w:space="0" w:color="000000"/>
              <w:bottom w:val="single" w:sz="4" w:space="0" w:color="000000"/>
              <w:right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406" w:right="1387"/>
              <w:jc w:val="center"/>
              <w:rPr>
                <w:b/>
                <w:sz w:val="24"/>
              </w:rPr>
            </w:pPr>
            <w:r>
              <w:rPr>
                <w:b/>
                <w:color w:val="FFFFFF"/>
                <w:sz w:val="24"/>
              </w:rPr>
              <w:t>Fórmula</w:t>
            </w:r>
          </w:p>
        </w:tc>
        <w:tc>
          <w:tcPr>
            <w:tcW w:w="1786" w:type="dxa"/>
            <w:tcBorders>
              <w:top w:val="nil"/>
              <w:left w:val="single" w:sz="4" w:space="0" w:color="000000"/>
              <w:bottom w:val="single" w:sz="4" w:space="0" w:color="000000"/>
              <w:right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93" w:right="175"/>
              <w:jc w:val="center"/>
              <w:rPr>
                <w:b/>
                <w:sz w:val="24"/>
              </w:rPr>
            </w:pPr>
            <w:r>
              <w:rPr>
                <w:b/>
                <w:color w:val="FFFFFF"/>
                <w:sz w:val="24"/>
              </w:rPr>
              <w:t>Periodicidade</w:t>
            </w:r>
          </w:p>
        </w:tc>
        <w:tc>
          <w:tcPr>
            <w:tcW w:w="1985" w:type="dxa"/>
            <w:tcBorders>
              <w:top w:val="nil"/>
              <w:left w:val="single" w:sz="4" w:space="0" w:color="000000"/>
              <w:bottom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27" w:right="104"/>
              <w:jc w:val="center"/>
              <w:rPr>
                <w:b/>
                <w:sz w:val="24"/>
              </w:rPr>
            </w:pPr>
            <w:r>
              <w:rPr>
                <w:b/>
                <w:color w:val="FFFFFF"/>
                <w:sz w:val="24"/>
              </w:rPr>
              <w:t>ÁREA</w:t>
            </w:r>
          </w:p>
        </w:tc>
      </w:tr>
      <w:tr>
        <w:trPr>
          <w:trHeight w:val="1226" w:hRule="atLeast"/>
        </w:trPr>
        <w:tc>
          <w:tcPr>
            <w:tcW w:w="5245" w:type="dxa"/>
            <w:tcBorders>
              <w:top w:val="single" w:sz="4" w:space="0" w:color="000000"/>
              <w:bottom w:val="single" w:sz="4" w:space="0" w:color="000000"/>
              <w:right w:val="single" w:sz="4" w:space="0" w:color="000000"/>
            </w:tcBorders>
          </w:tcPr>
          <w:p>
            <w:pPr>
              <w:pStyle w:val="TableParagraph"/>
              <w:spacing w:before="3"/>
              <w:rPr>
                <w:rFonts w:ascii="Calibri Light"/>
                <w:b w:val="0"/>
                <w:sz w:val="26"/>
              </w:rPr>
            </w:pPr>
          </w:p>
          <w:p>
            <w:pPr>
              <w:pStyle w:val="TableParagraph"/>
              <w:ind w:left="69"/>
              <w:rPr>
                <w:sz w:val="24"/>
              </w:rPr>
            </w:pPr>
            <w:r>
              <w:rPr>
                <w:sz w:val="24"/>
              </w:rPr>
              <w:t>Imagem do CAU junto à sociedade</w:t>
            </w:r>
          </w:p>
          <w:p>
            <w:pPr>
              <w:pStyle w:val="TableParagraph"/>
              <w:ind w:left="69"/>
              <w:rPr>
                <w:b/>
                <w:sz w:val="24"/>
              </w:rPr>
            </w:pPr>
            <w:r>
              <w:rPr>
                <w:b/>
                <w:sz w:val="24"/>
              </w:rPr>
              <w:t>(CAU/BR)</w:t>
            </w:r>
          </w:p>
        </w:tc>
        <w:tc>
          <w:tcPr>
            <w:tcW w:w="657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72"/>
              <w:ind w:left="1408" w:right="1387"/>
              <w:jc w:val="center"/>
              <w:rPr>
                <w:sz w:val="24"/>
              </w:rPr>
            </w:pPr>
            <w:r>
              <w:rPr>
                <w:sz w:val="24"/>
              </w:rPr>
              <w:t>Pesquisa de imagem junto à sociedade (arquitetos e sociedade em geral) (valor do ano)</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4"/>
              </w:rPr>
            </w:pPr>
          </w:p>
          <w:p>
            <w:pPr>
              <w:pStyle w:val="TableParagraph"/>
              <w:spacing w:before="174"/>
              <w:ind w:left="193" w:right="172"/>
              <w:jc w:val="center"/>
              <w:rPr>
                <w:sz w:val="24"/>
              </w:rPr>
            </w:pPr>
            <w:r>
              <w:rPr>
                <w:sz w:val="24"/>
              </w:rPr>
              <w:t>anual</w:t>
            </w:r>
          </w:p>
        </w:tc>
        <w:tc>
          <w:tcPr>
            <w:tcW w:w="1985" w:type="dxa"/>
            <w:tcBorders>
              <w:top w:val="single" w:sz="4" w:space="0" w:color="000000"/>
              <w:left w:val="single" w:sz="4" w:space="0" w:color="000000"/>
              <w:bottom w:val="single" w:sz="4" w:space="0" w:color="000000"/>
            </w:tcBorders>
          </w:tcPr>
          <w:p>
            <w:pPr>
              <w:pStyle w:val="TableParagraph"/>
              <w:spacing w:before="172"/>
              <w:ind w:left="128" w:right="104"/>
              <w:jc w:val="center"/>
              <w:rPr>
                <w:sz w:val="24"/>
              </w:rPr>
            </w:pPr>
            <w:r>
              <w:rPr>
                <w:sz w:val="24"/>
              </w:rPr>
              <w:t>Assessoria de Comunicação Social</w:t>
            </w:r>
          </w:p>
        </w:tc>
      </w:tr>
      <w:tr>
        <w:trPr>
          <w:trHeight w:val="1591" w:hRule="atLeast"/>
        </w:trPr>
        <w:tc>
          <w:tcPr>
            <w:tcW w:w="5245" w:type="dxa"/>
            <w:tcBorders>
              <w:top w:val="single" w:sz="4" w:space="0" w:color="000000"/>
              <w:bottom w:val="single" w:sz="4" w:space="0" w:color="000000"/>
              <w:right w:val="single" w:sz="4" w:space="0" w:color="000000"/>
            </w:tcBorders>
            <w:shd w:val="clear" w:color="auto" w:fill="008080"/>
          </w:tcPr>
          <w:p>
            <w:pPr>
              <w:pStyle w:val="TableParagraph"/>
              <w:rPr>
                <w:rFonts w:ascii="Calibri Light"/>
                <w:b w:val="0"/>
                <w:sz w:val="29"/>
              </w:rPr>
            </w:pPr>
          </w:p>
          <w:p>
            <w:pPr>
              <w:pStyle w:val="TableParagraph"/>
              <w:spacing w:before="1"/>
              <w:ind w:left="69"/>
              <w:rPr>
                <w:b/>
                <w:sz w:val="24"/>
              </w:rPr>
            </w:pPr>
            <w:r>
              <w:rPr>
                <w:b/>
                <w:color w:val="FFFFFF"/>
                <w:sz w:val="24"/>
              </w:rPr>
              <w:t>Assegurar a eficácia no atendimento e no relacionamento com os arquitetos e urbanistas e a sociedade</w:t>
            </w:r>
          </w:p>
        </w:tc>
        <w:tc>
          <w:tcPr>
            <w:tcW w:w="6579" w:type="dxa"/>
            <w:gridSpan w:val="2"/>
            <w:tcBorders>
              <w:top w:val="single" w:sz="4" w:space="0" w:color="000000"/>
              <w:left w:val="single" w:sz="4" w:space="0" w:color="000000"/>
              <w:bottom w:val="single" w:sz="4" w:space="0" w:color="000000"/>
              <w:right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406" w:right="1387"/>
              <w:jc w:val="center"/>
              <w:rPr>
                <w:b/>
                <w:sz w:val="24"/>
              </w:rPr>
            </w:pPr>
            <w:r>
              <w:rPr>
                <w:b/>
                <w:color w:val="FFFFFF"/>
                <w:sz w:val="24"/>
              </w:rPr>
              <w:t>Fórmula</w:t>
            </w:r>
          </w:p>
        </w:tc>
        <w:tc>
          <w:tcPr>
            <w:tcW w:w="1786" w:type="dxa"/>
            <w:tcBorders>
              <w:top w:val="single" w:sz="4" w:space="0" w:color="000000"/>
              <w:left w:val="single" w:sz="4" w:space="0" w:color="000000"/>
              <w:bottom w:val="single" w:sz="4" w:space="0" w:color="000000"/>
              <w:right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93" w:right="175"/>
              <w:jc w:val="center"/>
              <w:rPr>
                <w:b/>
                <w:sz w:val="24"/>
              </w:rPr>
            </w:pPr>
            <w:r>
              <w:rPr>
                <w:b/>
                <w:color w:val="FFFFFF"/>
                <w:sz w:val="24"/>
              </w:rPr>
              <w:t>Periodicidade</w:t>
            </w:r>
          </w:p>
        </w:tc>
        <w:tc>
          <w:tcPr>
            <w:tcW w:w="1985" w:type="dxa"/>
            <w:tcBorders>
              <w:top w:val="single" w:sz="4" w:space="0" w:color="000000"/>
              <w:left w:val="single" w:sz="4" w:space="0" w:color="000000"/>
              <w:bottom w:val="single" w:sz="4"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27" w:right="104"/>
              <w:jc w:val="center"/>
              <w:rPr>
                <w:b/>
                <w:sz w:val="24"/>
              </w:rPr>
            </w:pPr>
            <w:r>
              <w:rPr>
                <w:b/>
                <w:color w:val="FFFFFF"/>
                <w:sz w:val="24"/>
              </w:rPr>
              <w:t>ÁREA</w:t>
            </w:r>
          </w:p>
        </w:tc>
      </w:tr>
      <w:tr>
        <w:trPr>
          <w:trHeight w:val="719" w:hRule="atLeast"/>
        </w:trPr>
        <w:tc>
          <w:tcPr>
            <w:tcW w:w="5245" w:type="dxa"/>
            <w:vMerge w:val="restart"/>
            <w:tcBorders>
              <w:top w:val="single" w:sz="4" w:space="0" w:color="000000"/>
              <w:bottom w:val="single" w:sz="4" w:space="0" w:color="000000"/>
              <w:right w:val="single" w:sz="4" w:space="0" w:color="808080"/>
            </w:tcBorders>
          </w:tcPr>
          <w:p>
            <w:pPr>
              <w:pStyle w:val="TableParagraph"/>
              <w:spacing w:before="10"/>
              <w:rPr>
                <w:rFonts w:ascii="Calibri Light"/>
                <w:b w:val="0"/>
                <w:sz w:val="25"/>
              </w:rPr>
            </w:pPr>
          </w:p>
          <w:p>
            <w:pPr>
              <w:pStyle w:val="TableParagraph"/>
              <w:spacing w:before="1"/>
              <w:ind w:left="69"/>
              <w:rPr>
                <w:sz w:val="24"/>
              </w:rPr>
            </w:pPr>
            <w:r>
              <w:rPr>
                <w:sz w:val="24"/>
              </w:rPr>
              <w:t>Índice de atendimento (%)</w:t>
            </w:r>
          </w:p>
          <w:p>
            <w:pPr>
              <w:pStyle w:val="TableParagraph"/>
              <w:ind w:left="69"/>
              <w:rPr>
                <w:b/>
                <w:sz w:val="24"/>
              </w:rPr>
            </w:pPr>
            <w:r>
              <w:rPr>
                <w:b/>
                <w:sz w:val="24"/>
              </w:rPr>
              <w:t>(CAU/BR)</w:t>
            </w:r>
          </w:p>
        </w:tc>
        <w:tc>
          <w:tcPr>
            <w:tcW w:w="5635" w:type="dxa"/>
            <w:tcBorders>
              <w:top w:val="single" w:sz="4" w:space="0" w:color="000000"/>
              <w:left w:val="single" w:sz="4" w:space="0" w:color="808080"/>
              <w:bottom w:val="nil"/>
              <w:right w:val="nil"/>
            </w:tcBorders>
          </w:tcPr>
          <w:p>
            <w:pPr>
              <w:pStyle w:val="TableParagraph"/>
              <w:spacing w:before="69"/>
              <w:ind w:left="257" w:right="199"/>
              <w:jc w:val="center"/>
              <w:rPr>
                <w:sz w:val="24"/>
              </w:rPr>
            </w:pPr>
            <w:r>
              <w:rPr>
                <w:sz w:val="24"/>
              </w:rPr>
              <w:t>Número de solicitações tratadas no prazo estipulado</w:t>
            </w:r>
          </w:p>
          <w:p>
            <w:pPr>
              <w:pStyle w:val="TableParagraph"/>
              <w:tabs>
                <w:tab w:pos="1137" w:val="left" w:leader="none"/>
                <w:tab w:pos="5686" w:val="left" w:leader="none"/>
              </w:tabs>
              <w:spacing w:before="2"/>
              <w:ind w:left="-1" w:right="-58"/>
              <w:jc w:val="center"/>
              <w:rPr>
                <w:sz w:val="24"/>
              </w:rPr>
            </w:pPr>
            <w:r>
              <w:rPr>
                <w:sz w:val="24"/>
                <w:u w:val="single"/>
              </w:rPr>
              <w:t> </w:t>
              <w:tab/>
              <w:t>pela Carta de Serviços no</w:t>
            </w:r>
            <w:r>
              <w:rPr>
                <w:spacing w:val="-13"/>
                <w:sz w:val="24"/>
                <w:u w:val="single"/>
              </w:rPr>
              <w:t> </w:t>
            </w:r>
            <w:r>
              <w:rPr>
                <w:sz w:val="24"/>
                <w:u w:val="single"/>
              </w:rPr>
              <w:t>trimestre</w:t>
              <w:tab/>
            </w:r>
          </w:p>
        </w:tc>
        <w:tc>
          <w:tcPr>
            <w:tcW w:w="944" w:type="dxa"/>
            <w:tcBorders>
              <w:top w:val="single" w:sz="4" w:space="0" w:color="000000"/>
              <w:left w:val="nil"/>
              <w:bottom w:val="nil"/>
              <w:right w:val="single" w:sz="4" w:space="0" w:color="000000"/>
            </w:tcBorders>
          </w:tcPr>
          <w:p>
            <w:pPr>
              <w:pStyle w:val="TableParagraph"/>
              <w:rPr>
                <w:rFonts w:ascii="Calibri Light"/>
                <w:b w:val="0"/>
                <w:sz w:val="24"/>
              </w:rPr>
            </w:pPr>
          </w:p>
          <w:p>
            <w:pPr>
              <w:pStyle w:val="TableParagraph"/>
              <w:spacing w:line="237" w:lineRule="exact" w:before="169"/>
              <w:ind w:right="171"/>
              <w:jc w:val="right"/>
              <w:rPr>
                <w:sz w:val="24"/>
              </w:rPr>
            </w:pPr>
            <w:r>
              <w:rPr>
                <w:sz w:val="24"/>
              </w:rPr>
              <w:t>x 100</w:t>
            </w:r>
          </w:p>
        </w:tc>
        <w:tc>
          <w:tcPr>
            <w:tcW w:w="178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4"/>
              </w:rPr>
            </w:pPr>
          </w:p>
          <w:p>
            <w:pPr>
              <w:pStyle w:val="TableParagraph"/>
              <w:spacing w:before="169"/>
              <w:ind w:left="398"/>
              <w:rPr>
                <w:sz w:val="24"/>
              </w:rPr>
            </w:pPr>
            <w:r>
              <w:rPr>
                <w:sz w:val="24"/>
              </w:rPr>
              <w:t>Trimestral</w:t>
            </w:r>
          </w:p>
        </w:tc>
        <w:tc>
          <w:tcPr>
            <w:tcW w:w="1985" w:type="dxa"/>
            <w:vMerge w:val="restart"/>
            <w:tcBorders>
              <w:top w:val="single" w:sz="4" w:space="0" w:color="000000"/>
              <w:left w:val="single" w:sz="4" w:space="0" w:color="000000"/>
              <w:bottom w:val="single" w:sz="4" w:space="0" w:color="000000"/>
            </w:tcBorders>
          </w:tcPr>
          <w:p>
            <w:pPr>
              <w:pStyle w:val="TableParagraph"/>
              <w:rPr>
                <w:rFonts w:ascii="Calibri Light"/>
                <w:b w:val="0"/>
                <w:sz w:val="24"/>
              </w:rPr>
            </w:pPr>
          </w:p>
          <w:p>
            <w:pPr>
              <w:pStyle w:val="TableParagraph"/>
              <w:spacing w:before="169"/>
              <w:ind w:left="518"/>
              <w:rPr>
                <w:sz w:val="24"/>
              </w:rPr>
            </w:pPr>
            <w:r>
              <w:rPr>
                <w:sz w:val="24"/>
              </w:rPr>
              <w:t>Ouvidoria</w:t>
            </w:r>
          </w:p>
        </w:tc>
      </w:tr>
      <w:tr>
        <w:trPr>
          <w:trHeight w:val="490" w:hRule="atLeast"/>
        </w:trPr>
        <w:tc>
          <w:tcPr>
            <w:tcW w:w="5245" w:type="dxa"/>
            <w:vMerge/>
            <w:tcBorders>
              <w:top w:val="nil"/>
              <w:bottom w:val="single" w:sz="4" w:space="0" w:color="000000"/>
              <w:right w:val="single" w:sz="4" w:space="0" w:color="808080"/>
            </w:tcBorders>
          </w:tcPr>
          <w:p>
            <w:pPr>
              <w:rPr>
                <w:sz w:val="2"/>
                <w:szCs w:val="2"/>
              </w:rPr>
            </w:pPr>
          </w:p>
        </w:tc>
        <w:tc>
          <w:tcPr>
            <w:tcW w:w="5635" w:type="dxa"/>
            <w:tcBorders>
              <w:top w:val="nil"/>
              <w:left w:val="single" w:sz="4" w:space="0" w:color="808080"/>
              <w:bottom w:val="single" w:sz="4" w:space="0" w:color="000000"/>
              <w:right w:val="nil"/>
            </w:tcBorders>
          </w:tcPr>
          <w:p>
            <w:pPr>
              <w:pStyle w:val="TableParagraph"/>
              <w:spacing w:line="230" w:lineRule="exact"/>
              <w:ind w:left="257" w:right="200"/>
              <w:jc w:val="center"/>
              <w:rPr>
                <w:sz w:val="24"/>
              </w:rPr>
            </w:pPr>
            <w:r>
              <w:rPr>
                <w:sz w:val="24"/>
              </w:rPr>
              <w:t>Número de solicitações abertas no trimestre</w:t>
            </w:r>
          </w:p>
        </w:tc>
        <w:tc>
          <w:tcPr>
            <w:tcW w:w="944" w:type="dxa"/>
            <w:tcBorders>
              <w:top w:val="nil"/>
              <w:left w:val="nil"/>
              <w:bottom w:val="single" w:sz="4" w:space="0" w:color="000000"/>
              <w:right w:val="single" w:sz="4" w:space="0" w:color="000000"/>
            </w:tcBorders>
          </w:tcPr>
          <w:p>
            <w:pPr>
              <w:pStyle w:val="TableParagraph"/>
              <w:rPr>
                <w:rFonts w:ascii="Times New Roman"/>
                <w:sz w:val="22"/>
              </w:rPr>
            </w:pPr>
          </w:p>
        </w:tc>
        <w:tc>
          <w:tcPr>
            <w:tcW w:w="1786"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759" w:hRule="atLeast"/>
        </w:trPr>
        <w:tc>
          <w:tcPr>
            <w:tcW w:w="5245" w:type="dxa"/>
            <w:vMerge w:val="restart"/>
            <w:tcBorders>
              <w:top w:val="single" w:sz="4" w:space="0" w:color="000000"/>
              <w:bottom w:val="single" w:sz="4" w:space="0" w:color="000000"/>
              <w:right w:val="single" w:sz="4" w:space="0" w:color="808080"/>
            </w:tcBorders>
          </w:tcPr>
          <w:p>
            <w:pPr>
              <w:pStyle w:val="TableParagraph"/>
              <w:rPr>
                <w:rFonts w:ascii="Calibri Light"/>
                <w:b w:val="0"/>
                <w:sz w:val="28"/>
              </w:rPr>
            </w:pPr>
          </w:p>
          <w:p>
            <w:pPr>
              <w:pStyle w:val="TableParagraph"/>
              <w:ind w:left="69"/>
              <w:rPr>
                <w:sz w:val="24"/>
              </w:rPr>
            </w:pPr>
            <w:r>
              <w:rPr>
                <w:sz w:val="24"/>
              </w:rPr>
              <w:t>Índice de satisfação com a solução da demanda (%)</w:t>
            </w:r>
          </w:p>
          <w:p>
            <w:pPr>
              <w:pStyle w:val="TableParagraph"/>
              <w:ind w:left="69"/>
              <w:rPr>
                <w:b/>
                <w:sz w:val="24"/>
              </w:rPr>
            </w:pPr>
            <w:r>
              <w:rPr>
                <w:b/>
                <w:sz w:val="24"/>
              </w:rPr>
              <w:t>(CAU/BR)</w:t>
            </w:r>
          </w:p>
        </w:tc>
        <w:tc>
          <w:tcPr>
            <w:tcW w:w="5635" w:type="dxa"/>
            <w:tcBorders>
              <w:top w:val="single" w:sz="4" w:space="0" w:color="000000"/>
              <w:left w:val="single" w:sz="4" w:space="0" w:color="808080"/>
              <w:bottom w:val="nil"/>
              <w:right w:val="nil"/>
            </w:tcBorders>
          </w:tcPr>
          <w:p>
            <w:pPr>
              <w:pStyle w:val="TableParagraph"/>
              <w:spacing w:before="117"/>
              <w:ind w:left="257" w:right="193"/>
              <w:jc w:val="center"/>
              <w:rPr>
                <w:sz w:val="24"/>
              </w:rPr>
            </w:pPr>
            <w:r>
              <w:rPr>
                <w:sz w:val="24"/>
              </w:rPr>
              <w:t>número de usuários satisfeitos com a solução da</w:t>
            </w:r>
          </w:p>
          <w:p>
            <w:pPr>
              <w:pStyle w:val="TableParagraph"/>
              <w:tabs>
                <w:tab w:pos="2385" w:val="left" w:leader="none"/>
                <w:tab w:pos="5686" w:val="left" w:leader="none"/>
              </w:tabs>
              <w:ind w:left="-1" w:right="-58"/>
              <w:jc w:val="center"/>
              <w:rPr>
                <w:sz w:val="24"/>
              </w:rPr>
            </w:pPr>
            <w:r>
              <w:rPr>
                <w:sz w:val="24"/>
                <w:u w:val="single"/>
              </w:rPr>
              <w:t> </w:t>
              <w:tab/>
              <w:t>demanda</w:t>
              <w:tab/>
            </w:r>
          </w:p>
        </w:tc>
        <w:tc>
          <w:tcPr>
            <w:tcW w:w="944" w:type="dxa"/>
            <w:tcBorders>
              <w:top w:val="single" w:sz="4" w:space="0" w:color="000000"/>
              <w:left w:val="nil"/>
              <w:bottom w:val="nil"/>
              <w:right w:val="single" w:sz="4" w:space="0" w:color="000000"/>
            </w:tcBorders>
          </w:tcPr>
          <w:p>
            <w:pPr>
              <w:pStyle w:val="TableParagraph"/>
              <w:rPr>
                <w:rFonts w:ascii="Calibri Light"/>
                <w:b w:val="0"/>
                <w:sz w:val="24"/>
              </w:rPr>
            </w:pPr>
          </w:p>
          <w:p>
            <w:pPr>
              <w:pStyle w:val="TableParagraph"/>
              <w:spacing w:line="251" w:lineRule="exact" w:before="196"/>
              <w:ind w:right="171"/>
              <w:jc w:val="right"/>
              <w:rPr>
                <w:sz w:val="24"/>
              </w:rPr>
            </w:pPr>
            <w:r>
              <w:rPr>
                <w:sz w:val="24"/>
              </w:rPr>
              <w:t>x 100</w:t>
            </w:r>
          </w:p>
        </w:tc>
        <w:tc>
          <w:tcPr>
            <w:tcW w:w="178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4"/>
              </w:rPr>
            </w:pPr>
          </w:p>
          <w:p>
            <w:pPr>
              <w:pStyle w:val="TableParagraph"/>
              <w:spacing w:before="196"/>
              <w:ind w:left="398"/>
              <w:rPr>
                <w:sz w:val="24"/>
              </w:rPr>
            </w:pPr>
            <w:r>
              <w:rPr>
                <w:sz w:val="24"/>
              </w:rPr>
              <w:t>Trimestral</w:t>
            </w:r>
          </w:p>
        </w:tc>
        <w:tc>
          <w:tcPr>
            <w:tcW w:w="1985" w:type="dxa"/>
            <w:vMerge w:val="restart"/>
            <w:tcBorders>
              <w:top w:val="single" w:sz="4" w:space="0" w:color="000000"/>
              <w:left w:val="single" w:sz="4" w:space="0" w:color="000000"/>
              <w:bottom w:val="single" w:sz="4" w:space="0" w:color="000000"/>
            </w:tcBorders>
          </w:tcPr>
          <w:p>
            <w:pPr>
              <w:pStyle w:val="TableParagraph"/>
              <w:rPr>
                <w:rFonts w:ascii="Calibri Light"/>
                <w:b w:val="0"/>
                <w:sz w:val="24"/>
              </w:rPr>
            </w:pPr>
          </w:p>
          <w:p>
            <w:pPr>
              <w:pStyle w:val="TableParagraph"/>
              <w:spacing w:before="196"/>
              <w:ind w:left="518"/>
              <w:rPr>
                <w:sz w:val="24"/>
              </w:rPr>
            </w:pPr>
            <w:r>
              <w:rPr>
                <w:sz w:val="24"/>
              </w:rPr>
              <w:t>Ouvidoria</w:t>
            </w:r>
          </w:p>
        </w:tc>
      </w:tr>
      <w:tr>
        <w:trPr>
          <w:trHeight w:val="501" w:hRule="atLeast"/>
        </w:trPr>
        <w:tc>
          <w:tcPr>
            <w:tcW w:w="5245" w:type="dxa"/>
            <w:vMerge/>
            <w:tcBorders>
              <w:top w:val="nil"/>
              <w:bottom w:val="single" w:sz="4" w:space="0" w:color="000000"/>
              <w:right w:val="single" w:sz="4" w:space="0" w:color="808080"/>
            </w:tcBorders>
          </w:tcPr>
          <w:p>
            <w:pPr>
              <w:rPr>
                <w:sz w:val="2"/>
                <w:szCs w:val="2"/>
              </w:rPr>
            </w:pPr>
          </w:p>
        </w:tc>
        <w:tc>
          <w:tcPr>
            <w:tcW w:w="5635" w:type="dxa"/>
            <w:tcBorders>
              <w:top w:val="nil"/>
              <w:left w:val="single" w:sz="4" w:space="0" w:color="808080"/>
              <w:bottom w:val="single" w:sz="4" w:space="0" w:color="000000"/>
              <w:right w:val="nil"/>
            </w:tcBorders>
          </w:tcPr>
          <w:p>
            <w:pPr>
              <w:pStyle w:val="TableParagraph"/>
              <w:spacing w:line="235" w:lineRule="exact"/>
              <w:ind w:left="257" w:right="192"/>
              <w:jc w:val="center"/>
              <w:rPr>
                <w:sz w:val="24"/>
              </w:rPr>
            </w:pPr>
            <w:r>
              <w:rPr>
                <w:sz w:val="24"/>
              </w:rPr>
              <w:t>número de usuários que responderam à pesquisa</w:t>
            </w:r>
          </w:p>
        </w:tc>
        <w:tc>
          <w:tcPr>
            <w:tcW w:w="944" w:type="dxa"/>
            <w:tcBorders>
              <w:top w:val="nil"/>
              <w:left w:val="nil"/>
              <w:bottom w:val="single" w:sz="4" w:space="0" w:color="000000"/>
              <w:right w:val="single" w:sz="4" w:space="0" w:color="000000"/>
            </w:tcBorders>
          </w:tcPr>
          <w:p>
            <w:pPr>
              <w:pStyle w:val="TableParagraph"/>
              <w:rPr>
                <w:rFonts w:ascii="Times New Roman"/>
                <w:sz w:val="22"/>
              </w:rPr>
            </w:pPr>
          </w:p>
        </w:tc>
        <w:tc>
          <w:tcPr>
            <w:tcW w:w="1786"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r>
        <w:trPr>
          <w:trHeight w:val="902" w:hRule="atLeast"/>
        </w:trPr>
        <w:tc>
          <w:tcPr>
            <w:tcW w:w="5245" w:type="dxa"/>
            <w:vMerge w:val="restart"/>
            <w:tcBorders>
              <w:top w:val="single" w:sz="4" w:space="0" w:color="000000"/>
              <w:bottom w:val="single" w:sz="4" w:space="0" w:color="000000"/>
              <w:right w:val="single" w:sz="4" w:space="0" w:color="808080"/>
            </w:tcBorders>
          </w:tcPr>
          <w:p>
            <w:pPr>
              <w:pStyle w:val="TableParagraph"/>
              <w:rPr>
                <w:rFonts w:ascii="Calibri Light"/>
                <w:b w:val="0"/>
                <w:sz w:val="24"/>
              </w:rPr>
            </w:pPr>
          </w:p>
          <w:p>
            <w:pPr>
              <w:pStyle w:val="TableParagraph"/>
              <w:spacing w:before="186"/>
              <w:ind w:left="69"/>
              <w:rPr>
                <w:sz w:val="24"/>
              </w:rPr>
            </w:pPr>
            <w:r>
              <w:rPr>
                <w:sz w:val="24"/>
              </w:rPr>
              <w:t>Índice de reclamações recebidas na Ouvidoria (%)</w:t>
            </w:r>
          </w:p>
          <w:p>
            <w:pPr>
              <w:pStyle w:val="TableParagraph"/>
              <w:ind w:left="69"/>
              <w:rPr>
                <w:b/>
                <w:sz w:val="24"/>
              </w:rPr>
            </w:pPr>
            <w:r>
              <w:rPr>
                <w:b/>
                <w:sz w:val="24"/>
              </w:rPr>
              <w:t>(CAU/BR)</w:t>
            </w:r>
          </w:p>
        </w:tc>
        <w:tc>
          <w:tcPr>
            <w:tcW w:w="5635" w:type="dxa"/>
            <w:tcBorders>
              <w:top w:val="single" w:sz="4" w:space="0" w:color="000000"/>
              <w:left w:val="single" w:sz="4" w:space="0" w:color="808080"/>
              <w:bottom w:val="nil"/>
              <w:right w:val="nil"/>
            </w:tcBorders>
          </w:tcPr>
          <w:p>
            <w:pPr>
              <w:pStyle w:val="TableParagraph"/>
              <w:spacing w:before="4"/>
              <w:rPr>
                <w:rFonts w:ascii="Calibri Light"/>
                <w:b w:val="0"/>
                <w:sz w:val="21"/>
              </w:rPr>
            </w:pPr>
          </w:p>
          <w:p>
            <w:pPr>
              <w:pStyle w:val="TableParagraph"/>
              <w:ind w:left="257" w:right="201"/>
              <w:jc w:val="center"/>
              <w:rPr>
                <w:sz w:val="24"/>
              </w:rPr>
            </w:pPr>
            <w:r>
              <w:rPr>
                <w:sz w:val="24"/>
              </w:rPr>
              <w:t>número de reclamações recebidas pela Ouvidoria no</w:t>
            </w:r>
          </w:p>
          <w:p>
            <w:pPr>
              <w:pStyle w:val="TableParagraph"/>
              <w:tabs>
                <w:tab w:pos="2390" w:val="left" w:leader="none"/>
                <w:tab w:pos="5686" w:val="left" w:leader="none"/>
              </w:tabs>
              <w:ind w:left="-1" w:right="-58"/>
              <w:jc w:val="center"/>
              <w:rPr>
                <w:sz w:val="24"/>
              </w:rPr>
            </w:pPr>
            <w:r>
              <w:rPr>
                <w:sz w:val="24"/>
                <w:u w:val="single"/>
              </w:rPr>
              <w:t> </w:t>
              <w:tab/>
              <w:t>trimestre</w:t>
              <w:tab/>
            </w:r>
          </w:p>
        </w:tc>
        <w:tc>
          <w:tcPr>
            <w:tcW w:w="944" w:type="dxa"/>
            <w:tcBorders>
              <w:top w:val="single" w:sz="4" w:space="0" w:color="000000"/>
              <w:left w:val="nil"/>
              <w:bottom w:val="nil"/>
              <w:right w:val="single" w:sz="4" w:space="0" w:color="000000"/>
            </w:tcBorders>
          </w:tcPr>
          <w:p>
            <w:pPr>
              <w:pStyle w:val="TableParagraph"/>
              <w:rPr>
                <w:rFonts w:ascii="Calibri Light"/>
                <w:b w:val="0"/>
                <w:sz w:val="24"/>
              </w:rPr>
            </w:pPr>
          </w:p>
          <w:p>
            <w:pPr>
              <w:pStyle w:val="TableParagraph"/>
              <w:spacing w:before="3"/>
              <w:rPr>
                <w:rFonts w:ascii="Calibri Light"/>
                <w:b w:val="0"/>
                <w:sz w:val="27"/>
              </w:rPr>
            </w:pPr>
          </w:p>
          <w:p>
            <w:pPr>
              <w:pStyle w:val="TableParagraph"/>
              <w:spacing w:line="256" w:lineRule="exact"/>
              <w:ind w:right="171"/>
              <w:jc w:val="right"/>
              <w:rPr>
                <w:sz w:val="24"/>
              </w:rPr>
            </w:pPr>
            <w:r>
              <w:rPr>
                <w:sz w:val="24"/>
              </w:rPr>
              <w:t>x 100</w:t>
            </w:r>
          </w:p>
        </w:tc>
        <w:tc>
          <w:tcPr>
            <w:tcW w:w="1786"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Calibri Light"/>
                <w:b w:val="0"/>
                <w:sz w:val="24"/>
              </w:rPr>
            </w:pPr>
          </w:p>
          <w:p>
            <w:pPr>
              <w:pStyle w:val="TableParagraph"/>
              <w:spacing w:before="3"/>
              <w:rPr>
                <w:rFonts w:ascii="Calibri Light"/>
                <w:b w:val="0"/>
                <w:sz w:val="27"/>
              </w:rPr>
            </w:pPr>
          </w:p>
          <w:p>
            <w:pPr>
              <w:pStyle w:val="TableParagraph"/>
              <w:ind w:left="398"/>
              <w:rPr>
                <w:sz w:val="24"/>
              </w:rPr>
            </w:pPr>
            <w:r>
              <w:rPr>
                <w:sz w:val="24"/>
              </w:rPr>
              <w:t>Trimestral</w:t>
            </w:r>
          </w:p>
        </w:tc>
        <w:tc>
          <w:tcPr>
            <w:tcW w:w="1985" w:type="dxa"/>
            <w:vMerge w:val="restart"/>
            <w:tcBorders>
              <w:top w:val="single" w:sz="4" w:space="0" w:color="000000"/>
              <w:left w:val="single" w:sz="4" w:space="0" w:color="000000"/>
              <w:bottom w:val="single" w:sz="4" w:space="0" w:color="000000"/>
            </w:tcBorders>
          </w:tcPr>
          <w:p>
            <w:pPr>
              <w:pStyle w:val="TableParagraph"/>
              <w:rPr>
                <w:rFonts w:ascii="Calibri Light"/>
                <w:b w:val="0"/>
                <w:sz w:val="24"/>
              </w:rPr>
            </w:pPr>
          </w:p>
          <w:p>
            <w:pPr>
              <w:pStyle w:val="TableParagraph"/>
              <w:spacing w:before="3"/>
              <w:rPr>
                <w:rFonts w:ascii="Calibri Light"/>
                <w:b w:val="0"/>
                <w:sz w:val="27"/>
              </w:rPr>
            </w:pPr>
          </w:p>
          <w:p>
            <w:pPr>
              <w:pStyle w:val="TableParagraph"/>
              <w:ind w:left="518"/>
              <w:rPr>
                <w:sz w:val="24"/>
              </w:rPr>
            </w:pPr>
            <w:r>
              <w:rPr>
                <w:sz w:val="24"/>
              </w:rPr>
              <w:t>Ouvidoria</w:t>
            </w:r>
          </w:p>
        </w:tc>
      </w:tr>
      <w:tr>
        <w:trPr>
          <w:trHeight w:val="635" w:hRule="atLeast"/>
        </w:trPr>
        <w:tc>
          <w:tcPr>
            <w:tcW w:w="5245" w:type="dxa"/>
            <w:vMerge/>
            <w:tcBorders>
              <w:top w:val="nil"/>
              <w:bottom w:val="single" w:sz="4" w:space="0" w:color="000000"/>
              <w:right w:val="single" w:sz="4" w:space="0" w:color="808080"/>
            </w:tcBorders>
          </w:tcPr>
          <w:p>
            <w:pPr>
              <w:rPr>
                <w:sz w:val="2"/>
                <w:szCs w:val="2"/>
              </w:rPr>
            </w:pPr>
          </w:p>
        </w:tc>
        <w:tc>
          <w:tcPr>
            <w:tcW w:w="5635" w:type="dxa"/>
            <w:tcBorders>
              <w:top w:val="nil"/>
              <w:left w:val="single" w:sz="4" w:space="0" w:color="808080"/>
              <w:bottom w:val="single" w:sz="4" w:space="0" w:color="000000"/>
              <w:right w:val="nil"/>
            </w:tcBorders>
          </w:tcPr>
          <w:p>
            <w:pPr>
              <w:pStyle w:val="TableParagraph"/>
              <w:spacing w:line="237" w:lineRule="exact"/>
              <w:ind w:left="257" w:right="197"/>
              <w:jc w:val="center"/>
              <w:rPr>
                <w:sz w:val="24"/>
              </w:rPr>
            </w:pPr>
            <w:r>
              <w:rPr>
                <w:sz w:val="24"/>
              </w:rPr>
              <w:t>número total de atendimentos pela Ouvidoria no</w:t>
            </w:r>
          </w:p>
          <w:p>
            <w:pPr>
              <w:pStyle w:val="TableParagraph"/>
              <w:ind w:left="257" w:right="198"/>
              <w:jc w:val="center"/>
              <w:rPr>
                <w:sz w:val="24"/>
              </w:rPr>
            </w:pPr>
            <w:r>
              <w:rPr>
                <w:sz w:val="24"/>
              </w:rPr>
              <w:t>trimestre</w:t>
            </w:r>
          </w:p>
        </w:tc>
        <w:tc>
          <w:tcPr>
            <w:tcW w:w="944" w:type="dxa"/>
            <w:tcBorders>
              <w:top w:val="nil"/>
              <w:left w:val="nil"/>
              <w:bottom w:val="single" w:sz="4" w:space="0" w:color="000000"/>
              <w:right w:val="single" w:sz="4" w:space="0" w:color="000000"/>
            </w:tcBorders>
          </w:tcPr>
          <w:p>
            <w:pPr>
              <w:pStyle w:val="TableParagraph"/>
              <w:rPr>
                <w:rFonts w:ascii="Times New Roman"/>
                <w:sz w:val="22"/>
              </w:rPr>
            </w:pPr>
          </w:p>
        </w:tc>
        <w:tc>
          <w:tcPr>
            <w:tcW w:w="1786" w:type="dxa"/>
            <w:vMerge/>
            <w:tcBorders>
              <w:top w:val="nil"/>
              <w:left w:val="single" w:sz="4" w:space="0" w:color="000000"/>
              <w:bottom w:val="single" w:sz="4" w:space="0" w:color="000000"/>
              <w:right w:val="single" w:sz="4" w:space="0" w:color="000000"/>
            </w:tcBorders>
          </w:tcPr>
          <w:p>
            <w:pPr>
              <w:rPr>
                <w:sz w:val="2"/>
                <w:szCs w:val="2"/>
              </w:rPr>
            </w:pPr>
          </w:p>
        </w:tc>
        <w:tc>
          <w:tcPr>
            <w:tcW w:w="1985" w:type="dxa"/>
            <w:vMerge/>
            <w:tcBorders>
              <w:top w:val="nil"/>
              <w:left w:val="single" w:sz="4" w:space="0" w:color="000000"/>
              <w:bottom w:val="single" w:sz="4" w:space="0" w:color="000000"/>
            </w:tcBorders>
          </w:tcPr>
          <w:p>
            <w:pPr>
              <w:rPr>
                <w:sz w:val="2"/>
                <w:szCs w:val="2"/>
              </w:rPr>
            </w:pPr>
          </w:p>
        </w:tc>
      </w:tr>
    </w:tbl>
    <w:p>
      <w:pPr>
        <w:spacing w:after="0"/>
        <w:rPr>
          <w:sz w:val="2"/>
          <w:szCs w:val="2"/>
        </w:rPr>
        <w:sectPr>
          <w:headerReference w:type="default" r:id="rId49"/>
          <w:footerReference w:type="default" r:id="rId50"/>
          <w:pgSz w:w="16840" w:h="11910" w:orient="landscape"/>
          <w:pgMar w:header="590" w:footer="618" w:top="1980" w:bottom="800" w:left="440" w:right="540"/>
          <w:pgNumType w:start="58"/>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5"/>
        <w:gridCol w:w="6579"/>
        <w:gridCol w:w="1786"/>
        <w:gridCol w:w="1985"/>
      </w:tblGrid>
      <w:tr>
        <w:trPr>
          <w:trHeight w:val="1589" w:hRule="atLeast"/>
        </w:trPr>
        <w:tc>
          <w:tcPr>
            <w:tcW w:w="5245" w:type="dxa"/>
            <w:tcBorders>
              <w:left w:val="single" w:sz="8" w:space="0" w:color="000000"/>
            </w:tcBorders>
            <w:shd w:val="clear" w:color="auto" w:fill="008080"/>
          </w:tcPr>
          <w:p>
            <w:pPr>
              <w:pStyle w:val="TableParagraph"/>
              <w:spacing w:before="2"/>
              <w:rPr>
                <w:rFonts w:ascii="Calibri Light"/>
                <w:b w:val="0"/>
                <w:sz w:val="28"/>
              </w:rPr>
            </w:pPr>
          </w:p>
          <w:p>
            <w:pPr>
              <w:pStyle w:val="TableParagraph"/>
              <w:spacing w:before="1"/>
              <w:ind w:left="69" w:right="568"/>
              <w:jc w:val="both"/>
              <w:rPr>
                <w:b/>
                <w:sz w:val="24"/>
              </w:rPr>
            </w:pPr>
            <w:r>
              <w:rPr>
                <w:b/>
                <w:color w:val="FFFFFF"/>
                <w:sz w:val="24"/>
              </w:rPr>
              <w:t>Estimular o conhecimento, o uso de</w:t>
            </w:r>
            <w:r>
              <w:rPr>
                <w:b/>
                <w:color w:val="FFFFFF"/>
                <w:spacing w:val="-19"/>
                <w:sz w:val="24"/>
              </w:rPr>
              <w:t> </w:t>
            </w:r>
            <w:r>
              <w:rPr>
                <w:b/>
                <w:color w:val="FFFFFF"/>
                <w:sz w:val="24"/>
              </w:rPr>
              <w:t>processos criativos e a difusão das melhores práticas em Arquitetura e</w:t>
            </w:r>
            <w:r>
              <w:rPr>
                <w:b/>
                <w:color w:val="FFFFFF"/>
                <w:spacing w:val="-3"/>
                <w:sz w:val="24"/>
              </w:rPr>
              <w:t> </w:t>
            </w:r>
            <w:r>
              <w:rPr>
                <w:b/>
                <w:color w:val="FFFFFF"/>
                <w:sz w:val="24"/>
              </w:rPr>
              <w:t>Urbanismo</w:t>
            </w:r>
          </w:p>
        </w:tc>
        <w:tc>
          <w:tcPr>
            <w:tcW w:w="6579"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406" w:right="1387"/>
              <w:jc w:val="center"/>
              <w:rPr>
                <w:b/>
                <w:sz w:val="24"/>
              </w:rPr>
            </w:pPr>
            <w:r>
              <w:rPr>
                <w:b/>
                <w:color w:val="FFFFFF"/>
                <w:sz w:val="24"/>
              </w:rPr>
              <w:t>Fórmula</w:t>
            </w:r>
          </w:p>
        </w:tc>
        <w:tc>
          <w:tcPr>
            <w:tcW w:w="1786"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93" w:right="175"/>
              <w:jc w:val="center"/>
              <w:rPr>
                <w:b/>
                <w:sz w:val="24"/>
              </w:rPr>
            </w:pPr>
            <w:r>
              <w:rPr>
                <w:b/>
                <w:color w:val="FFFFFF"/>
                <w:sz w:val="24"/>
              </w:rPr>
              <w:t>Periodicidade</w:t>
            </w:r>
          </w:p>
        </w:tc>
        <w:tc>
          <w:tcPr>
            <w:tcW w:w="1985"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27" w:right="104"/>
              <w:jc w:val="center"/>
              <w:rPr>
                <w:b/>
                <w:sz w:val="24"/>
              </w:rPr>
            </w:pPr>
            <w:r>
              <w:rPr>
                <w:b/>
                <w:color w:val="FFFFFF"/>
                <w:sz w:val="24"/>
              </w:rPr>
              <w:t>ÁREA</w:t>
            </w:r>
          </w:p>
        </w:tc>
      </w:tr>
      <w:tr>
        <w:trPr>
          <w:trHeight w:val="1199" w:hRule="atLeast"/>
        </w:trPr>
        <w:tc>
          <w:tcPr>
            <w:tcW w:w="5245" w:type="dxa"/>
            <w:tcBorders>
              <w:left w:val="single" w:sz="8" w:space="0" w:color="000000"/>
            </w:tcBorders>
          </w:tcPr>
          <w:p>
            <w:pPr>
              <w:pStyle w:val="TableParagraph"/>
              <w:spacing w:before="3"/>
              <w:rPr>
                <w:rFonts w:ascii="Calibri Light"/>
                <w:b w:val="0"/>
                <w:sz w:val="24"/>
              </w:rPr>
            </w:pPr>
          </w:p>
          <w:p>
            <w:pPr>
              <w:pStyle w:val="TableParagraph"/>
              <w:ind w:left="69"/>
              <w:rPr>
                <w:sz w:val="24"/>
              </w:rPr>
            </w:pPr>
            <w:r>
              <w:rPr>
                <w:sz w:val="24"/>
              </w:rPr>
              <w:t>Índice de crescimento de parcerias institucionais firmadas pela AIP</w:t>
            </w:r>
          </w:p>
        </w:tc>
        <w:tc>
          <w:tcPr>
            <w:tcW w:w="6579" w:type="dxa"/>
          </w:tcPr>
          <w:p>
            <w:pPr>
              <w:pStyle w:val="TableParagraph"/>
              <w:spacing w:before="5"/>
              <w:rPr>
                <w:rFonts w:ascii="Calibri Light"/>
                <w:b w:val="0"/>
                <w:sz w:val="29"/>
              </w:rPr>
            </w:pPr>
          </w:p>
          <w:p>
            <w:pPr>
              <w:pStyle w:val="TableParagraph"/>
              <w:tabs>
                <w:tab w:pos="522" w:val="left" w:leader="none"/>
                <w:tab w:pos="5818" w:val="left" w:leader="none"/>
              </w:tabs>
              <w:spacing w:line="180" w:lineRule="auto" w:before="1"/>
              <w:ind w:left="489" w:right="104" w:hanging="480"/>
              <w:rPr>
                <w:sz w:val="24"/>
              </w:rPr>
            </w:pPr>
            <w:r>
              <w:rPr>
                <w:sz w:val="24"/>
                <w:u w:val="single"/>
              </w:rPr>
              <w:t> </w:t>
              <w:tab/>
              <w:tab/>
              <w:t>quantidade de parcerias firmadas no</w:t>
            </w:r>
            <w:r>
              <w:rPr>
                <w:spacing w:val="-14"/>
                <w:sz w:val="24"/>
                <w:u w:val="single"/>
              </w:rPr>
              <w:t> </w:t>
            </w:r>
            <w:r>
              <w:rPr>
                <w:sz w:val="24"/>
                <w:u w:val="single"/>
              </w:rPr>
              <w:t>ano vigente</w:t>
              <w:tab/>
            </w:r>
            <w:r>
              <w:rPr>
                <w:position w:val="-10"/>
                <w:sz w:val="24"/>
              </w:rPr>
              <w:t>x </w:t>
            </w:r>
            <w:r>
              <w:rPr>
                <w:spacing w:val="-6"/>
                <w:position w:val="-10"/>
                <w:sz w:val="24"/>
              </w:rPr>
              <w:t>100 </w:t>
            </w:r>
            <w:r>
              <w:rPr>
                <w:sz w:val="24"/>
              </w:rPr>
              <w:t>quantidade de parcerias firmadas no ano</w:t>
            </w:r>
            <w:r>
              <w:rPr>
                <w:spacing w:val="-13"/>
                <w:sz w:val="24"/>
              </w:rPr>
              <w:t> </w:t>
            </w:r>
            <w:r>
              <w:rPr>
                <w:sz w:val="24"/>
              </w:rPr>
              <w:t>anterior</w:t>
            </w:r>
          </w:p>
        </w:tc>
        <w:tc>
          <w:tcPr>
            <w:tcW w:w="1786" w:type="dxa"/>
          </w:tcPr>
          <w:p>
            <w:pPr>
              <w:pStyle w:val="TableParagraph"/>
              <w:rPr>
                <w:rFonts w:ascii="Calibri Light"/>
                <w:b w:val="0"/>
                <w:sz w:val="24"/>
              </w:rPr>
            </w:pPr>
          </w:p>
          <w:p>
            <w:pPr>
              <w:pStyle w:val="TableParagraph"/>
              <w:spacing w:before="150"/>
              <w:ind w:left="193"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150"/>
              <w:ind w:left="128" w:right="104"/>
              <w:jc w:val="center"/>
              <w:rPr>
                <w:sz w:val="24"/>
              </w:rPr>
            </w:pPr>
            <w:r>
              <w:rPr>
                <w:sz w:val="24"/>
              </w:rPr>
              <w:t>AIP</w:t>
            </w:r>
          </w:p>
        </w:tc>
      </w:tr>
      <w:tr>
        <w:trPr>
          <w:trHeight w:val="1303" w:hRule="atLeast"/>
        </w:trPr>
        <w:tc>
          <w:tcPr>
            <w:tcW w:w="5245" w:type="dxa"/>
            <w:tcBorders>
              <w:left w:val="single" w:sz="8" w:space="0" w:color="000000"/>
            </w:tcBorders>
          </w:tcPr>
          <w:p>
            <w:pPr>
              <w:pStyle w:val="TableParagraph"/>
              <w:spacing w:before="203"/>
              <w:ind w:left="69" w:right="1434"/>
              <w:rPr>
                <w:b/>
                <w:sz w:val="24"/>
              </w:rPr>
            </w:pPr>
            <w:r>
              <w:rPr>
                <w:sz w:val="24"/>
              </w:rPr>
              <w:t>Índice da capacidade de execução dos investimentos em patrocínios (%) </w:t>
            </w:r>
            <w:r>
              <w:rPr>
                <w:b/>
                <w:sz w:val="24"/>
              </w:rPr>
              <w:t>(CAU/BR)</w:t>
            </w:r>
          </w:p>
        </w:tc>
        <w:tc>
          <w:tcPr>
            <w:tcW w:w="6579" w:type="dxa"/>
          </w:tcPr>
          <w:p>
            <w:pPr>
              <w:pStyle w:val="TableParagraph"/>
              <w:spacing w:before="112"/>
              <w:ind w:left="141"/>
              <w:rPr>
                <w:sz w:val="24"/>
              </w:rPr>
            </w:pPr>
            <w:r>
              <w:rPr>
                <w:sz w:val="24"/>
              </w:rPr>
              <w:t>valor orçamentário investido (executado) em</w:t>
            </w:r>
            <w:r>
              <w:rPr>
                <w:spacing w:val="-30"/>
                <w:sz w:val="24"/>
              </w:rPr>
              <w:t> </w:t>
            </w:r>
            <w:r>
              <w:rPr>
                <w:sz w:val="24"/>
              </w:rPr>
              <w:t>patrocínios</w:t>
            </w:r>
          </w:p>
          <w:p>
            <w:pPr>
              <w:pStyle w:val="TableParagraph"/>
              <w:tabs>
                <w:tab w:pos="2575" w:val="left" w:leader="none"/>
                <w:tab w:pos="5818" w:val="left" w:leader="none"/>
              </w:tabs>
              <w:spacing w:line="189" w:lineRule="auto" w:before="29"/>
              <w:ind w:left="117" w:right="104" w:hanging="108"/>
              <w:rPr>
                <w:sz w:val="24"/>
              </w:rPr>
            </w:pPr>
            <w:r>
              <w:rPr>
                <w:sz w:val="24"/>
                <w:u w:val="single"/>
              </w:rPr>
              <w:t> </w:t>
              <w:tab/>
              <w:tab/>
              <w:t>no ano</w:t>
              <w:tab/>
            </w:r>
            <w:r>
              <w:rPr>
                <w:position w:val="-8"/>
                <w:sz w:val="24"/>
              </w:rPr>
              <w:t>x </w:t>
            </w:r>
            <w:r>
              <w:rPr>
                <w:spacing w:val="-6"/>
                <w:position w:val="-8"/>
                <w:sz w:val="24"/>
              </w:rPr>
              <w:t>100 </w:t>
            </w:r>
            <w:r>
              <w:rPr>
                <w:sz w:val="24"/>
              </w:rPr>
              <w:t>valor orçamentário destinado (orçado) em patrocínios</w:t>
            </w:r>
            <w:r>
              <w:rPr>
                <w:spacing w:val="-9"/>
                <w:sz w:val="24"/>
              </w:rPr>
              <w:t> </w:t>
            </w:r>
            <w:r>
              <w:rPr>
                <w:sz w:val="24"/>
              </w:rPr>
              <w:t>no</w:t>
            </w:r>
          </w:p>
          <w:p>
            <w:pPr>
              <w:pStyle w:val="TableParagraph"/>
              <w:spacing w:line="283" w:lineRule="exact" w:before="13"/>
              <w:ind w:left="2729"/>
              <w:rPr>
                <w:sz w:val="24"/>
              </w:rPr>
            </w:pPr>
            <w:r>
              <w:rPr>
                <w:sz w:val="24"/>
              </w:rPr>
              <w:t>ano</w:t>
            </w:r>
          </w:p>
        </w:tc>
        <w:tc>
          <w:tcPr>
            <w:tcW w:w="1786" w:type="dxa"/>
          </w:tcPr>
          <w:p>
            <w:pPr>
              <w:pStyle w:val="TableParagraph"/>
              <w:rPr>
                <w:rFonts w:ascii="Calibri Light"/>
                <w:b w:val="0"/>
                <w:sz w:val="24"/>
              </w:rPr>
            </w:pPr>
          </w:p>
          <w:p>
            <w:pPr>
              <w:pStyle w:val="TableParagraph"/>
              <w:spacing w:before="203"/>
              <w:ind w:left="193" w:right="171"/>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203"/>
              <w:ind w:left="128" w:right="104"/>
              <w:jc w:val="center"/>
              <w:rPr>
                <w:sz w:val="24"/>
              </w:rPr>
            </w:pPr>
            <w:r>
              <w:rPr>
                <w:sz w:val="24"/>
              </w:rPr>
              <w:t>AIP</w:t>
            </w:r>
          </w:p>
        </w:tc>
      </w:tr>
      <w:tr>
        <w:trPr>
          <w:trHeight w:val="1372" w:hRule="atLeast"/>
        </w:trPr>
        <w:tc>
          <w:tcPr>
            <w:tcW w:w="5245" w:type="dxa"/>
            <w:tcBorders>
              <w:left w:val="single" w:sz="8" w:space="0" w:color="000000"/>
            </w:tcBorders>
          </w:tcPr>
          <w:p>
            <w:pPr>
              <w:pStyle w:val="TableParagraph"/>
              <w:spacing w:before="4"/>
              <w:rPr>
                <w:rFonts w:ascii="Calibri Light"/>
                <w:b w:val="0"/>
                <w:sz w:val="19"/>
              </w:rPr>
            </w:pPr>
          </w:p>
          <w:p>
            <w:pPr>
              <w:pStyle w:val="TableParagraph"/>
              <w:spacing w:before="1"/>
              <w:ind w:left="69" w:right="534"/>
              <w:rPr>
                <w:sz w:val="24"/>
              </w:rPr>
            </w:pPr>
            <w:r>
              <w:rPr>
                <w:sz w:val="24"/>
              </w:rPr>
              <w:t>Índice de difusão de conhecimento em eventos próprios (%)</w:t>
            </w:r>
          </w:p>
          <w:p>
            <w:pPr>
              <w:pStyle w:val="TableParagraph"/>
              <w:spacing w:line="293" w:lineRule="exact"/>
              <w:ind w:left="69"/>
              <w:rPr>
                <w:b/>
                <w:sz w:val="24"/>
              </w:rPr>
            </w:pPr>
            <w:r>
              <w:rPr>
                <w:b/>
                <w:sz w:val="24"/>
              </w:rPr>
              <w:t>(CAU/BR)</w:t>
            </w:r>
          </w:p>
        </w:tc>
        <w:tc>
          <w:tcPr>
            <w:tcW w:w="6579" w:type="dxa"/>
          </w:tcPr>
          <w:p>
            <w:pPr>
              <w:pStyle w:val="TableParagraph"/>
              <w:spacing w:before="7"/>
              <w:rPr>
                <w:rFonts w:ascii="Calibri Light"/>
                <w:b w:val="0"/>
                <w:sz w:val="35"/>
              </w:rPr>
            </w:pPr>
          </w:p>
          <w:p>
            <w:pPr>
              <w:pStyle w:val="TableParagraph"/>
              <w:tabs>
                <w:tab w:pos="1012" w:val="left" w:leader="none"/>
                <w:tab w:pos="5818" w:val="left" w:leader="none"/>
                <w:tab w:pos="5938" w:val="left" w:leader="none"/>
              </w:tabs>
              <w:spacing w:line="168" w:lineRule="auto"/>
              <w:ind w:left="201" w:right="104" w:hanging="192"/>
              <w:rPr>
                <w:sz w:val="24"/>
              </w:rPr>
            </w:pPr>
            <w:r>
              <w:rPr>
                <w:sz w:val="24"/>
                <w:u w:val="single"/>
              </w:rPr>
              <w:t> </w:t>
              <w:tab/>
              <w:tab/>
              <w:t>Quantidade de</w:t>
            </w:r>
            <w:r>
              <w:rPr>
                <w:spacing w:val="-11"/>
                <w:sz w:val="24"/>
                <w:u w:val="single"/>
              </w:rPr>
              <w:t> </w:t>
            </w:r>
            <w:r>
              <w:rPr>
                <w:sz w:val="24"/>
                <w:u w:val="single"/>
              </w:rPr>
              <w:t>participantes</w:t>
            </w:r>
            <w:r>
              <w:rPr>
                <w:spacing w:val="-7"/>
                <w:sz w:val="24"/>
                <w:u w:val="single"/>
              </w:rPr>
              <w:t> </w:t>
            </w:r>
            <w:r>
              <w:rPr>
                <w:sz w:val="24"/>
                <w:u w:val="single"/>
              </w:rPr>
              <w:t>presentes</w:t>
              <w:tab/>
            </w:r>
            <w:r>
              <w:rPr>
                <w:sz w:val="24"/>
              </w:rPr>
              <w:t> quantidade de participantes previstas no Plano</w:t>
            </w:r>
            <w:r>
              <w:rPr>
                <w:spacing w:val="-16"/>
                <w:sz w:val="24"/>
              </w:rPr>
              <w:t> </w:t>
            </w:r>
            <w:r>
              <w:rPr>
                <w:sz w:val="24"/>
              </w:rPr>
              <w:t>de</w:t>
            </w:r>
            <w:r>
              <w:rPr>
                <w:spacing w:val="-3"/>
                <w:sz w:val="24"/>
              </w:rPr>
              <w:t> </w:t>
            </w:r>
            <w:r>
              <w:rPr>
                <w:sz w:val="24"/>
              </w:rPr>
              <w:t>Ação</w:t>
              <w:tab/>
              <w:tab/>
            </w:r>
            <w:r>
              <w:rPr>
                <w:position w:val="14"/>
                <w:sz w:val="24"/>
              </w:rPr>
              <w:t>x</w:t>
            </w:r>
            <w:r>
              <w:rPr>
                <w:spacing w:val="1"/>
                <w:position w:val="14"/>
                <w:sz w:val="24"/>
              </w:rPr>
              <w:t> </w:t>
            </w:r>
            <w:r>
              <w:rPr>
                <w:spacing w:val="-6"/>
                <w:position w:val="14"/>
                <w:sz w:val="24"/>
              </w:rPr>
              <w:t>100</w:t>
            </w:r>
          </w:p>
          <w:p>
            <w:pPr>
              <w:pStyle w:val="TableParagraph"/>
              <w:spacing w:line="269" w:lineRule="exact"/>
              <w:ind w:left="645" w:right="1387"/>
              <w:jc w:val="center"/>
              <w:rPr>
                <w:sz w:val="24"/>
              </w:rPr>
            </w:pPr>
            <w:r>
              <w:rPr>
                <w:sz w:val="24"/>
              </w:rPr>
              <w:t>Aprovado</w:t>
            </w:r>
          </w:p>
        </w:tc>
        <w:tc>
          <w:tcPr>
            <w:tcW w:w="1786" w:type="dxa"/>
          </w:tcPr>
          <w:p>
            <w:pPr>
              <w:pStyle w:val="TableParagraph"/>
              <w:rPr>
                <w:rFonts w:ascii="Calibri Light"/>
                <w:b w:val="0"/>
                <w:sz w:val="24"/>
              </w:rPr>
            </w:pPr>
          </w:p>
          <w:p>
            <w:pPr>
              <w:pStyle w:val="TableParagraph"/>
              <w:spacing w:before="4"/>
              <w:rPr>
                <w:rFonts w:ascii="Calibri Light"/>
                <w:b w:val="0"/>
                <w:sz w:val="19"/>
              </w:rPr>
            </w:pPr>
          </w:p>
          <w:p>
            <w:pPr>
              <w:pStyle w:val="TableParagraph"/>
              <w:ind w:left="193"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4"/>
              <w:rPr>
                <w:rFonts w:ascii="Calibri Light"/>
                <w:b w:val="0"/>
                <w:sz w:val="19"/>
              </w:rPr>
            </w:pPr>
          </w:p>
          <w:p>
            <w:pPr>
              <w:pStyle w:val="TableParagraph"/>
              <w:ind w:left="127" w:right="104"/>
              <w:jc w:val="center"/>
              <w:rPr>
                <w:sz w:val="24"/>
              </w:rPr>
            </w:pPr>
            <w:r>
              <w:rPr>
                <w:sz w:val="24"/>
              </w:rPr>
              <w:t>GERPLAN</w:t>
            </w:r>
          </w:p>
        </w:tc>
      </w:tr>
      <w:tr>
        <w:trPr>
          <w:trHeight w:val="1236" w:hRule="atLeast"/>
        </w:trPr>
        <w:tc>
          <w:tcPr>
            <w:tcW w:w="5245" w:type="dxa"/>
            <w:tcBorders>
              <w:left w:val="single" w:sz="8" w:space="0" w:color="000000"/>
            </w:tcBorders>
          </w:tcPr>
          <w:p>
            <w:pPr>
              <w:pStyle w:val="TableParagraph"/>
              <w:spacing w:before="8"/>
              <w:rPr>
                <w:rFonts w:ascii="Calibri Light"/>
                <w:b w:val="0"/>
                <w:sz w:val="25"/>
              </w:rPr>
            </w:pPr>
          </w:p>
          <w:p>
            <w:pPr>
              <w:pStyle w:val="TableParagraph"/>
              <w:spacing w:before="1"/>
              <w:ind w:left="69"/>
              <w:rPr>
                <w:sz w:val="24"/>
              </w:rPr>
            </w:pPr>
            <w:r>
              <w:rPr>
                <w:sz w:val="24"/>
              </w:rPr>
              <w:t>Índice de eficiência de custos de eventos próprios</w:t>
            </w:r>
          </w:p>
          <w:p>
            <w:pPr>
              <w:pStyle w:val="TableParagraph"/>
              <w:ind w:left="69"/>
              <w:rPr>
                <w:b/>
                <w:sz w:val="24"/>
              </w:rPr>
            </w:pPr>
            <w:r>
              <w:rPr>
                <w:b/>
                <w:sz w:val="24"/>
              </w:rPr>
              <w:t>(CAU/BR)</w:t>
            </w:r>
          </w:p>
        </w:tc>
        <w:tc>
          <w:tcPr>
            <w:tcW w:w="6579" w:type="dxa"/>
          </w:tcPr>
          <w:p>
            <w:pPr>
              <w:pStyle w:val="TableParagraph"/>
              <w:spacing w:before="6"/>
              <w:rPr>
                <w:rFonts w:ascii="Calibri Light"/>
                <w:b w:val="0"/>
                <w:sz w:val="32"/>
              </w:rPr>
            </w:pPr>
          </w:p>
          <w:p>
            <w:pPr>
              <w:pStyle w:val="TableParagraph"/>
              <w:tabs>
                <w:tab w:pos="1682" w:val="left" w:leader="none"/>
                <w:tab w:pos="5818" w:val="left" w:leader="none"/>
              </w:tabs>
              <w:spacing w:line="192" w:lineRule="auto"/>
              <w:ind w:left="1029" w:right="104" w:hanging="1020"/>
              <w:rPr>
                <w:sz w:val="24"/>
              </w:rPr>
            </w:pPr>
            <w:r>
              <w:rPr>
                <w:sz w:val="24"/>
                <w:u w:val="single"/>
              </w:rPr>
              <w:t> </w:t>
              <w:tab/>
              <w:tab/>
              <w:t>custos totais</w:t>
            </w:r>
            <w:r>
              <w:rPr>
                <w:spacing w:val="-6"/>
                <w:sz w:val="24"/>
                <w:u w:val="single"/>
              </w:rPr>
              <w:t> </w:t>
            </w:r>
            <w:r>
              <w:rPr>
                <w:sz w:val="24"/>
                <w:u w:val="single"/>
              </w:rPr>
              <w:t>dos</w:t>
            </w:r>
            <w:r>
              <w:rPr>
                <w:spacing w:val="-3"/>
                <w:sz w:val="24"/>
                <w:u w:val="single"/>
              </w:rPr>
              <w:t> </w:t>
            </w:r>
            <w:r>
              <w:rPr>
                <w:sz w:val="24"/>
                <w:u w:val="single"/>
              </w:rPr>
              <w:t>eventos</w:t>
              <w:tab/>
            </w:r>
            <w:r>
              <w:rPr>
                <w:position w:val="-8"/>
                <w:sz w:val="24"/>
              </w:rPr>
              <w:t>x </w:t>
            </w:r>
            <w:r>
              <w:rPr>
                <w:spacing w:val="-6"/>
                <w:position w:val="-8"/>
                <w:sz w:val="24"/>
              </w:rPr>
              <w:t>100 </w:t>
            </w:r>
            <w:r>
              <w:rPr>
                <w:sz w:val="24"/>
              </w:rPr>
              <w:t>quantidade de participantes</w:t>
            </w:r>
            <w:r>
              <w:rPr>
                <w:spacing w:val="-5"/>
                <w:sz w:val="24"/>
              </w:rPr>
              <w:t> </w:t>
            </w:r>
            <w:r>
              <w:rPr>
                <w:sz w:val="24"/>
              </w:rPr>
              <w:t>presentes</w:t>
            </w:r>
          </w:p>
        </w:tc>
        <w:tc>
          <w:tcPr>
            <w:tcW w:w="1786" w:type="dxa"/>
          </w:tcPr>
          <w:p>
            <w:pPr>
              <w:pStyle w:val="TableParagraph"/>
              <w:rPr>
                <w:rFonts w:ascii="Calibri Light"/>
                <w:b w:val="0"/>
                <w:sz w:val="24"/>
              </w:rPr>
            </w:pPr>
          </w:p>
          <w:p>
            <w:pPr>
              <w:pStyle w:val="TableParagraph"/>
              <w:spacing w:before="167"/>
              <w:ind w:left="193"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167"/>
              <w:ind w:left="129" w:right="104"/>
              <w:jc w:val="center"/>
              <w:rPr>
                <w:sz w:val="24"/>
              </w:rPr>
            </w:pPr>
            <w:r>
              <w:rPr>
                <w:sz w:val="24"/>
              </w:rPr>
              <w:t>GERAD/GERPLAN</w:t>
            </w:r>
          </w:p>
        </w:tc>
      </w:tr>
      <w:tr>
        <w:trPr>
          <w:trHeight w:val="1545" w:hRule="atLeast"/>
        </w:trPr>
        <w:tc>
          <w:tcPr>
            <w:tcW w:w="5245" w:type="dxa"/>
            <w:tcBorders>
              <w:left w:val="single" w:sz="8" w:space="0" w:color="000000"/>
            </w:tcBorders>
          </w:tcPr>
          <w:p>
            <w:pPr>
              <w:pStyle w:val="TableParagraph"/>
              <w:rPr>
                <w:rFonts w:ascii="Calibri Light"/>
                <w:b w:val="0"/>
                <w:sz w:val="24"/>
              </w:rPr>
            </w:pPr>
          </w:p>
          <w:p>
            <w:pPr>
              <w:pStyle w:val="TableParagraph"/>
              <w:spacing w:before="176"/>
              <w:ind w:left="69"/>
              <w:rPr>
                <w:sz w:val="24"/>
              </w:rPr>
            </w:pPr>
            <w:r>
              <w:rPr>
                <w:sz w:val="24"/>
              </w:rPr>
              <w:t>Índice de alcance das melhores práticas (%)</w:t>
            </w:r>
          </w:p>
          <w:p>
            <w:pPr>
              <w:pStyle w:val="TableParagraph"/>
              <w:spacing w:before="1"/>
              <w:ind w:left="69"/>
              <w:rPr>
                <w:b/>
                <w:sz w:val="24"/>
              </w:rPr>
            </w:pPr>
            <w:r>
              <w:rPr>
                <w:b/>
                <w:sz w:val="24"/>
              </w:rPr>
              <w:t>(CAU/BR)</w:t>
            </w:r>
          </w:p>
        </w:tc>
        <w:tc>
          <w:tcPr>
            <w:tcW w:w="6579" w:type="dxa"/>
          </w:tcPr>
          <w:p>
            <w:pPr>
              <w:pStyle w:val="TableParagraph"/>
              <w:spacing w:before="4"/>
              <w:rPr>
                <w:rFonts w:ascii="Calibri Light"/>
                <w:b w:val="0"/>
                <w:sz w:val="19"/>
              </w:rPr>
            </w:pPr>
          </w:p>
          <w:p>
            <w:pPr>
              <w:pStyle w:val="TableParagraph"/>
              <w:spacing w:before="1"/>
              <w:ind w:left="256"/>
              <w:rPr>
                <w:sz w:val="24"/>
              </w:rPr>
            </w:pPr>
            <w:r>
              <w:rPr>
                <w:sz w:val="24"/>
              </w:rPr>
              <w:t>número de pessoas atingida pelo material produzido e</w:t>
            </w:r>
          </w:p>
          <w:p>
            <w:pPr>
              <w:pStyle w:val="TableParagraph"/>
              <w:tabs>
                <w:tab w:pos="2383" w:val="left" w:leader="none"/>
                <w:tab w:pos="5818" w:val="left" w:leader="none"/>
              </w:tabs>
              <w:spacing w:line="189" w:lineRule="auto" w:before="28"/>
              <w:ind w:left="647" w:right="104" w:hanging="639"/>
              <w:rPr>
                <w:sz w:val="24"/>
              </w:rPr>
            </w:pPr>
            <w:r>
              <w:rPr>
                <w:sz w:val="24"/>
                <w:u w:val="single"/>
              </w:rPr>
              <w:t> </w:t>
              <w:tab/>
              <w:tab/>
              <w:t>distribuído</w:t>
              <w:tab/>
            </w:r>
            <w:r>
              <w:rPr>
                <w:position w:val="-8"/>
                <w:sz w:val="24"/>
              </w:rPr>
              <w:t>x </w:t>
            </w:r>
            <w:r>
              <w:rPr>
                <w:spacing w:val="-6"/>
                <w:position w:val="-8"/>
                <w:sz w:val="24"/>
              </w:rPr>
              <w:t>100 </w:t>
            </w:r>
            <w:r>
              <w:rPr>
                <w:sz w:val="24"/>
              </w:rPr>
              <w:t>quantidade de material informativo</w:t>
            </w:r>
            <w:r>
              <w:rPr>
                <w:spacing w:val="-8"/>
                <w:sz w:val="24"/>
              </w:rPr>
              <w:t> </w:t>
            </w:r>
            <w:r>
              <w:rPr>
                <w:sz w:val="24"/>
              </w:rPr>
              <w:t>produzido</w:t>
            </w:r>
          </w:p>
        </w:tc>
        <w:tc>
          <w:tcPr>
            <w:tcW w:w="1786" w:type="dxa"/>
          </w:tcPr>
          <w:p>
            <w:pPr>
              <w:pStyle w:val="TableParagraph"/>
              <w:rPr>
                <w:rFonts w:ascii="Calibri Light"/>
                <w:b w:val="0"/>
                <w:sz w:val="24"/>
              </w:rPr>
            </w:pPr>
          </w:p>
          <w:p>
            <w:pPr>
              <w:pStyle w:val="TableParagraph"/>
              <w:spacing w:before="5"/>
              <w:rPr>
                <w:rFonts w:ascii="Calibri Light"/>
                <w:b w:val="0"/>
                <w:sz w:val="26"/>
              </w:rPr>
            </w:pPr>
          </w:p>
          <w:p>
            <w:pPr>
              <w:pStyle w:val="TableParagraph"/>
              <w:ind w:left="193" w:right="172"/>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5"/>
              <w:rPr>
                <w:rFonts w:ascii="Calibri Light"/>
                <w:b w:val="0"/>
                <w:sz w:val="26"/>
              </w:rPr>
            </w:pPr>
          </w:p>
          <w:p>
            <w:pPr>
              <w:pStyle w:val="TableParagraph"/>
              <w:ind w:left="127" w:right="104"/>
              <w:jc w:val="center"/>
              <w:rPr>
                <w:sz w:val="24"/>
              </w:rPr>
            </w:pPr>
            <w:r>
              <w:rPr>
                <w:sz w:val="24"/>
              </w:rPr>
              <w:t>GERPLAN</w:t>
            </w:r>
          </w:p>
        </w:tc>
      </w:tr>
    </w:tbl>
    <w:p>
      <w:pPr>
        <w:spacing w:after="0"/>
        <w:jc w:val="center"/>
        <w:rPr>
          <w:sz w:val="24"/>
        </w:rPr>
        <w:sectPr>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9"/>
        <w:gridCol w:w="5885"/>
        <w:gridCol w:w="810"/>
        <w:gridCol w:w="1698"/>
        <w:gridCol w:w="1986"/>
      </w:tblGrid>
      <w:tr>
        <w:trPr>
          <w:trHeight w:val="1589" w:hRule="atLeast"/>
        </w:trPr>
        <w:tc>
          <w:tcPr>
            <w:tcW w:w="5219"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Pr>
                <w:b/>
                <w:sz w:val="24"/>
              </w:rPr>
            </w:pPr>
            <w:r>
              <w:rPr>
                <w:b/>
                <w:color w:val="FFFFFF"/>
                <w:sz w:val="24"/>
              </w:rPr>
              <w:t>Garantir a participação dos arquitetos e urbanistas no planejamento territorial e na gestão urbana</w:t>
            </w:r>
          </w:p>
        </w:tc>
        <w:tc>
          <w:tcPr>
            <w:tcW w:w="6695"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055" w:right="1038"/>
              <w:jc w:val="center"/>
              <w:rPr>
                <w:b/>
                <w:sz w:val="24"/>
              </w:rPr>
            </w:pPr>
            <w:r>
              <w:rPr>
                <w:b/>
                <w:color w:val="FFFFFF"/>
                <w:sz w:val="24"/>
              </w:rPr>
              <w:t>Fórmula</w:t>
            </w:r>
          </w:p>
        </w:tc>
        <w:tc>
          <w:tcPr>
            <w:tcW w:w="1698"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41" w:right="128"/>
              <w:jc w:val="center"/>
              <w:rPr>
                <w:b/>
                <w:sz w:val="24"/>
              </w:rPr>
            </w:pPr>
            <w:r>
              <w:rPr>
                <w:b/>
                <w:color w:val="FFFFFF"/>
                <w:sz w:val="24"/>
              </w:rPr>
              <w:t>Periodicidade</w:t>
            </w:r>
          </w:p>
        </w:tc>
        <w:tc>
          <w:tcPr>
            <w:tcW w:w="1986"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701" w:right="683"/>
              <w:jc w:val="center"/>
              <w:rPr>
                <w:b/>
                <w:sz w:val="24"/>
              </w:rPr>
            </w:pPr>
            <w:r>
              <w:rPr>
                <w:b/>
                <w:color w:val="FFFFFF"/>
                <w:sz w:val="24"/>
              </w:rPr>
              <w:t>ÁREA</w:t>
            </w:r>
          </w:p>
        </w:tc>
      </w:tr>
      <w:tr>
        <w:trPr>
          <w:trHeight w:val="1070" w:hRule="atLeast"/>
        </w:trPr>
        <w:tc>
          <w:tcPr>
            <w:tcW w:w="5219" w:type="dxa"/>
            <w:tcBorders>
              <w:left w:val="single" w:sz="8" w:space="0" w:color="000000"/>
            </w:tcBorders>
          </w:tcPr>
          <w:p>
            <w:pPr>
              <w:pStyle w:val="TableParagraph"/>
              <w:spacing w:before="85"/>
              <w:ind w:left="69" w:right="572"/>
              <w:rPr>
                <w:sz w:val="24"/>
              </w:rPr>
            </w:pPr>
            <w:r>
              <w:rPr>
                <w:sz w:val="24"/>
              </w:rPr>
              <w:t>Ações realizadas em conjunto com municípios, destinadas ao planejamento urbano</w:t>
            </w:r>
          </w:p>
          <w:p>
            <w:pPr>
              <w:pStyle w:val="TableParagraph"/>
              <w:spacing w:line="293" w:lineRule="exact"/>
              <w:ind w:left="69"/>
              <w:rPr>
                <w:b/>
                <w:sz w:val="24"/>
              </w:rPr>
            </w:pPr>
            <w:r>
              <w:rPr>
                <w:b/>
                <w:sz w:val="24"/>
              </w:rPr>
              <w:t>(CAU/BR)</w:t>
            </w:r>
          </w:p>
        </w:tc>
        <w:tc>
          <w:tcPr>
            <w:tcW w:w="6695" w:type="dxa"/>
            <w:gridSpan w:val="2"/>
          </w:tcPr>
          <w:p>
            <w:pPr>
              <w:pStyle w:val="TableParagraph"/>
              <w:spacing w:before="12"/>
              <w:rPr>
                <w:rFonts w:ascii="Calibri Light"/>
                <w:b w:val="0"/>
                <w:sz w:val="30"/>
              </w:rPr>
            </w:pPr>
          </w:p>
          <w:p>
            <w:pPr>
              <w:pStyle w:val="TableParagraph"/>
              <w:ind w:left="1055" w:right="1040"/>
              <w:jc w:val="center"/>
              <w:rPr>
                <w:sz w:val="24"/>
              </w:rPr>
            </w:pPr>
            <w:r>
              <w:rPr>
                <w:sz w:val="24"/>
              </w:rPr>
              <w:t>número de ações com participação do CAU/BR</w:t>
            </w:r>
          </w:p>
        </w:tc>
        <w:tc>
          <w:tcPr>
            <w:tcW w:w="1698" w:type="dxa"/>
          </w:tcPr>
          <w:p>
            <w:pPr>
              <w:pStyle w:val="TableParagraph"/>
              <w:spacing w:before="12"/>
              <w:rPr>
                <w:rFonts w:ascii="Calibri Light"/>
                <w:b w:val="0"/>
                <w:sz w:val="30"/>
              </w:rPr>
            </w:pPr>
          </w:p>
          <w:p>
            <w:pPr>
              <w:pStyle w:val="TableParagraph"/>
              <w:ind w:left="143" w:right="128"/>
              <w:jc w:val="center"/>
              <w:rPr>
                <w:sz w:val="24"/>
              </w:rPr>
            </w:pPr>
            <w:r>
              <w:rPr>
                <w:sz w:val="24"/>
              </w:rPr>
              <w:t>Anual</w:t>
            </w:r>
          </w:p>
        </w:tc>
        <w:tc>
          <w:tcPr>
            <w:tcW w:w="1986" w:type="dxa"/>
            <w:tcBorders>
              <w:right w:val="single" w:sz="8" w:space="0" w:color="000000"/>
            </w:tcBorders>
          </w:tcPr>
          <w:p>
            <w:pPr>
              <w:pStyle w:val="TableParagraph"/>
              <w:spacing w:before="12"/>
              <w:rPr>
                <w:rFonts w:ascii="Calibri Light"/>
                <w:b w:val="0"/>
                <w:sz w:val="30"/>
              </w:rPr>
            </w:pPr>
          </w:p>
          <w:p>
            <w:pPr>
              <w:pStyle w:val="TableParagraph"/>
              <w:ind w:left="702" w:right="683"/>
              <w:jc w:val="center"/>
              <w:rPr>
                <w:sz w:val="24"/>
              </w:rPr>
            </w:pPr>
            <w:r>
              <w:rPr>
                <w:sz w:val="24"/>
              </w:rPr>
              <w:t>CPUA</w:t>
            </w:r>
          </w:p>
        </w:tc>
      </w:tr>
      <w:tr>
        <w:trPr>
          <w:trHeight w:val="1591" w:hRule="atLeast"/>
        </w:trPr>
        <w:tc>
          <w:tcPr>
            <w:tcW w:w="5219" w:type="dxa"/>
            <w:tcBorders>
              <w:left w:val="single" w:sz="8" w:space="0" w:color="000000"/>
            </w:tcBorders>
            <w:shd w:val="clear" w:color="auto" w:fill="008080"/>
          </w:tcPr>
          <w:p>
            <w:pPr>
              <w:pStyle w:val="TableParagraph"/>
              <w:rPr>
                <w:rFonts w:ascii="Calibri Light"/>
                <w:b w:val="0"/>
                <w:sz w:val="24"/>
              </w:rPr>
            </w:pPr>
          </w:p>
          <w:p>
            <w:pPr>
              <w:pStyle w:val="TableParagraph"/>
              <w:spacing w:before="201"/>
              <w:ind w:left="69"/>
              <w:rPr>
                <w:b/>
                <w:sz w:val="24"/>
              </w:rPr>
            </w:pPr>
            <w:r>
              <w:rPr>
                <w:b/>
                <w:color w:val="FFFFFF"/>
                <w:sz w:val="24"/>
              </w:rPr>
              <w:t>Influenciar as diretrizes do ensino de Arquitetura e Urbanismo e sua formação continuada</w:t>
            </w:r>
          </w:p>
        </w:tc>
        <w:tc>
          <w:tcPr>
            <w:tcW w:w="6695" w:type="dxa"/>
            <w:gridSpan w:val="2"/>
            <w:shd w:val="clear" w:color="auto" w:fill="008080"/>
          </w:tcPr>
          <w:p>
            <w:pPr>
              <w:pStyle w:val="TableParagraph"/>
              <w:rPr>
                <w:rFonts w:ascii="Calibri Light"/>
                <w:b w:val="0"/>
                <w:sz w:val="24"/>
              </w:rPr>
            </w:pPr>
          </w:p>
          <w:p>
            <w:pPr>
              <w:pStyle w:val="TableParagraph"/>
              <w:spacing w:before="5"/>
              <w:rPr>
                <w:rFonts w:ascii="Calibri Light"/>
                <w:b w:val="0"/>
                <w:sz w:val="28"/>
              </w:rPr>
            </w:pPr>
          </w:p>
          <w:p>
            <w:pPr>
              <w:pStyle w:val="TableParagraph"/>
              <w:ind w:left="1055" w:right="1038"/>
              <w:jc w:val="center"/>
              <w:rPr>
                <w:b/>
                <w:sz w:val="24"/>
              </w:rPr>
            </w:pPr>
            <w:r>
              <w:rPr>
                <w:b/>
                <w:color w:val="FFFFFF"/>
                <w:sz w:val="24"/>
              </w:rPr>
              <w:t>Fórmula</w:t>
            </w:r>
          </w:p>
        </w:tc>
        <w:tc>
          <w:tcPr>
            <w:tcW w:w="1698" w:type="dxa"/>
            <w:shd w:val="clear" w:color="auto" w:fill="008080"/>
          </w:tcPr>
          <w:p>
            <w:pPr>
              <w:pStyle w:val="TableParagraph"/>
              <w:rPr>
                <w:rFonts w:ascii="Calibri Light"/>
                <w:b w:val="0"/>
                <w:sz w:val="24"/>
              </w:rPr>
            </w:pPr>
          </w:p>
          <w:p>
            <w:pPr>
              <w:pStyle w:val="TableParagraph"/>
              <w:spacing w:before="5"/>
              <w:rPr>
                <w:rFonts w:ascii="Calibri Light"/>
                <w:b w:val="0"/>
                <w:sz w:val="28"/>
              </w:rPr>
            </w:pPr>
          </w:p>
          <w:p>
            <w:pPr>
              <w:pStyle w:val="TableParagraph"/>
              <w:ind w:left="141" w:right="128"/>
              <w:jc w:val="center"/>
              <w:rPr>
                <w:b/>
                <w:sz w:val="24"/>
              </w:rPr>
            </w:pPr>
            <w:r>
              <w:rPr>
                <w:b/>
                <w:color w:val="FFFFFF"/>
                <w:sz w:val="24"/>
              </w:rPr>
              <w:t>Periodicidade</w:t>
            </w:r>
          </w:p>
        </w:tc>
        <w:tc>
          <w:tcPr>
            <w:tcW w:w="1986" w:type="dxa"/>
            <w:tcBorders>
              <w:right w:val="single" w:sz="8" w:space="0" w:color="000000"/>
            </w:tcBorders>
            <w:shd w:val="clear" w:color="auto" w:fill="008080"/>
          </w:tcPr>
          <w:p>
            <w:pPr>
              <w:pStyle w:val="TableParagraph"/>
              <w:rPr>
                <w:rFonts w:ascii="Calibri Light"/>
                <w:b w:val="0"/>
                <w:sz w:val="24"/>
              </w:rPr>
            </w:pPr>
          </w:p>
          <w:p>
            <w:pPr>
              <w:pStyle w:val="TableParagraph"/>
              <w:spacing w:before="5"/>
              <w:rPr>
                <w:rFonts w:ascii="Calibri Light"/>
                <w:b w:val="0"/>
                <w:sz w:val="28"/>
              </w:rPr>
            </w:pPr>
          </w:p>
          <w:p>
            <w:pPr>
              <w:pStyle w:val="TableParagraph"/>
              <w:ind w:left="701" w:right="683"/>
              <w:jc w:val="center"/>
              <w:rPr>
                <w:b/>
                <w:sz w:val="24"/>
              </w:rPr>
            </w:pPr>
            <w:r>
              <w:rPr>
                <w:b/>
                <w:color w:val="FFFFFF"/>
                <w:sz w:val="24"/>
              </w:rPr>
              <w:t>ÁREA</w:t>
            </w:r>
          </w:p>
        </w:tc>
      </w:tr>
      <w:tr>
        <w:trPr>
          <w:trHeight w:val="995" w:hRule="atLeast"/>
        </w:trPr>
        <w:tc>
          <w:tcPr>
            <w:tcW w:w="5219" w:type="dxa"/>
            <w:tcBorders>
              <w:left w:val="single" w:sz="8" w:space="0" w:color="000000"/>
            </w:tcBorders>
          </w:tcPr>
          <w:p>
            <w:pPr>
              <w:pStyle w:val="TableParagraph"/>
              <w:spacing w:line="242" w:lineRule="auto" w:before="193"/>
              <w:ind w:left="69" w:right="171"/>
              <w:rPr>
                <w:sz w:val="24"/>
              </w:rPr>
            </w:pPr>
            <w:r>
              <w:rPr>
                <w:sz w:val="24"/>
              </w:rPr>
              <w:t>Índice de cursos </w:t>
            </w:r>
            <w:r>
              <w:rPr>
                <w:b/>
                <w:sz w:val="24"/>
              </w:rPr>
              <w:t>INSERIDOS </w:t>
            </w:r>
            <w:r>
              <w:rPr>
                <w:sz w:val="24"/>
              </w:rPr>
              <w:t>no IGEO (atendimento ao Art. 4º da Lei 12378/2010)</w:t>
            </w:r>
          </w:p>
        </w:tc>
        <w:tc>
          <w:tcPr>
            <w:tcW w:w="5885" w:type="dxa"/>
            <w:tcBorders>
              <w:right w:val="nil"/>
            </w:tcBorders>
          </w:tcPr>
          <w:p>
            <w:pPr>
              <w:pStyle w:val="TableParagraph"/>
              <w:tabs>
                <w:tab w:pos="1312" w:val="left" w:leader="none"/>
                <w:tab w:pos="5844" w:val="left" w:leader="none"/>
              </w:tabs>
              <w:spacing w:line="247" w:lineRule="auto" w:before="212"/>
              <w:ind w:left="688" w:right="33" w:hanging="680"/>
              <w:rPr>
                <w:sz w:val="24"/>
              </w:rPr>
            </w:pPr>
            <w:r>
              <w:rPr>
                <w:sz w:val="24"/>
                <w:u w:val="single"/>
              </w:rPr>
              <w:t> </w:t>
              <w:tab/>
              <w:tab/>
              <w:t>número de cursos</w:t>
            </w:r>
            <w:r>
              <w:rPr>
                <w:spacing w:val="-11"/>
                <w:sz w:val="24"/>
                <w:u w:val="single"/>
              </w:rPr>
              <w:t> </w:t>
            </w:r>
            <w:r>
              <w:rPr>
                <w:sz w:val="24"/>
                <w:u w:val="single"/>
              </w:rPr>
              <w:t>inseridos</w:t>
            </w:r>
            <w:r>
              <w:rPr>
                <w:spacing w:val="-3"/>
                <w:sz w:val="24"/>
                <w:u w:val="single"/>
              </w:rPr>
              <w:t> </w:t>
            </w:r>
            <w:r>
              <w:rPr>
                <w:sz w:val="24"/>
                <w:u w:val="single"/>
              </w:rPr>
              <w:t>IGEO</w:t>
              <w:tab/>
            </w:r>
            <w:r>
              <w:rPr>
                <w:sz w:val="24"/>
              </w:rPr>
              <w:t> número de cursos constante no eMEC</w:t>
            </w:r>
            <w:r>
              <w:rPr>
                <w:spacing w:val="-10"/>
                <w:sz w:val="24"/>
              </w:rPr>
              <w:t> </w:t>
            </w:r>
            <w:r>
              <w:rPr>
                <w:sz w:val="24"/>
              </w:rPr>
              <w:t>(eMEC)</w:t>
            </w:r>
          </w:p>
        </w:tc>
        <w:tc>
          <w:tcPr>
            <w:tcW w:w="810" w:type="dxa"/>
            <w:tcBorders>
              <w:left w:val="nil"/>
            </w:tcBorders>
          </w:tcPr>
          <w:p>
            <w:pPr>
              <w:pStyle w:val="TableParagraph"/>
              <w:spacing w:before="10"/>
              <w:rPr>
                <w:rFonts w:ascii="Calibri Light"/>
                <w:b w:val="0"/>
                <w:sz w:val="27"/>
              </w:rPr>
            </w:pPr>
          </w:p>
          <w:p>
            <w:pPr>
              <w:pStyle w:val="TableParagraph"/>
              <w:ind w:left="127"/>
              <w:rPr>
                <w:sz w:val="24"/>
              </w:rPr>
            </w:pPr>
            <w:r>
              <w:rPr>
                <w:sz w:val="24"/>
              </w:rPr>
              <w:t>x 100</w:t>
            </w:r>
          </w:p>
        </w:tc>
        <w:tc>
          <w:tcPr>
            <w:tcW w:w="1698" w:type="dxa"/>
          </w:tcPr>
          <w:p>
            <w:pPr>
              <w:pStyle w:val="TableParagraph"/>
              <w:spacing w:before="10"/>
              <w:rPr>
                <w:rFonts w:ascii="Calibri Light"/>
                <w:b w:val="0"/>
                <w:sz w:val="27"/>
              </w:rPr>
            </w:pPr>
          </w:p>
          <w:p>
            <w:pPr>
              <w:pStyle w:val="TableParagraph"/>
              <w:ind w:left="143" w:right="128"/>
              <w:jc w:val="center"/>
              <w:rPr>
                <w:sz w:val="24"/>
              </w:rPr>
            </w:pPr>
            <w:r>
              <w:rPr>
                <w:sz w:val="24"/>
              </w:rPr>
              <w:t>Semestral</w:t>
            </w:r>
          </w:p>
        </w:tc>
        <w:tc>
          <w:tcPr>
            <w:tcW w:w="1986" w:type="dxa"/>
            <w:tcBorders>
              <w:right w:val="single" w:sz="8" w:space="0" w:color="000000"/>
            </w:tcBorders>
          </w:tcPr>
          <w:p>
            <w:pPr>
              <w:pStyle w:val="TableParagraph"/>
              <w:spacing w:before="10"/>
              <w:rPr>
                <w:rFonts w:ascii="Calibri Light"/>
                <w:b w:val="0"/>
                <w:sz w:val="27"/>
              </w:rPr>
            </w:pPr>
          </w:p>
          <w:p>
            <w:pPr>
              <w:pStyle w:val="TableParagraph"/>
              <w:ind w:left="699" w:right="683"/>
              <w:jc w:val="center"/>
              <w:rPr>
                <w:sz w:val="24"/>
              </w:rPr>
            </w:pPr>
            <w:r>
              <w:rPr>
                <w:sz w:val="24"/>
              </w:rPr>
              <w:t>CEF</w:t>
            </w:r>
          </w:p>
        </w:tc>
      </w:tr>
      <w:tr>
        <w:trPr>
          <w:trHeight w:val="936" w:hRule="atLeast"/>
        </w:trPr>
        <w:tc>
          <w:tcPr>
            <w:tcW w:w="5219" w:type="dxa"/>
            <w:tcBorders>
              <w:left w:val="single" w:sz="8" w:space="0" w:color="000000"/>
            </w:tcBorders>
          </w:tcPr>
          <w:p>
            <w:pPr>
              <w:pStyle w:val="TableParagraph"/>
              <w:spacing w:before="165"/>
              <w:ind w:left="69" w:right="71"/>
              <w:rPr>
                <w:sz w:val="24"/>
              </w:rPr>
            </w:pPr>
            <w:r>
              <w:rPr>
                <w:sz w:val="24"/>
              </w:rPr>
              <w:t>Índice de cursos com </w:t>
            </w:r>
            <w:r>
              <w:rPr>
                <w:b/>
                <w:sz w:val="24"/>
              </w:rPr>
              <w:t>CADASTRO COMPLETO </w:t>
            </w:r>
            <w:r>
              <w:rPr>
                <w:sz w:val="24"/>
              </w:rPr>
              <w:t>no SICCAU (atendimento ao Art. 4º da Lei 12378/2010)</w:t>
            </w:r>
          </w:p>
        </w:tc>
        <w:tc>
          <w:tcPr>
            <w:tcW w:w="5885" w:type="dxa"/>
            <w:tcBorders>
              <w:right w:val="nil"/>
            </w:tcBorders>
          </w:tcPr>
          <w:p>
            <w:pPr>
              <w:pStyle w:val="TableParagraph"/>
              <w:tabs>
                <w:tab w:pos="1045" w:val="left" w:leader="none"/>
                <w:tab w:pos="5844" w:val="left" w:leader="none"/>
              </w:tabs>
              <w:spacing w:line="249" w:lineRule="auto" w:before="199"/>
              <w:ind w:left="688" w:right="33" w:hanging="680"/>
              <w:rPr>
                <w:sz w:val="24"/>
              </w:rPr>
            </w:pPr>
            <w:r>
              <w:rPr>
                <w:sz w:val="24"/>
                <w:u w:val="single"/>
              </w:rPr>
              <w:t> </w:t>
              <w:tab/>
              <w:tab/>
              <w:t>número de cursos</w:t>
            </w:r>
            <w:r>
              <w:rPr>
                <w:spacing w:val="-12"/>
                <w:sz w:val="24"/>
                <w:u w:val="single"/>
              </w:rPr>
              <w:t> </w:t>
            </w:r>
            <w:r>
              <w:rPr>
                <w:sz w:val="24"/>
                <w:u w:val="single"/>
              </w:rPr>
              <w:t>cadastrados</w:t>
            </w:r>
            <w:r>
              <w:rPr>
                <w:spacing w:val="-3"/>
                <w:sz w:val="24"/>
                <w:u w:val="single"/>
              </w:rPr>
              <w:t> </w:t>
            </w:r>
            <w:r>
              <w:rPr>
                <w:sz w:val="24"/>
                <w:u w:val="single"/>
              </w:rPr>
              <w:t>SICCAU</w:t>
              <w:tab/>
            </w:r>
            <w:r>
              <w:rPr>
                <w:sz w:val="24"/>
              </w:rPr>
              <w:t> número de cursos constante no eMEC</w:t>
            </w:r>
            <w:r>
              <w:rPr>
                <w:spacing w:val="-10"/>
                <w:sz w:val="24"/>
              </w:rPr>
              <w:t> </w:t>
            </w:r>
            <w:r>
              <w:rPr>
                <w:sz w:val="24"/>
              </w:rPr>
              <w:t>(eMEC)</w:t>
            </w:r>
          </w:p>
        </w:tc>
        <w:tc>
          <w:tcPr>
            <w:tcW w:w="810" w:type="dxa"/>
            <w:tcBorders>
              <w:left w:val="nil"/>
            </w:tcBorders>
          </w:tcPr>
          <w:p>
            <w:pPr>
              <w:pStyle w:val="TableParagraph"/>
              <w:spacing w:before="6"/>
              <w:rPr>
                <w:rFonts w:ascii="Calibri Light"/>
                <w:b w:val="0"/>
                <w:sz w:val="25"/>
              </w:rPr>
            </w:pPr>
          </w:p>
          <w:p>
            <w:pPr>
              <w:pStyle w:val="TableParagraph"/>
              <w:ind w:left="127"/>
              <w:rPr>
                <w:sz w:val="24"/>
              </w:rPr>
            </w:pPr>
            <w:r>
              <w:rPr>
                <w:sz w:val="24"/>
              </w:rPr>
              <w:t>x 100</w:t>
            </w:r>
          </w:p>
        </w:tc>
        <w:tc>
          <w:tcPr>
            <w:tcW w:w="1698" w:type="dxa"/>
          </w:tcPr>
          <w:p>
            <w:pPr>
              <w:pStyle w:val="TableParagraph"/>
              <w:spacing w:before="6"/>
              <w:rPr>
                <w:rFonts w:ascii="Calibri Light"/>
                <w:b w:val="0"/>
                <w:sz w:val="25"/>
              </w:rPr>
            </w:pPr>
          </w:p>
          <w:p>
            <w:pPr>
              <w:pStyle w:val="TableParagraph"/>
              <w:ind w:left="143" w:right="128"/>
              <w:jc w:val="center"/>
              <w:rPr>
                <w:sz w:val="24"/>
              </w:rPr>
            </w:pPr>
            <w:r>
              <w:rPr>
                <w:sz w:val="24"/>
              </w:rPr>
              <w:t>Semestral</w:t>
            </w:r>
          </w:p>
        </w:tc>
        <w:tc>
          <w:tcPr>
            <w:tcW w:w="1986" w:type="dxa"/>
            <w:tcBorders>
              <w:right w:val="single" w:sz="8" w:space="0" w:color="000000"/>
            </w:tcBorders>
          </w:tcPr>
          <w:p>
            <w:pPr>
              <w:pStyle w:val="TableParagraph"/>
              <w:spacing w:before="6"/>
              <w:rPr>
                <w:rFonts w:ascii="Calibri Light"/>
                <w:b w:val="0"/>
                <w:sz w:val="25"/>
              </w:rPr>
            </w:pPr>
          </w:p>
          <w:p>
            <w:pPr>
              <w:pStyle w:val="TableParagraph"/>
              <w:ind w:left="699" w:right="683"/>
              <w:jc w:val="center"/>
              <w:rPr>
                <w:sz w:val="24"/>
              </w:rPr>
            </w:pPr>
            <w:r>
              <w:rPr>
                <w:sz w:val="24"/>
              </w:rPr>
              <w:t>CEF</w:t>
            </w:r>
          </w:p>
        </w:tc>
      </w:tr>
      <w:tr>
        <w:trPr>
          <w:trHeight w:val="1262" w:hRule="atLeast"/>
        </w:trPr>
        <w:tc>
          <w:tcPr>
            <w:tcW w:w="5219" w:type="dxa"/>
            <w:tcBorders>
              <w:left w:val="single" w:sz="8" w:space="0" w:color="000000"/>
            </w:tcBorders>
          </w:tcPr>
          <w:p>
            <w:pPr>
              <w:pStyle w:val="TableParagraph"/>
              <w:spacing w:before="10"/>
              <w:rPr>
                <w:rFonts w:ascii="Calibri Light"/>
                <w:b w:val="0"/>
                <w:sz w:val="26"/>
              </w:rPr>
            </w:pPr>
          </w:p>
          <w:p>
            <w:pPr>
              <w:pStyle w:val="TableParagraph"/>
              <w:ind w:left="69" w:right="1123"/>
              <w:rPr>
                <w:sz w:val="24"/>
              </w:rPr>
            </w:pPr>
            <w:r>
              <w:rPr>
                <w:sz w:val="24"/>
              </w:rPr>
              <w:t>Índice de Registros Realizados a partir de Importação de Lista de Egressos</w:t>
            </w:r>
          </w:p>
        </w:tc>
        <w:tc>
          <w:tcPr>
            <w:tcW w:w="5885" w:type="dxa"/>
            <w:tcBorders>
              <w:right w:val="nil"/>
            </w:tcBorders>
          </w:tcPr>
          <w:p>
            <w:pPr>
              <w:pStyle w:val="TableParagraph"/>
              <w:spacing w:before="102"/>
              <w:ind w:left="76"/>
              <w:rPr>
                <w:sz w:val="24"/>
              </w:rPr>
            </w:pPr>
            <w:r>
              <w:rPr>
                <w:sz w:val="24"/>
              </w:rPr>
              <w:t>número de registrados a partir de importação de lista pelo</w:t>
            </w:r>
          </w:p>
          <w:p>
            <w:pPr>
              <w:pStyle w:val="TableParagraph"/>
              <w:tabs>
                <w:tab w:pos="2294" w:val="left" w:leader="none"/>
                <w:tab w:pos="5844" w:val="left" w:leader="none"/>
              </w:tabs>
              <w:spacing w:line="247" w:lineRule="auto"/>
              <w:ind w:left="1113" w:right="33" w:hanging="1104"/>
              <w:rPr>
                <w:sz w:val="24"/>
              </w:rPr>
            </w:pPr>
            <w:r>
              <w:rPr>
                <w:sz w:val="24"/>
                <w:u w:val="single"/>
              </w:rPr>
              <w:t> </w:t>
              <w:tab/>
              <w:tab/>
              <w:t>coordenador</w:t>
              <w:tab/>
            </w:r>
            <w:r>
              <w:rPr>
                <w:sz w:val="24"/>
              </w:rPr>
              <w:t> número total de egressos</w:t>
            </w:r>
            <w:r>
              <w:rPr>
                <w:spacing w:val="-4"/>
                <w:sz w:val="24"/>
              </w:rPr>
              <w:t> </w:t>
            </w:r>
            <w:r>
              <w:rPr>
                <w:sz w:val="24"/>
              </w:rPr>
              <w:t>registrados</w:t>
            </w:r>
          </w:p>
        </w:tc>
        <w:tc>
          <w:tcPr>
            <w:tcW w:w="810" w:type="dxa"/>
            <w:tcBorders>
              <w:left w:val="nil"/>
            </w:tcBorders>
          </w:tcPr>
          <w:p>
            <w:pPr>
              <w:pStyle w:val="TableParagraph"/>
              <w:rPr>
                <w:rFonts w:ascii="Calibri Light"/>
                <w:b w:val="0"/>
                <w:sz w:val="24"/>
              </w:rPr>
            </w:pPr>
          </w:p>
          <w:p>
            <w:pPr>
              <w:pStyle w:val="TableParagraph"/>
              <w:spacing w:before="181"/>
              <w:ind w:left="127"/>
              <w:rPr>
                <w:sz w:val="24"/>
              </w:rPr>
            </w:pPr>
            <w:r>
              <w:rPr>
                <w:sz w:val="24"/>
              </w:rPr>
              <w:t>x 100</w:t>
            </w:r>
          </w:p>
        </w:tc>
        <w:tc>
          <w:tcPr>
            <w:tcW w:w="1698" w:type="dxa"/>
          </w:tcPr>
          <w:p>
            <w:pPr>
              <w:pStyle w:val="TableParagraph"/>
              <w:rPr>
                <w:rFonts w:ascii="Calibri Light"/>
                <w:b w:val="0"/>
                <w:sz w:val="24"/>
              </w:rPr>
            </w:pPr>
          </w:p>
          <w:p>
            <w:pPr>
              <w:pStyle w:val="TableParagraph"/>
              <w:spacing w:before="181"/>
              <w:ind w:left="143" w:right="128"/>
              <w:jc w:val="center"/>
              <w:rPr>
                <w:sz w:val="24"/>
              </w:rPr>
            </w:pPr>
            <w:r>
              <w:rPr>
                <w:sz w:val="24"/>
              </w:rPr>
              <w:t>Anual</w:t>
            </w:r>
          </w:p>
        </w:tc>
        <w:tc>
          <w:tcPr>
            <w:tcW w:w="1986" w:type="dxa"/>
            <w:tcBorders>
              <w:right w:val="single" w:sz="8" w:space="0" w:color="000000"/>
            </w:tcBorders>
          </w:tcPr>
          <w:p>
            <w:pPr>
              <w:pStyle w:val="TableParagraph"/>
              <w:rPr>
                <w:rFonts w:ascii="Calibri Light"/>
                <w:b w:val="0"/>
                <w:sz w:val="24"/>
              </w:rPr>
            </w:pPr>
          </w:p>
          <w:p>
            <w:pPr>
              <w:pStyle w:val="TableParagraph"/>
              <w:spacing w:before="181"/>
              <w:ind w:left="699" w:right="683"/>
              <w:jc w:val="center"/>
              <w:rPr>
                <w:sz w:val="24"/>
              </w:rPr>
            </w:pPr>
            <w:r>
              <w:rPr>
                <w:sz w:val="24"/>
              </w:rPr>
              <w:t>CEF</w:t>
            </w:r>
          </w:p>
        </w:tc>
      </w:tr>
      <w:tr>
        <w:trPr>
          <w:trHeight w:val="981" w:hRule="atLeast"/>
        </w:trPr>
        <w:tc>
          <w:tcPr>
            <w:tcW w:w="5219" w:type="dxa"/>
            <w:tcBorders>
              <w:left w:val="single" w:sz="8" w:space="0" w:color="000000"/>
            </w:tcBorders>
          </w:tcPr>
          <w:p>
            <w:pPr>
              <w:pStyle w:val="TableParagraph"/>
              <w:spacing w:before="3"/>
              <w:rPr>
                <w:rFonts w:ascii="Calibri Light"/>
                <w:b w:val="0"/>
                <w:sz w:val="27"/>
              </w:rPr>
            </w:pPr>
          </w:p>
          <w:p>
            <w:pPr>
              <w:pStyle w:val="TableParagraph"/>
              <w:ind w:left="69"/>
              <w:rPr>
                <w:sz w:val="24"/>
              </w:rPr>
            </w:pPr>
            <w:r>
              <w:rPr>
                <w:sz w:val="24"/>
              </w:rPr>
              <w:t>Índice de cursos avaliados pelo CAU</w:t>
            </w:r>
          </w:p>
        </w:tc>
        <w:tc>
          <w:tcPr>
            <w:tcW w:w="5885" w:type="dxa"/>
            <w:tcBorders>
              <w:right w:val="nil"/>
            </w:tcBorders>
          </w:tcPr>
          <w:p>
            <w:pPr>
              <w:pStyle w:val="TableParagraph"/>
              <w:rPr>
                <w:rFonts w:ascii="Calibri Light"/>
                <w:b w:val="0"/>
                <w:sz w:val="20"/>
              </w:rPr>
            </w:pPr>
          </w:p>
          <w:p>
            <w:pPr>
              <w:pStyle w:val="TableParagraph"/>
              <w:tabs>
                <w:tab w:pos="1566" w:val="left" w:leader="none"/>
                <w:tab w:pos="5844" w:val="left" w:leader="none"/>
              </w:tabs>
              <w:spacing w:line="247" w:lineRule="auto"/>
              <w:ind w:left="81" w:right="33" w:hanging="72"/>
              <w:rPr>
                <w:sz w:val="24"/>
              </w:rPr>
            </w:pPr>
            <w:r>
              <w:rPr>
                <w:sz w:val="24"/>
                <w:u w:val="single"/>
              </w:rPr>
              <w:t> </w:t>
              <w:tab/>
              <w:tab/>
              <w:t>número de</w:t>
            </w:r>
            <w:r>
              <w:rPr>
                <w:spacing w:val="-8"/>
                <w:sz w:val="24"/>
                <w:u w:val="single"/>
              </w:rPr>
              <w:t> </w:t>
            </w:r>
            <w:r>
              <w:rPr>
                <w:sz w:val="24"/>
                <w:u w:val="single"/>
              </w:rPr>
              <w:t>cursos</w:t>
            </w:r>
            <w:r>
              <w:rPr>
                <w:spacing w:val="-2"/>
                <w:sz w:val="24"/>
                <w:u w:val="single"/>
              </w:rPr>
              <w:t> </w:t>
            </w:r>
            <w:r>
              <w:rPr>
                <w:sz w:val="24"/>
                <w:u w:val="single"/>
              </w:rPr>
              <w:t>avaliados</w:t>
              <w:tab/>
            </w:r>
            <w:r>
              <w:rPr>
                <w:sz w:val="24"/>
              </w:rPr>
              <w:t> número de cursos previstos para avaliação (Projeto</w:t>
            </w:r>
            <w:r>
              <w:rPr>
                <w:spacing w:val="-16"/>
                <w:sz w:val="24"/>
              </w:rPr>
              <w:t> </w:t>
            </w:r>
            <w:r>
              <w:rPr>
                <w:sz w:val="24"/>
              </w:rPr>
              <w:t>Piloto)</w:t>
            </w:r>
          </w:p>
        </w:tc>
        <w:tc>
          <w:tcPr>
            <w:tcW w:w="810" w:type="dxa"/>
            <w:tcBorders>
              <w:left w:val="nil"/>
            </w:tcBorders>
          </w:tcPr>
          <w:p>
            <w:pPr>
              <w:pStyle w:val="TableParagraph"/>
              <w:spacing w:before="3"/>
              <w:rPr>
                <w:rFonts w:ascii="Calibri Light"/>
                <w:b w:val="0"/>
                <w:sz w:val="27"/>
              </w:rPr>
            </w:pPr>
          </w:p>
          <w:p>
            <w:pPr>
              <w:pStyle w:val="TableParagraph"/>
              <w:ind w:left="127"/>
              <w:rPr>
                <w:sz w:val="24"/>
              </w:rPr>
            </w:pPr>
            <w:r>
              <w:rPr>
                <w:sz w:val="24"/>
              </w:rPr>
              <w:t>x 100</w:t>
            </w:r>
          </w:p>
        </w:tc>
        <w:tc>
          <w:tcPr>
            <w:tcW w:w="1698" w:type="dxa"/>
          </w:tcPr>
          <w:p>
            <w:pPr>
              <w:pStyle w:val="TableParagraph"/>
              <w:spacing w:before="3"/>
              <w:rPr>
                <w:rFonts w:ascii="Calibri Light"/>
                <w:b w:val="0"/>
                <w:sz w:val="27"/>
              </w:rPr>
            </w:pPr>
          </w:p>
          <w:p>
            <w:pPr>
              <w:pStyle w:val="TableParagraph"/>
              <w:ind w:left="143" w:right="128"/>
              <w:jc w:val="center"/>
              <w:rPr>
                <w:sz w:val="24"/>
              </w:rPr>
            </w:pPr>
            <w:r>
              <w:rPr>
                <w:sz w:val="24"/>
              </w:rPr>
              <w:t>Anual</w:t>
            </w:r>
          </w:p>
        </w:tc>
        <w:tc>
          <w:tcPr>
            <w:tcW w:w="1986" w:type="dxa"/>
            <w:tcBorders>
              <w:right w:val="single" w:sz="8" w:space="0" w:color="000000"/>
            </w:tcBorders>
          </w:tcPr>
          <w:p>
            <w:pPr>
              <w:pStyle w:val="TableParagraph"/>
              <w:spacing w:before="3"/>
              <w:rPr>
                <w:rFonts w:ascii="Calibri Light"/>
                <w:b w:val="0"/>
                <w:sz w:val="27"/>
              </w:rPr>
            </w:pPr>
          </w:p>
          <w:p>
            <w:pPr>
              <w:pStyle w:val="TableParagraph"/>
              <w:ind w:left="699" w:right="683"/>
              <w:jc w:val="center"/>
              <w:rPr>
                <w:sz w:val="24"/>
              </w:rPr>
            </w:pPr>
            <w:r>
              <w:rPr>
                <w:sz w:val="24"/>
              </w:rPr>
              <w:t>CEF</w:t>
            </w:r>
          </w:p>
        </w:tc>
      </w:tr>
    </w:tbl>
    <w:p>
      <w:pPr>
        <w:spacing w:after="0"/>
        <w:jc w:val="center"/>
        <w:rPr>
          <w:sz w:val="24"/>
        </w:rPr>
        <w:sectPr>
          <w:headerReference w:type="default" r:id="rId51"/>
          <w:footerReference w:type="default" r:id="rId52"/>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3"/>
        <w:gridCol w:w="6862"/>
        <w:gridCol w:w="1785"/>
        <w:gridCol w:w="1842"/>
      </w:tblGrid>
      <w:tr>
        <w:trPr>
          <w:trHeight w:val="1589" w:hRule="atLeast"/>
        </w:trPr>
        <w:tc>
          <w:tcPr>
            <w:tcW w:w="5103"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ight="87"/>
              <w:rPr>
                <w:b/>
                <w:sz w:val="24"/>
              </w:rPr>
            </w:pPr>
            <w:r>
              <w:rPr>
                <w:b/>
                <w:color w:val="FFFFFF"/>
                <w:sz w:val="24"/>
              </w:rPr>
              <w:t>Estimular a produção da arquitetura e urbanismo como política de Estado</w:t>
            </w:r>
          </w:p>
        </w:tc>
        <w:tc>
          <w:tcPr>
            <w:tcW w:w="6862"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2500" w:right="2480"/>
              <w:jc w:val="center"/>
              <w:rPr>
                <w:b/>
                <w:sz w:val="24"/>
              </w:rPr>
            </w:pPr>
            <w:r>
              <w:rPr>
                <w:b/>
                <w:color w:val="FFFFFF"/>
                <w:sz w:val="24"/>
              </w:rPr>
              <w:t>Fórmula</w:t>
            </w:r>
          </w:p>
        </w:tc>
        <w:tc>
          <w:tcPr>
            <w:tcW w:w="1785"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94" w:right="174"/>
              <w:jc w:val="center"/>
              <w:rPr>
                <w:b/>
                <w:sz w:val="24"/>
              </w:rPr>
            </w:pPr>
            <w:r>
              <w:rPr>
                <w:b/>
                <w:color w:val="FFFFFF"/>
                <w:sz w:val="24"/>
              </w:rPr>
              <w:t>Periodicidade</w:t>
            </w:r>
          </w:p>
        </w:tc>
        <w:tc>
          <w:tcPr>
            <w:tcW w:w="1842"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638" w:right="604"/>
              <w:jc w:val="center"/>
              <w:rPr>
                <w:b/>
                <w:sz w:val="24"/>
              </w:rPr>
            </w:pPr>
            <w:r>
              <w:rPr>
                <w:b/>
                <w:color w:val="FFFFFF"/>
                <w:sz w:val="24"/>
              </w:rPr>
              <w:t>ÁREA</w:t>
            </w:r>
          </w:p>
        </w:tc>
      </w:tr>
      <w:tr>
        <w:trPr>
          <w:trHeight w:val="1509" w:hRule="atLeast"/>
        </w:trPr>
        <w:tc>
          <w:tcPr>
            <w:tcW w:w="5103" w:type="dxa"/>
            <w:tcBorders>
              <w:left w:val="single" w:sz="8" w:space="0" w:color="000000"/>
            </w:tcBorders>
          </w:tcPr>
          <w:p>
            <w:pPr>
              <w:pStyle w:val="TableParagraph"/>
              <w:spacing w:before="11"/>
              <w:rPr>
                <w:rFonts w:ascii="Calibri Light"/>
                <w:b w:val="0"/>
                <w:sz w:val="24"/>
              </w:rPr>
            </w:pPr>
          </w:p>
          <w:p>
            <w:pPr>
              <w:pStyle w:val="TableParagraph"/>
              <w:ind w:left="69" w:right="74"/>
              <w:rPr>
                <w:sz w:val="24"/>
              </w:rPr>
            </w:pPr>
            <w:r>
              <w:rPr>
                <w:sz w:val="24"/>
              </w:rPr>
              <w:t>Participação do CAU na elaboração de leis que impactem o exercício profissional da Arquitetura e Urbanismo (%)</w:t>
            </w:r>
          </w:p>
        </w:tc>
        <w:tc>
          <w:tcPr>
            <w:tcW w:w="6862" w:type="dxa"/>
          </w:tcPr>
          <w:p>
            <w:pPr>
              <w:pStyle w:val="TableParagraph"/>
              <w:rPr>
                <w:rFonts w:ascii="Calibri Light"/>
                <w:b w:val="0"/>
                <w:sz w:val="24"/>
              </w:rPr>
            </w:pPr>
          </w:p>
          <w:p>
            <w:pPr>
              <w:pStyle w:val="TableParagraph"/>
              <w:rPr>
                <w:rFonts w:ascii="Calibri Light"/>
                <w:b w:val="0"/>
                <w:sz w:val="18"/>
              </w:rPr>
            </w:pPr>
          </w:p>
          <w:p>
            <w:pPr>
              <w:pStyle w:val="TableParagraph"/>
              <w:tabs>
                <w:tab w:pos="465" w:val="left" w:leader="none"/>
                <w:tab w:pos="6101" w:val="left" w:leader="none"/>
              </w:tabs>
              <w:spacing w:line="180" w:lineRule="auto" w:before="1"/>
              <w:ind w:left="453" w:right="101" w:hanging="444"/>
              <w:rPr>
                <w:sz w:val="24"/>
              </w:rPr>
            </w:pPr>
            <w:r>
              <w:rPr>
                <w:sz w:val="24"/>
                <w:u w:val="single"/>
              </w:rPr>
              <w:t> </w:t>
              <w:tab/>
              <w:tab/>
              <w:t>número de projetos de lei com envolvimento</w:t>
            </w:r>
            <w:r>
              <w:rPr>
                <w:spacing w:val="-14"/>
                <w:sz w:val="24"/>
                <w:u w:val="single"/>
              </w:rPr>
              <w:t> </w:t>
            </w:r>
            <w:r>
              <w:rPr>
                <w:sz w:val="24"/>
                <w:u w:val="single"/>
              </w:rPr>
              <w:t>do</w:t>
            </w:r>
            <w:r>
              <w:rPr>
                <w:spacing w:val="-3"/>
                <w:sz w:val="24"/>
                <w:u w:val="single"/>
              </w:rPr>
              <w:t> </w:t>
            </w:r>
            <w:r>
              <w:rPr>
                <w:sz w:val="24"/>
                <w:u w:val="single"/>
              </w:rPr>
              <w:t>CAU</w:t>
              <w:tab/>
            </w:r>
            <w:r>
              <w:rPr>
                <w:position w:val="-10"/>
                <w:sz w:val="24"/>
              </w:rPr>
              <w:t>x </w:t>
            </w:r>
            <w:r>
              <w:rPr>
                <w:spacing w:val="-5"/>
                <w:position w:val="-10"/>
                <w:sz w:val="24"/>
              </w:rPr>
              <w:t>100 </w:t>
            </w:r>
            <w:r>
              <w:rPr>
                <w:sz w:val="24"/>
              </w:rPr>
              <w:t>total de projetos de lei que impactam a Arquitetura</w:t>
            </w:r>
            <w:r>
              <w:rPr>
                <w:spacing w:val="-12"/>
                <w:sz w:val="24"/>
              </w:rPr>
              <w:t> </w:t>
            </w:r>
            <w:r>
              <w:rPr>
                <w:sz w:val="24"/>
              </w:rPr>
              <w:t>e</w:t>
            </w:r>
          </w:p>
          <w:p>
            <w:pPr>
              <w:pStyle w:val="TableParagraph"/>
              <w:spacing w:before="16"/>
              <w:ind w:left="2245" w:right="2983"/>
              <w:jc w:val="center"/>
              <w:rPr>
                <w:sz w:val="24"/>
              </w:rPr>
            </w:pPr>
            <w:r>
              <w:rPr>
                <w:sz w:val="24"/>
              </w:rPr>
              <w:t>Urbanismo</w:t>
            </w:r>
          </w:p>
        </w:tc>
        <w:tc>
          <w:tcPr>
            <w:tcW w:w="1785" w:type="dxa"/>
          </w:tcPr>
          <w:p>
            <w:pPr>
              <w:pStyle w:val="TableParagraph"/>
              <w:rPr>
                <w:rFonts w:ascii="Calibri Light"/>
                <w:b w:val="0"/>
                <w:sz w:val="24"/>
              </w:rPr>
            </w:pPr>
          </w:p>
          <w:p>
            <w:pPr>
              <w:pStyle w:val="TableParagraph"/>
              <w:spacing w:before="10"/>
              <w:rPr>
                <w:rFonts w:ascii="Calibri Light"/>
                <w:b w:val="0"/>
                <w:sz w:val="24"/>
              </w:rPr>
            </w:pPr>
          </w:p>
          <w:p>
            <w:pPr>
              <w:pStyle w:val="TableParagraph"/>
              <w:spacing w:before="1"/>
              <w:ind w:left="194" w:right="173"/>
              <w:jc w:val="center"/>
              <w:rPr>
                <w:sz w:val="24"/>
              </w:rPr>
            </w:pPr>
            <w:r>
              <w:rPr>
                <w:sz w:val="24"/>
              </w:rPr>
              <w:t>Trimestral</w:t>
            </w:r>
          </w:p>
        </w:tc>
        <w:tc>
          <w:tcPr>
            <w:tcW w:w="1842" w:type="dxa"/>
            <w:tcBorders>
              <w:right w:val="single" w:sz="8" w:space="0" w:color="000000"/>
            </w:tcBorders>
          </w:tcPr>
          <w:p>
            <w:pPr>
              <w:pStyle w:val="TableParagraph"/>
              <w:rPr>
                <w:rFonts w:ascii="Calibri Light"/>
                <w:b w:val="0"/>
                <w:sz w:val="24"/>
              </w:rPr>
            </w:pPr>
          </w:p>
          <w:p>
            <w:pPr>
              <w:pStyle w:val="TableParagraph"/>
              <w:spacing w:before="10"/>
              <w:rPr>
                <w:rFonts w:ascii="Calibri Light"/>
                <w:b w:val="0"/>
                <w:sz w:val="24"/>
              </w:rPr>
            </w:pPr>
          </w:p>
          <w:p>
            <w:pPr>
              <w:pStyle w:val="TableParagraph"/>
              <w:spacing w:before="1"/>
              <w:ind w:left="635" w:right="604"/>
              <w:jc w:val="center"/>
              <w:rPr>
                <w:sz w:val="24"/>
              </w:rPr>
            </w:pPr>
            <w:r>
              <w:rPr>
                <w:sz w:val="24"/>
              </w:rPr>
              <w:t>AIP</w:t>
            </w:r>
          </w:p>
        </w:tc>
      </w:tr>
      <w:tr>
        <w:trPr>
          <w:trHeight w:val="1538" w:hRule="atLeast"/>
        </w:trPr>
        <w:tc>
          <w:tcPr>
            <w:tcW w:w="5103" w:type="dxa"/>
            <w:tcBorders>
              <w:left w:val="single" w:sz="8" w:space="0" w:color="000000"/>
            </w:tcBorders>
          </w:tcPr>
          <w:p>
            <w:pPr>
              <w:pStyle w:val="TableParagraph"/>
              <w:rPr>
                <w:rFonts w:ascii="Calibri Light"/>
                <w:b w:val="0"/>
                <w:sz w:val="24"/>
              </w:rPr>
            </w:pPr>
          </w:p>
          <w:p>
            <w:pPr>
              <w:pStyle w:val="TableParagraph"/>
              <w:spacing w:before="172"/>
              <w:ind w:left="69" w:right="191"/>
              <w:rPr>
                <w:sz w:val="24"/>
              </w:rPr>
            </w:pPr>
            <w:r>
              <w:rPr>
                <w:sz w:val="24"/>
              </w:rPr>
              <w:t>Índice de adesão dos parlamentares às propostas legislativas do CAU/BR</w:t>
            </w:r>
          </w:p>
        </w:tc>
        <w:tc>
          <w:tcPr>
            <w:tcW w:w="6862" w:type="dxa"/>
          </w:tcPr>
          <w:p>
            <w:pPr>
              <w:pStyle w:val="TableParagraph"/>
              <w:spacing w:before="7"/>
              <w:rPr>
                <w:rFonts w:ascii="Calibri Light"/>
                <w:b w:val="0"/>
                <w:sz w:val="18"/>
              </w:rPr>
            </w:pPr>
          </w:p>
          <w:p>
            <w:pPr>
              <w:pStyle w:val="TableParagraph"/>
              <w:spacing w:before="1"/>
              <w:ind w:left="451"/>
              <w:rPr>
                <w:sz w:val="24"/>
              </w:rPr>
            </w:pPr>
            <w:r>
              <w:rPr>
                <w:sz w:val="24"/>
              </w:rPr>
              <w:t>total de propostas apresentadas pelos parlamentares</w:t>
            </w:r>
          </w:p>
          <w:p>
            <w:pPr>
              <w:pStyle w:val="TableParagraph"/>
              <w:tabs>
                <w:tab w:pos="2066" w:val="left" w:leader="none"/>
                <w:tab w:pos="6101" w:val="left" w:leader="none"/>
              </w:tabs>
              <w:spacing w:line="189" w:lineRule="auto" w:before="28"/>
              <w:ind w:left="278" w:right="101" w:hanging="269"/>
              <w:rPr>
                <w:sz w:val="24"/>
              </w:rPr>
            </w:pPr>
            <w:r>
              <w:rPr>
                <w:sz w:val="24"/>
                <w:u w:val="single"/>
              </w:rPr>
              <w:t> </w:t>
              <w:tab/>
              <w:tab/>
              <w:t>solicitadas</w:t>
            </w:r>
            <w:r>
              <w:rPr>
                <w:spacing w:val="-4"/>
                <w:sz w:val="24"/>
                <w:u w:val="single"/>
              </w:rPr>
              <w:t> </w:t>
            </w:r>
            <w:r>
              <w:rPr>
                <w:sz w:val="24"/>
                <w:u w:val="single"/>
              </w:rPr>
              <w:t>pelo</w:t>
            </w:r>
            <w:r>
              <w:rPr>
                <w:spacing w:val="-2"/>
                <w:sz w:val="24"/>
                <w:u w:val="single"/>
              </w:rPr>
              <w:t> </w:t>
            </w:r>
            <w:r>
              <w:rPr>
                <w:sz w:val="24"/>
                <w:u w:val="single"/>
              </w:rPr>
              <w:t>CAU</w:t>
              <w:tab/>
            </w:r>
            <w:r>
              <w:rPr>
                <w:position w:val="-8"/>
                <w:sz w:val="24"/>
              </w:rPr>
              <w:t>x </w:t>
            </w:r>
            <w:r>
              <w:rPr>
                <w:spacing w:val="-5"/>
                <w:position w:val="-8"/>
                <w:sz w:val="24"/>
              </w:rPr>
              <w:t>100 </w:t>
            </w:r>
            <w:r>
              <w:rPr>
                <w:sz w:val="24"/>
              </w:rPr>
              <w:t>total de minutas de proposições legislativas enviadas</w:t>
            </w:r>
            <w:r>
              <w:rPr>
                <w:spacing w:val="-8"/>
                <w:sz w:val="24"/>
              </w:rPr>
              <w:t> </w:t>
            </w:r>
            <w:r>
              <w:rPr>
                <w:sz w:val="24"/>
              </w:rPr>
              <w:t>aos</w:t>
            </w:r>
          </w:p>
          <w:p>
            <w:pPr>
              <w:pStyle w:val="TableParagraph"/>
              <w:spacing w:before="14"/>
              <w:ind w:left="2342"/>
              <w:rPr>
                <w:sz w:val="24"/>
              </w:rPr>
            </w:pPr>
            <w:r>
              <w:rPr>
                <w:sz w:val="24"/>
              </w:rPr>
              <w:t>parlamentares</w:t>
            </w:r>
          </w:p>
        </w:tc>
        <w:tc>
          <w:tcPr>
            <w:tcW w:w="1785" w:type="dxa"/>
          </w:tcPr>
          <w:p>
            <w:pPr>
              <w:pStyle w:val="TableParagraph"/>
              <w:rPr>
                <w:rFonts w:ascii="Calibri Light"/>
                <w:b w:val="0"/>
                <w:sz w:val="24"/>
              </w:rPr>
            </w:pPr>
          </w:p>
          <w:p>
            <w:pPr>
              <w:pStyle w:val="TableParagraph"/>
              <w:spacing w:before="1"/>
              <w:rPr>
                <w:rFonts w:ascii="Calibri Light"/>
                <w:b w:val="0"/>
                <w:sz w:val="26"/>
              </w:rPr>
            </w:pPr>
          </w:p>
          <w:p>
            <w:pPr>
              <w:pStyle w:val="TableParagraph"/>
              <w:ind w:left="194" w:right="171"/>
              <w:jc w:val="center"/>
              <w:rPr>
                <w:sz w:val="24"/>
              </w:rPr>
            </w:pPr>
            <w:r>
              <w:rPr>
                <w:sz w:val="24"/>
              </w:rPr>
              <w:t>Anual</w:t>
            </w:r>
          </w:p>
        </w:tc>
        <w:tc>
          <w:tcPr>
            <w:tcW w:w="1842" w:type="dxa"/>
            <w:tcBorders>
              <w:right w:val="single" w:sz="8" w:space="0" w:color="000000"/>
            </w:tcBorders>
          </w:tcPr>
          <w:p>
            <w:pPr>
              <w:pStyle w:val="TableParagraph"/>
              <w:rPr>
                <w:rFonts w:ascii="Calibri Light"/>
                <w:b w:val="0"/>
                <w:sz w:val="24"/>
              </w:rPr>
            </w:pPr>
          </w:p>
          <w:p>
            <w:pPr>
              <w:pStyle w:val="TableParagraph"/>
              <w:spacing w:before="1"/>
              <w:rPr>
                <w:rFonts w:ascii="Calibri Light"/>
                <w:b w:val="0"/>
                <w:sz w:val="26"/>
              </w:rPr>
            </w:pPr>
          </w:p>
          <w:p>
            <w:pPr>
              <w:pStyle w:val="TableParagraph"/>
              <w:ind w:left="635" w:right="604"/>
              <w:jc w:val="center"/>
              <w:rPr>
                <w:sz w:val="24"/>
              </w:rPr>
            </w:pPr>
            <w:r>
              <w:rPr>
                <w:sz w:val="24"/>
              </w:rPr>
              <w:t>AIP</w:t>
            </w:r>
          </w:p>
        </w:tc>
      </w:tr>
      <w:tr>
        <w:trPr>
          <w:trHeight w:val="1113" w:hRule="atLeast"/>
        </w:trPr>
        <w:tc>
          <w:tcPr>
            <w:tcW w:w="5103" w:type="dxa"/>
            <w:tcBorders>
              <w:left w:val="single" w:sz="8" w:space="0" w:color="000000"/>
            </w:tcBorders>
          </w:tcPr>
          <w:p>
            <w:pPr>
              <w:pStyle w:val="TableParagraph"/>
              <w:spacing w:before="107"/>
              <w:ind w:left="69" w:right="465"/>
              <w:rPr>
                <w:sz w:val="24"/>
              </w:rPr>
            </w:pPr>
            <w:r>
              <w:rPr>
                <w:sz w:val="24"/>
              </w:rPr>
              <w:t>Índice de crescimento das audiências com autoridades e instituições agendadas pela AIP- CAU/BR</w:t>
            </w:r>
          </w:p>
        </w:tc>
        <w:tc>
          <w:tcPr>
            <w:tcW w:w="6862" w:type="dxa"/>
          </w:tcPr>
          <w:p>
            <w:pPr>
              <w:pStyle w:val="TableParagraph"/>
              <w:spacing w:before="4"/>
              <w:rPr>
                <w:rFonts w:ascii="Calibri Light"/>
                <w:b w:val="0"/>
                <w:sz w:val="23"/>
              </w:rPr>
            </w:pPr>
          </w:p>
          <w:p>
            <w:pPr>
              <w:pStyle w:val="TableParagraph"/>
              <w:tabs>
                <w:tab w:pos="496" w:val="left" w:leader="none"/>
                <w:tab w:pos="6101" w:val="left" w:leader="none"/>
              </w:tabs>
              <w:spacing w:line="168" w:lineRule="auto"/>
              <w:ind w:left="463" w:right="101" w:hanging="454"/>
              <w:rPr>
                <w:sz w:val="24"/>
              </w:rPr>
            </w:pPr>
            <w:r>
              <w:rPr>
                <w:sz w:val="24"/>
                <w:u w:val="single"/>
              </w:rPr>
              <w:t> </w:t>
              <w:tab/>
              <w:tab/>
              <w:t>quantitativo de audiências realizadas no</w:t>
            </w:r>
            <w:r>
              <w:rPr>
                <w:spacing w:val="-12"/>
                <w:sz w:val="24"/>
                <w:u w:val="single"/>
              </w:rPr>
              <w:t> </w:t>
            </w:r>
            <w:r>
              <w:rPr>
                <w:sz w:val="24"/>
                <w:u w:val="single"/>
              </w:rPr>
              <w:t>ano</w:t>
            </w:r>
            <w:r>
              <w:rPr>
                <w:spacing w:val="-3"/>
                <w:sz w:val="24"/>
                <w:u w:val="single"/>
              </w:rPr>
              <w:t> </w:t>
            </w:r>
            <w:r>
              <w:rPr>
                <w:sz w:val="24"/>
                <w:u w:val="single"/>
              </w:rPr>
              <w:t>vigente</w:t>
              <w:tab/>
            </w:r>
            <w:r>
              <w:rPr>
                <w:position w:val="-13"/>
                <w:sz w:val="24"/>
              </w:rPr>
              <w:t>x </w:t>
            </w:r>
            <w:r>
              <w:rPr>
                <w:spacing w:val="-5"/>
                <w:position w:val="-13"/>
                <w:sz w:val="24"/>
              </w:rPr>
              <w:t>100 </w:t>
            </w:r>
            <w:r>
              <w:rPr>
                <w:sz w:val="24"/>
              </w:rPr>
              <w:t>quantitativo de audiências realizadas no ano</w:t>
            </w:r>
            <w:r>
              <w:rPr>
                <w:spacing w:val="-7"/>
                <w:sz w:val="24"/>
              </w:rPr>
              <w:t> </w:t>
            </w:r>
            <w:r>
              <w:rPr>
                <w:sz w:val="24"/>
              </w:rPr>
              <w:t>anterior</w:t>
            </w:r>
          </w:p>
        </w:tc>
        <w:tc>
          <w:tcPr>
            <w:tcW w:w="1785" w:type="dxa"/>
          </w:tcPr>
          <w:p>
            <w:pPr>
              <w:pStyle w:val="TableParagraph"/>
              <w:spacing w:before="9"/>
              <w:rPr>
                <w:rFonts w:ascii="Calibri Light"/>
                <w:b w:val="0"/>
                <w:sz w:val="32"/>
              </w:rPr>
            </w:pPr>
          </w:p>
          <w:p>
            <w:pPr>
              <w:pStyle w:val="TableParagraph"/>
              <w:ind w:left="194" w:right="171"/>
              <w:jc w:val="center"/>
              <w:rPr>
                <w:sz w:val="24"/>
              </w:rPr>
            </w:pPr>
            <w:r>
              <w:rPr>
                <w:sz w:val="24"/>
              </w:rPr>
              <w:t>Anual</w:t>
            </w:r>
          </w:p>
        </w:tc>
        <w:tc>
          <w:tcPr>
            <w:tcW w:w="1842" w:type="dxa"/>
            <w:tcBorders>
              <w:right w:val="single" w:sz="8" w:space="0" w:color="000000"/>
            </w:tcBorders>
          </w:tcPr>
          <w:p>
            <w:pPr>
              <w:pStyle w:val="TableParagraph"/>
              <w:spacing w:before="9"/>
              <w:rPr>
                <w:rFonts w:ascii="Calibri Light"/>
                <w:b w:val="0"/>
                <w:sz w:val="32"/>
              </w:rPr>
            </w:pPr>
          </w:p>
          <w:p>
            <w:pPr>
              <w:pStyle w:val="TableParagraph"/>
              <w:ind w:left="635" w:right="604"/>
              <w:jc w:val="center"/>
              <w:rPr>
                <w:sz w:val="24"/>
              </w:rPr>
            </w:pPr>
            <w:r>
              <w:rPr>
                <w:sz w:val="24"/>
              </w:rPr>
              <w:t>AIP</w:t>
            </w:r>
          </w:p>
        </w:tc>
      </w:tr>
      <w:tr>
        <w:trPr>
          <w:trHeight w:val="1581" w:hRule="atLeast"/>
        </w:trPr>
        <w:tc>
          <w:tcPr>
            <w:tcW w:w="5103" w:type="dxa"/>
            <w:tcBorders>
              <w:left w:val="single" w:sz="8" w:space="0" w:color="000000"/>
            </w:tcBorders>
          </w:tcPr>
          <w:p>
            <w:pPr>
              <w:pStyle w:val="TableParagraph"/>
              <w:rPr>
                <w:rFonts w:ascii="Calibri Light"/>
                <w:b w:val="0"/>
                <w:sz w:val="24"/>
              </w:rPr>
            </w:pPr>
          </w:p>
          <w:p>
            <w:pPr>
              <w:pStyle w:val="TableParagraph"/>
              <w:spacing w:before="195"/>
              <w:ind w:left="69" w:right="352"/>
              <w:rPr>
                <w:sz w:val="24"/>
              </w:rPr>
            </w:pPr>
            <w:r>
              <w:rPr>
                <w:sz w:val="24"/>
              </w:rPr>
              <w:t>Índice de crescimento ano/ano das proposições legislativas acompanhadas pela AIP</w:t>
            </w:r>
          </w:p>
        </w:tc>
        <w:tc>
          <w:tcPr>
            <w:tcW w:w="6862" w:type="dxa"/>
          </w:tcPr>
          <w:p>
            <w:pPr>
              <w:pStyle w:val="TableParagraph"/>
              <w:spacing w:before="11"/>
              <w:rPr>
                <w:rFonts w:ascii="Calibri Light"/>
                <w:b w:val="0"/>
                <w:sz w:val="20"/>
              </w:rPr>
            </w:pPr>
          </w:p>
          <w:p>
            <w:pPr>
              <w:pStyle w:val="TableParagraph"/>
              <w:spacing w:before="1"/>
              <w:ind w:left="213"/>
              <w:rPr>
                <w:sz w:val="24"/>
              </w:rPr>
            </w:pPr>
            <w:r>
              <w:rPr>
                <w:sz w:val="24"/>
              </w:rPr>
              <w:t>quantitativo de proposições legislativas acompanhadas</w:t>
            </w:r>
            <w:r>
              <w:rPr>
                <w:spacing w:val="-26"/>
                <w:sz w:val="24"/>
              </w:rPr>
              <w:t> </w:t>
            </w:r>
            <w:r>
              <w:rPr>
                <w:sz w:val="24"/>
              </w:rPr>
              <w:t>no</w:t>
            </w:r>
          </w:p>
          <w:p>
            <w:pPr>
              <w:pStyle w:val="TableParagraph"/>
              <w:tabs>
                <w:tab w:pos="2482" w:val="left" w:leader="none"/>
                <w:tab w:pos="6101" w:val="left" w:leader="none"/>
              </w:tabs>
              <w:spacing w:line="189" w:lineRule="auto" w:before="28"/>
              <w:ind w:left="213" w:right="101" w:hanging="204"/>
              <w:rPr>
                <w:sz w:val="24"/>
              </w:rPr>
            </w:pPr>
            <w:r>
              <w:rPr>
                <w:sz w:val="24"/>
                <w:u w:val="single"/>
              </w:rPr>
              <w:t> </w:t>
              <w:tab/>
              <w:tab/>
              <w:t>ano vigente</w:t>
              <w:tab/>
            </w:r>
            <w:r>
              <w:rPr>
                <w:position w:val="-8"/>
                <w:sz w:val="24"/>
              </w:rPr>
              <w:t>x </w:t>
            </w:r>
            <w:r>
              <w:rPr>
                <w:spacing w:val="-5"/>
                <w:position w:val="-8"/>
                <w:sz w:val="24"/>
              </w:rPr>
              <w:t>100 </w:t>
            </w:r>
            <w:r>
              <w:rPr>
                <w:sz w:val="24"/>
              </w:rPr>
              <w:t>quantitativo de proposições legislativas acompanhadas</w:t>
            </w:r>
            <w:r>
              <w:rPr>
                <w:spacing w:val="-11"/>
                <w:sz w:val="24"/>
              </w:rPr>
              <w:t> </w:t>
            </w:r>
            <w:r>
              <w:rPr>
                <w:sz w:val="24"/>
              </w:rPr>
              <w:t>no</w:t>
            </w:r>
          </w:p>
          <w:p>
            <w:pPr>
              <w:pStyle w:val="TableParagraph"/>
              <w:spacing w:before="14"/>
              <w:ind w:left="2448"/>
              <w:rPr>
                <w:sz w:val="24"/>
              </w:rPr>
            </w:pPr>
            <w:r>
              <w:rPr>
                <w:sz w:val="24"/>
              </w:rPr>
              <w:t>ano anterior</w:t>
            </w:r>
          </w:p>
        </w:tc>
        <w:tc>
          <w:tcPr>
            <w:tcW w:w="1785" w:type="dxa"/>
          </w:tcPr>
          <w:p>
            <w:pPr>
              <w:pStyle w:val="TableParagraph"/>
              <w:rPr>
                <w:rFonts w:ascii="Calibri Light"/>
                <w:b w:val="0"/>
                <w:sz w:val="24"/>
              </w:rPr>
            </w:pPr>
          </w:p>
          <w:p>
            <w:pPr>
              <w:pStyle w:val="TableParagraph"/>
              <w:rPr>
                <w:rFonts w:ascii="Calibri Light"/>
                <w:b w:val="0"/>
                <w:sz w:val="28"/>
              </w:rPr>
            </w:pPr>
          </w:p>
          <w:p>
            <w:pPr>
              <w:pStyle w:val="TableParagraph"/>
              <w:ind w:left="194" w:right="171"/>
              <w:jc w:val="center"/>
              <w:rPr>
                <w:sz w:val="24"/>
              </w:rPr>
            </w:pPr>
            <w:r>
              <w:rPr>
                <w:sz w:val="24"/>
              </w:rPr>
              <w:t>Anual</w:t>
            </w:r>
          </w:p>
        </w:tc>
        <w:tc>
          <w:tcPr>
            <w:tcW w:w="1842" w:type="dxa"/>
            <w:tcBorders>
              <w:right w:val="single" w:sz="8" w:space="0" w:color="000000"/>
            </w:tcBorders>
          </w:tcPr>
          <w:p>
            <w:pPr>
              <w:pStyle w:val="TableParagraph"/>
              <w:rPr>
                <w:rFonts w:ascii="Calibri Light"/>
                <w:b w:val="0"/>
                <w:sz w:val="24"/>
              </w:rPr>
            </w:pPr>
          </w:p>
          <w:p>
            <w:pPr>
              <w:pStyle w:val="TableParagraph"/>
              <w:rPr>
                <w:rFonts w:ascii="Calibri Light"/>
                <w:b w:val="0"/>
                <w:sz w:val="28"/>
              </w:rPr>
            </w:pPr>
          </w:p>
          <w:p>
            <w:pPr>
              <w:pStyle w:val="TableParagraph"/>
              <w:ind w:left="635" w:right="604"/>
              <w:jc w:val="center"/>
              <w:rPr>
                <w:sz w:val="24"/>
              </w:rPr>
            </w:pPr>
            <w:r>
              <w:rPr>
                <w:sz w:val="24"/>
              </w:rPr>
              <w:t>AIP</w:t>
            </w:r>
          </w:p>
        </w:tc>
      </w:tr>
      <w:tr>
        <w:trPr>
          <w:trHeight w:val="1259" w:hRule="atLeast"/>
        </w:trPr>
        <w:tc>
          <w:tcPr>
            <w:tcW w:w="5103" w:type="dxa"/>
            <w:tcBorders>
              <w:left w:val="single" w:sz="8" w:space="0" w:color="000000"/>
            </w:tcBorders>
          </w:tcPr>
          <w:p>
            <w:pPr>
              <w:pStyle w:val="TableParagraph"/>
              <w:spacing w:line="242" w:lineRule="auto" w:before="179"/>
              <w:ind w:left="69" w:right="71"/>
              <w:rPr>
                <w:sz w:val="24"/>
              </w:rPr>
            </w:pPr>
            <w:r>
              <w:rPr>
                <w:sz w:val="24"/>
              </w:rPr>
              <w:t>Índice de ações realizadas destinadas à Assistência Técnica (%)</w:t>
            </w:r>
          </w:p>
          <w:p>
            <w:pPr>
              <w:pStyle w:val="TableParagraph"/>
              <w:spacing w:line="289" w:lineRule="exact"/>
              <w:ind w:left="69"/>
              <w:rPr>
                <w:b/>
                <w:sz w:val="24"/>
              </w:rPr>
            </w:pPr>
            <w:r>
              <w:rPr>
                <w:b/>
                <w:sz w:val="24"/>
              </w:rPr>
              <w:t>(CAU/BR)</w:t>
            </w:r>
          </w:p>
        </w:tc>
        <w:tc>
          <w:tcPr>
            <w:tcW w:w="6862" w:type="dxa"/>
          </w:tcPr>
          <w:p>
            <w:pPr>
              <w:pStyle w:val="TableParagraph"/>
              <w:spacing w:before="6"/>
              <w:rPr>
                <w:rFonts w:ascii="Calibri Light"/>
                <w:b w:val="0"/>
                <w:sz w:val="33"/>
              </w:rPr>
            </w:pPr>
          </w:p>
          <w:p>
            <w:pPr>
              <w:pStyle w:val="TableParagraph"/>
              <w:tabs>
                <w:tab w:pos="780" w:val="left" w:leader="none"/>
                <w:tab w:pos="6101" w:val="left" w:leader="none"/>
              </w:tabs>
              <w:spacing w:line="192" w:lineRule="auto"/>
              <w:ind w:left="1814" w:right="101" w:hanging="1805"/>
              <w:rPr>
                <w:sz w:val="24"/>
              </w:rPr>
            </w:pPr>
            <w:r>
              <w:rPr>
                <w:sz w:val="24"/>
                <w:u w:val="single"/>
              </w:rPr>
              <w:t> </w:t>
              <w:tab/>
              <w:t>número de ações com participação</w:t>
            </w:r>
            <w:r>
              <w:rPr>
                <w:spacing w:val="-9"/>
                <w:sz w:val="24"/>
                <w:u w:val="single"/>
              </w:rPr>
              <w:t> </w:t>
            </w:r>
            <w:r>
              <w:rPr>
                <w:sz w:val="24"/>
                <w:u w:val="single"/>
              </w:rPr>
              <w:t>do</w:t>
            </w:r>
            <w:r>
              <w:rPr>
                <w:spacing w:val="-2"/>
                <w:sz w:val="24"/>
                <w:u w:val="single"/>
              </w:rPr>
              <w:t> </w:t>
            </w:r>
            <w:r>
              <w:rPr>
                <w:sz w:val="24"/>
                <w:u w:val="single"/>
              </w:rPr>
              <w:t>CAU/BR</w:t>
              <w:tab/>
            </w:r>
            <w:r>
              <w:rPr>
                <w:position w:val="-8"/>
                <w:sz w:val="24"/>
              </w:rPr>
              <w:t>x </w:t>
            </w:r>
            <w:r>
              <w:rPr>
                <w:spacing w:val="-5"/>
                <w:position w:val="-8"/>
                <w:sz w:val="24"/>
              </w:rPr>
              <w:t>100 </w:t>
            </w:r>
            <w:r>
              <w:rPr>
                <w:sz w:val="24"/>
              </w:rPr>
              <w:t>total de municípios da</w:t>
            </w:r>
            <w:r>
              <w:rPr>
                <w:spacing w:val="-9"/>
                <w:sz w:val="24"/>
              </w:rPr>
              <w:t> </w:t>
            </w:r>
            <w:r>
              <w:rPr>
                <w:sz w:val="24"/>
              </w:rPr>
              <w:t>BR</w:t>
            </w:r>
          </w:p>
        </w:tc>
        <w:tc>
          <w:tcPr>
            <w:tcW w:w="1785" w:type="dxa"/>
          </w:tcPr>
          <w:p>
            <w:pPr>
              <w:pStyle w:val="TableParagraph"/>
              <w:rPr>
                <w:rFonts w:ascii="Calibri Light"/>
                <w:b w:val="0"/>
                <w:sz w:val="24"/>
              </w:rPr>
            </w:pPr>
          </w:p>
          <w:p>
            <w:pPr>
              <w:pStyle w:val="TableParagraph"/>
              <w:spacing w:before="181"/>
              <w:ind w:left="194" w:right="171"/>
              <w:jc w:val="center"/>
              <w:rPr>
                <w:sz w:val="24"/>
              </w:rPr>
            </w:pPr>
            <w:r>
              <w:rPr>
                <w:sz w:val="24"/>
              </w:rPr>
              <w:t>Anual</w:t>
            </w:r>
          </w:p>
        </w:tc>
        <w:tc>
          <w:tcPr>
            <w:tcW w:w="1842" w:type="dxa"/>
            <w:tcBorders>
              <w:right w:val="single" w:sz="8" w:space="0" w:color="000000"/>
            </w:tcBorders>
          </w:tcPr>
          <w:p>
            <w:pPr>
              <w:pStyle w:val="TableParagraph"/>
              <w:rPr>
                <w:rFonts w:ascii="Calibri Light"/>
                <w:b w:val="0"/>
                <w:sz w:val="24"/>
              </w:rPr>
            </w:pPr>
          </w:p>
          <w:p>
            <w:pPr>
              <w:pStyle w:val="TableParagraph"/>
              <w:spacing w:before="181"/>
              <w:ind w:left="634" w:right="604"/>
              <w:jc w:val="center"/>
              <w:rPr>
                <w:sz w:val="24"/>
              </w:rPr>
            </w:pPr>
            <w:r>
              <w:rPr>
                <w:sz w:val="24"/>
              </w:rPr>
              <w:t>CPP</w:t>
            </w:r>
          </w:p>
        </w:tc>
      </w:tr>
    </w:tbl>
    <w:p>
      <w:pPr>
        <w:spacing w:after="0"/>
        <w:jc w:val="center"/>
        <w:rPr>
          <w:sz w:val="24"/>
        </w:rPr>
        <w:sectPr>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5"/>
        <w:gridCol w:w="5959"/>
        <w:gridCol w:w="875"/>
        <w:gridCol w:w="1844"/>
        <w:gridCol w:w="1844"/>
      </w:tblGrid>
      <w:tr>
        <w:trPr>
          <w:trHeight w:val="1589" w:hRule="atLeast"/>
        </w:trPr>
        <w:tc>
          <w:tcPr>
            <w:tcW w:w="5075"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ight="884"/>
              <w:rPr>
                <w:b/>
                <w:sz w:val="24"/>
              </w:rPr>
            </w:pPr>
            <w:r>
              <w:rPr>
                <w:b/>
                <w:color w:val="FFFFFF"/>
                <w:sz w:val="24"/>
              </w:rPr>
              <w:t>Assegurar a eficácia no relacionamento e comunicação com a sociedade</w:t>
            </w:r>
          </w:p>
        </w:tc>
        <w:tc>
          <w:tcPr>
            <w:tcW w:w="6834"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84" w:right="162"/>
              <w:jc w:val="center"/>
              <w:rPr>
                <w:b/>
                <w:sz w:val="24"/>
              </w:rPr>
            </w:pPr>
            <w:r>
              <w:rPr>
                <w:b/>
                <w:color w:val="FFFFFF"/>
                <w:sz w:val="24"/>
              </w:rPr>
              <w:t>Fórmula</w:t>
            </w:r>
          </w:p>
        </w:tc>
        <w:tc>
          <w:tcPr>
            <w:tcW w:w="1844"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224" w:right="203"/>
              <w:jc w:val="center"/>
              <w:rPr>
                <w:b/>
                <w:sz w:val="24"/>
              </w:rPr>
            </w:pPr>
            <w:r>
              <w:rPr>
                <w:b/>
                <w:color w:val="FFFFFF"/>
                <w:sz w:val="24"/>
              </w:rPr>
              <w:t>Periodicidade</w:t>
            </w:r>
          </w:p>
        </w:tc>
        <w:tc>
          <w:tcPr>
            <w:tcW w:w="1844"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480" w:right="454"/>
              <w:jc w:val="center"/>
              <w:rPr>
                <w:b/>
                <w:sz w:val="24"/>
              </w:rPr>
            </w:pPr>
            <w:r>
              <w:rPr>
                <w:b/>
                <w:color w:val="FFFFFF"/>
                <w:sz w:val="24"/>
              </w:rPr>
              <w:t>ÁREA</w:t>
            </w:r>
          </w:p>
        </w:tc>
      </w:tr>
      <w:tr>
        <w:trPr>
          <w:trHeight w:val="786" w:hRule="atLeast"/>
        </w:trPr>
        <w:tc>
          <w:tcPr>
            <w:tcW w:w="5075" w:type="dxa"/>
            <w:tcBorders>
              <w:left w:val="single" w:sz="8" w:space="0" w:color="000000"/>
            </w:tcBorders>
          </w:tcPr>
          <w:p>
            <w:pPr>
              <w:pStyle w:val="TableParagraph"/>
              <w:spacing w:before="4"/>
              <w:rPr>
                <w:rFonts w:ascii="Calibri Light"/>
                <w:b w:val="0"/>
                <w:sz w:val="19"/>
              </w:rPr>
            </w:pPr>
          </w:p>
          <w:p>
            <w:pPr>
              <w:pStyle w:val="TableParagraph"/>
              <w:spacing w:before="1"/>
              <w:ind w:left="69"/>
              <w:rPr>
                <w:sz w:val="24"/>
              </w:rPr>
            </w:pPr>
            <w:r>
              <w:rPr>
                <w:sz w:val="24"/>
              </w:rPr>
              <w:t>Índice de seguidores do CAU/BR nas Redes Sociais</w:t>
            </w:r>
          </w:p>
        </w:tc>
        <w:tc>
          <w:tcPr>
            <w:tcW w:w="6834" w:type="dxa"/>
            <w:gridSpan w:val="2"/>
          </w:tcPr>
          <w:p>
            <w:pPr>
              <w:pStyle w:val="TableParagraph"/>
              <w:spacing w:before="90"/>
              <w:ind w:left="1456" w:right="662" w:hanging="756"/>
              <w:rPr>
                <w:sz w:val="24"/>
              </w:rPr>
            </w:pPr>
            <w:r>
              <w:rPr>
                <w:sz w:val="24"/>
              </w:rPr>
              <w:t>Quantidade de seguidores do CAU/BR nas Redes Sociais (Instagram, Facebook, Youtube, Twitter)</w:t>
            </w:r>
          </w:p>
        </w:tc>
        <w:tc>
          <w:tcPr>
            <w:tcW w:w="1844" w:type="dxa"/>
          </w:tcPr>
          <w:p>
            <w:pPr>
              <w:pStyle w:val="TableParagraph"/>
              <w:spacing w:before="4"/>
              <w:rPr>
                <w:rFonts w:ascii="Calibri Light"/>
                <w:b w:val="0"/>
                <w:sz w:val="19"/>
              </w:rPr>
            </w:pPr>
          </w:p>
          <w:p>
            <w:pPr>
              <w:pStyle w:val="TableParagraph"/>
              <w:spacing w:before="1"/>
              <w:ind w:left="224" w:right="201"/>
              <w:jc w:val="center"/>
              <w:rPr>
                <w:sz w:val="24"/>
              </w:rPr>
            </w:pPr>
            <w:r>
              <w:rPr>
                <w:sz w:val="24"/>
              </w:rPr>
              <w:t>Anual</w:t>
            </w:r>
          </w:p>
        </w:tc>
        <w:tc>
          <w:tcPr>
            <w:tcW w:w="1844" w:type="dxa"/>
            <w:tcBorders>
              <w:right w:val="single" w:sz="8" w:space="0" w:color="000000"/>
            </w:tcBorders>
          </w:tcPr>
          <w:p>
            <w:pPr>
              <w:pStyle w:val="TableParagraph"/>
              <w:spacing w:before="4"/>
              <w:rPr>
                <w:rFonts w:ascii="Calibri Light"/>
                <w:b w:val="0"/>
                <w:sz w:val="19"/>
              </w:rPr>
            </w:pPr>
          </w:p>
          <w:p>
            <w:pPr>
              <w:pStyle w:val="TableParagraph"/>
              <w:spacing w:before="1"/>
              <w:ind w:left="480" w:right="457"/>
              <w:jc w:val="center"/>
              <w:rPr>
                <w:sz w:val="24"/>
              </w:rPr>
            </w:pPr>
            <w:r>
              <w:rPr>
                <w:sz w:val="24"/>
              </w:rPr>
              <w:t>ASSCOM</w:t>
            </w:r>
          </w:p>
        </w:tc>
      </w:tr>
      <w:tr>
        <w:trPr>
          <w:trHeight w:val="983" w:hRule="atLeast"/>
        </w:trPr>
        <w:tc>
          <w:tcPr>
            <w:tcW w:w="5075" w:type="dxa"/>
            <w:tcBorders>
              <w:left w:val="single" w:sz="8" w:space="0" w:color="000000"/>
            </w:tcBorders>
          </w:tcPr>
          <w:p>
            <w:pPr>
              <w:pStyle w:val="TableParagraph"/>
              <w:spacing w:before="188"/>
              <w:ind w:left="69" w:right="43"/>
              <w:rPr>
                <w:sz w:val="24"/>
              </w:rPr>
            </w:pPr>
            <w:r>
              <w:rPr>
                <w:sz w:val="24"/>
              </w:rPr>
              <w:t>Índice de visualizações das publicações do CAU/BR das redes sociais</w:t>
            </w:r>
          </w:p>
        </w:tc>
        <w:tc>
          <w:tcPr>
            <w:tcW w:w="6834" w:type="dxa"/>
            <w:gridSpan w:val="2"/>
          </w:tcPr>
          <w:p>
            <w:pPr>
              <w:pStyle w:val="TableParagraph"/>
              <w:spacing w:before="42"/>
              <w:ind w:left="184" w:right="164"/>
              <w:jc w:val="center"/>
              <w:rPr>
                <w:sz w:val="24"/>
              </w:rPr>
            </w:pPr>
            <w:r>
              <w:rPr>
                <w:sz w:val="24"/>
              </w:rPr>
              <w:t>Quantidade de visualizações das publicações do CAU/BR das redes sociais (Facebook + Stories FB, Instagram + Stories Instagram, Youtube e Twitter)</w:t>
            </w:r>
          </w:p>
        </w:tc>
        <w:tc>
          <w:tcPr>
            <w:tcW w:w="1844" w:type="dxa"/>
          </w:tcPr>
          <w:p>
            <w:pPr>
              <w:pStyle w:val="TableParagraph"/>
              <w:spacing w:before="5"/>
              <w:rPr>
                <w:rFonts w:ascii="Calibri Light"/>
                <w:b w:val="0"/>
                <w:sz w:val="27"/>
              </w:rPr>
            </w:pPr>
          </w:p>
          <w:p>
            <w:pPr>
              <w:pStyle w:val="TableParagraph"/>
              <w:ind w:left="224" w:right="201"/>
              <w:jc w:val="center"/>
              <w:rPr>
                <w:sz w:val="24"/>
              </w:rPr>
            </w:pPr>
            <w:r>
              <w:rPr>
                <w:sz w:val="24"/>
              </w:rPr>
              <w:t>Anual</w:t>
            </w:r>
          </w:p>
        </w:tc>
        <w:tc>
          <w:tcPr>
            <w:tcW w:w="1844" w:type="dxa"/>
            <w:tcBorders>
              <w:right w:val="single" w:sz="8" w:space="0" w:color="000000"/>
            </w:tcBorders>
          </w:tcPr>
          <w:p>
            <w:pPr>
              <w:pStyle w:val="TableParagraph"/>
              <w:spacing w:before="5"/>
              <w:rPr>
                <w:rFonts w:ascii="Calibri Light"/>
                <w:b w:val="0"/>
                <w:sz w:val="27"/>
              </w:rPr>
            </w:pPr>
          </w:p>
          <w:p>
            <w:pPr>
              <w:pStyle w:val="TableParagraph"/>
              <w:ind w:left="480" w:right="457"/>
              <w:jc w:val="center"/>
              <w:rPr>
                <w:sz w:val="24"/>
              </w:rPr>
            </w:pPr>
            <w:r>
              <w:rPr>
                <w:sz w:val="24"/>
              </w:rPr>
              <w:t>ASSCOM</w:t>
            </w:r>
          </w:p>
        </w:tc>
      </w:tr>
      <w:tr>
        <w:trPr>
          <w:trHeight w:val="698" w:hRule="atLeast"/>
        </w:trPr>
        <w:tc>
          <w:tcPr>
            <w:tcW w:w="5075" w:type="dxa"/>
            <w:tcBorders>
              <w:left w:val="single" w:sz="8" w:space="0" w:color="000000"/>
            </w:tcBorders>
          </w:tcPr>
          <w:p>
            <w:pPr>
              <w:pStyle w:val="TableParagraph"/>
              <w:spacing w:before="45"/>
              <w:ind w:left="69"/>
              <w:rPr>
                <w:sz w:val="24"/>
              </w:rPr>
            </w:pPr>
            <w:r>
              <w:rPr>
                <w:sz w:val="24"/>
              </w:rPr>
              <w:t>Acessos à página do CAU (Qtd.)</w:t>
            </w:r>
          </w:p>
          <w:p>
            <w:pPr>
              <w:pStyle w:val="TableParagraph"/>
              <w:ind w:left="69"/>
              <w:rPr>
                <w:b/>
                <w:sz w:val="24"/>
              </w:rPr>
            </w:pPr>
            <w:r>
              <w:rPr>
                <w:b/>
                <w:sz w:val="24"/>
              </w:rPr>
              <w:t>(CAU/BR)</w:t>
            </w:r>
          </w:p>
        </w:tc>
        <w:tc>
          <w:tcPr>
            <w:tcW w:w="6834" w:type="dxa"/>
            <w:gridSpan w:val="2"/>
          </w:tcPr>
          <w:p>
            <w:pPr>
              <w:pStyle w:val="TableParagraph"/>
              <w:spacing w:before="45"/>
              <w:ind w:left="2937" w:right="153" w:hanging="2749"/>
              <w:rPr>
                <w:sz w:val="24"/>
              </w:rPr>
            </w:pPr>
            <w:r>
              <w:rPr>
                <w:sz w:val="24"/>
              </w:rPr>
              <w:t>Quantidade de acessos qualificados (visitantes únicos) a página do CAU (site)</w:t>
            </w:r>
          </w:p>
        </w:tc>
        <w:tc>
          <w:tcPr>
            <w:tcW w:w="1844" w:type="dxa"/>
          </w:tcPr>
          <w:p>
            <w:pPr>
              <w:pStyle w:val="TableParagraph"/>
              <w:spacing w:before="191"/>
              <w:ind w:left="224" w:right="201"/>
              <w:jc w:val="center"/>
              <w:rPr>
                <w:sz w:val="24"/>
              </w:rPr>
            </w:pPr>
            <w:r>
              <w:rPr>
                <w:sz w:val="24"/>
              </w:rPr>
              <w:t>Anual</w:t>
            </w:r>
          </w:p>
        </w:tc>
        <w:tc>
          <w:tcPr>
            <w:tcW w:w="1844" w:type="dxa"/>
            <w:tcBorders>
              <w:right w:val="single" w:sz="8" w:space="0" w:color="000000"/>
            </w:tcBorders>
          </w:tcPr>
          <w:p>
            <w:pPr>
              <w:pStyle w:val="TableParagraph"/>
              <w:spacing w:before="191"/>
              <w:ind w:left="480" w:right="457"/>
              <w:jc w:val="center"/>
              <w:rPr>
                <w:sz w:val="24"/>
              </w:rPr>
            </w:pPr>
            <w:r>
              <w:rPr>
                <w:sz w:val="24"/>
              </w:rPr>
              <w:t>ASSCOM</w:t>
            </w:r>
          </w:p>
        </w:tc>
      </w:tr>
      <w:tr>
        <w:trPr>
          <w:trHeight w:val="709" w:hRule="atLeast"/>
        </w:trPr>
        <w:tc>
          <w:tcPr>
            <w:tcW w:w="5075" w:type="dxa"/>
            <w:tcBorders>
              <w:left w:val="single" w:sz="8" w:space="0" w:color="000000"/>
            </w:tcBorders>
          </w:tcPr>
          <w:p>
            <w:pPr>
              <w:pStyle w:val="TableParagraph"/>
              <w:spacing w:before="52"/>
              <w:ind w:left="69" w:right="611"/>
              <w:rPr>
                <w:sz w:val="24"/>
              </w:rPr>
            </w:pPr>
            <w:r>
              <w:rPr>
                <w:sz w:val="24"/>
              </w:rPr>
              <w:t>Índice dos acessos totais das visualizações às páginas do CAU/BR</w:t>
            </w:r>
          </w:p>
        </w:tc>
        <w:tc>
          <w:tcPr>
            <w:tcW w:w="6834" w:type="dxa"/>
            <w:gridSpan w:val="2"/>
          </w:tcPr>
          <w:p>
            <w:pPr>
              <w:pStyle w:val="TableParagraph"/>
              <w:spacing w:before="198"/>
              <w:ind w:left="407"/>
              <w:rPr>
                <w:sz w:val="24"/>
              </w:rPr>
            </w:pPr>
            <w:r>
              <w:rPr>
                <w:sz w:val="24"/>
              </w:rPr>
              <w:t>Quantidade totais de páginas acessadas por todos os usuários</w:t>
            </w:r>
          </w:p>
        </w:tc>
        <w:tc>
          <w:tcPr>
            <w:tcW w:w="1844" w:type="dxa"/>
          </w:tcPr>
          <w:p>
            <w:pPr>
              <w:pStyle w:val="TableParagraph"/>
              <w:spacing w:before="198"/>
              <w:ind w:left="224" w:right="201"/>
              <w:jc w:val="center"/>
              <w:rPr>
                <w:sz w:val="24"/>
              </w:rPr>
            </w:pPr>
            <w:r>
              <w:rPr>
                <w:sz w:val="24"/>
              </w:rPr>
              <w:t>Anual</w:t>
            </w:r>
          </w:p>
        </w:tc>
        <w:tc>
          <w:tcPr>
            <w:tcW w:w="1844" w:type="dxa"/>
            <w:tcBorders>
              <w:right w:val="single" w:sz="8" w:space="0" w:color="000000"/>
            </w:tcBorders>
          </w:tcPr>
          <w:p>
            <w:pPr>
              <w:pStyle w:val="TableParagraph"/>
              <w:spacing w:before="198"/>
              <w:ind w:left="480" w:right="457"/>
              <w:jc w:val="center"/>
              <w:rPr>
                <w:sz w:val="24"/>
              </w:rPr>
            </w:pPr>
            <w:r>
              <w:rPr>
                <w:sz w:val="24"/>
              </w:rPr>
              <w:t>ASSCOM</w:t>
            </w:r>
          </w:p>
        </w:tc>
      </w:tr>
      <w:tr>
        <w:trPr>
          <w:trHeight w:val="549" w:hRule="atLeast"/>
        </w:trPr>
        <w:tc>
          <w:tcPr>
            <w:tcW w:w="5075" w:type="dxa"/>
            <w:tcBorders>
              <w:left w:val="single" w:sz="8" w:space="0" w:color="000000"/>
            </w:tcBorders>
          </w:tcPr>
          <w:p>
            <w:pPr>
              <w:pStyle w:val="TableParagraph"/>
              <w:spacing w:before="116"/>
              <w:ind w:left="69"/>
              <w:rPr>
                <w:sz w:val="24"/>
              </w:rPr>
            </w:pPr>
            <w:r>
              <w:rPr>
                <w:sz w:val="24"/>
              </w:rPr>
              <w:t>Índice de publicações de matérias pelo CAU/BR</w:t>
            </w:r>
          </w:p>
        </w:tc>
        <w:tc>
          <w:tcPr>
            <w:tcW w:w="6834" w:type="dxa"/>
            <w:gridSpan w:val="2"/>
          </w:tcPr>
          <w:p>
            <w:pPr>
              <w:pStyle w:val="TableParagraph"/>
              <w:spacing w:before="116"/>
              <w:ind w:left="541"/>
              <w:rPr>
                <w:sz w:val="24"/>
              </w:rPr>
            </w:pPr>
            <w:r>
              <w:rPr>
                <w:sz w:val="24"/>
              </w:rPr>
              <w:t>Quantidade de reportagens e conteúdos publicados no site</w:t>
            </w:r>
          </w:p>
        </w:tc>
        <w:tc>
          <w:tcPr>
            <w:tcW w:w="1844" w:type="dxa"/>
          </w:tcPr>
          <w:p>
            <w:pPr>
              <w:pStyle w:val="TableParagraph"/>
              <w:spacing w:before="116"/>
              <w:ind w:left="224" w:right="201"/>
              <w:jc w:val="center"/>
              <w:rPr>
                <w:sz w:val="24"/>
              </w:rPr>
            </w:pPr>
            <w:r>
              <w:rPr>
                <w:sz w:val="24"/>
              </w:rPr>
              <w:t>Anual</w:t>
            </w:r>
          </w:p>
        </w:tc>
        <w:tc>
          <w:tcPr>
            <w:tcW w:w="1844" w:type="dxa"/>
            <w:tcBorders>
              <w:right w:val="single" w:sz="8" w:space="0" w:color="000000"/>
            </w:tcBorders>
          </w:tcPr>
          <w:p>
            <w:pPr>
              <w:pStyle w:val="TableParagraph"/>
              <w:spacing w:before="116"/>
              <w:ind w:left="480" w:right="457"/>
              <w:jc w:val="center"/>
              <w:rPr>
                <w:sz w:val="24"/>
              </w:rPr>
            </w:pPr>
            <w:r>
              <w:rPr>
                <w:sz w:val="24"/>
              </w:rPr>
              <w:t>ASSCOM</w:t>
            </w:r>
          </w:p>
        </w:tc>
      </w:tr>
      <w:tr>
        <w:trPr>
          <w:trHeight w:val="585" w:hRule="atLeast"/>
        </w:trPr>
        <w:tc>
          <w:tcPr>
            <w:tcW w:w="5075" w:type="dxa"/>
            <w:tcBorders>
              <w:left w:val="single" w:sz="8" w:space="0" w:color="000000"/>
            </w:tcBorders>
          </w:tcPr>
          <w:p>
            <w:pPr>
              <w:pStyle w:val="TableParagraph"/>
              <w:spacing w:line="283" w:lineRule="exact"/>
              <w:ind w:left="69"/>
              <w:rPr>
                <w:sz w:val="24"/>
              </w:rPr>
            </w:pPr>
            <w:r>
              <w:rPr>
                <w:sz w:val="24"/>
              </w:rPr>
              <w:t>Índice do alcance das edições dos clippings</w:t>
            </w:r>
          </w:p>
          <w:p>
            <w:pPr>
              <w:pStyle w:val="TableParagraph"/>
              <w:spacing w:line="283" w:lineRule="exact"/>
              <w:ind w:left="69"/>
              <w:rPr>
                <w:sz w:val="24"/>
              </w:rPr>
            </w:pPr>
            <w:r>
              <w:rPr>
                <w:sz w:val="24"/>
              </w:rPr>
              <w:t>enviados</w:t>
            </w:r>
          </w:p>
        </w:tc>
        <w:tc>
          <w:tcPr>
            <w:tcW w:w="6834" w:type="dxa"/>
            <w:gridSpan w:val="2"/>
          </w:tcPr>
          <w:p>
            <w:pPr>
              <w:pStyle w:val="TableParagraph"/>
              <w:spacing w:before="136"/>
              <w:ind w:left="180" w:right="164"/>
              <w:jc w:val="center"/>
              <w:rPr>
                <w:sz w:val="24"/>
              </w:rPr>
            </w:pPr>
            <w:r>
              <w:rPr>
                <w:sz w:val="24"/>
              </w:rPr>
              <w:t>Quantidade de visualizações dos clippings enviados</w:t>
            </w:r>
          </w:p>
        </w:tc>
        <w:tc>
          <w:tcPr>
            <w:tcW w:w="1844" w:type="dxa"/>
          </w:tcPr>
          <w:p>
            <w:pPr>
              <w:pStyle w:val="TableParagraph"/>
              <w:spacing w:before="136"/>
              <w:ind w:left="224" w:right="201"/>
              <w:jc w:val="center"/>
              <w:rPr>
                <w:sz w:val="24"/>
              </w:rPr>
            </w:pPr>
            <w:r>
              <w:rPr>
                <w:sz w:val="24"/>
              </w:rPr>
              <w:t>Anual</w:t>
            </w:r>
          </w:p>
        </w:tc>
        <w:tc>
          <w:tcPr>
            <w:tcW w:w="1844" w:type="dxa"/>
            <w:tcBorders>
              <w:right w:val="single" w:sz="8" w:space="0" w:color="000000"/>
            </w:tcBorders>
          </w:tcPr>
          <w:p>
            <w:pPr>
              <w:pStyle w:val="TableParagraph"/>
              <w:spacing w:before="136"/>
              <w:ind w:left="480" w:right="457"/>
              <w:jc w:val="center"/>
              <w:rPr>
                <w:sz w:val="24"/>
              </w:rPr>
            </w:pPr>
            <w:r>
              <w:rPr>
                <w:sz w:val="24"/>
              </w:rPr>
              <w:t>ASSCOM</w:t>
            </w:r>
          </w:p>
        </w:tc>
      </w:tr>
      <w:tr>
        <w:trPr>
          <w:trHeight w:val="664" w:hRule="atLeast"/>
        </w:trPr>
        <w:tc>
          <w:tcPr>
            <w:tcW w:w="5075" w:type="dxa"/>
            <w:tcBorders>
              <w:left w:val="single" w:sz="8" w:space="0" w:color="000000"/>
            </w:tcBorders>
          </w:tcPr>
          <w:p>
            <w:pPr>
              <w:pStyle w:val="TableParagraph"/>
              <w:spacing w:before="30"/>
              <w:ind w:left="69" w:right="679"/>
              <w:rPr>
                <w:sz w:val="24"/>
              </w:rPr>
            </w:pPr>
            <w:r>
              <w:rPr>
                <w:sz w:val="24"/>
              </w:rPr>
              <w:t>Índice do alcance das campanhas por e-mail marketing</w:t>
            </w:r>
          </w:p>
        </w:tc>
        <w:tc>
          <w:tcPr>
            <w:tcW w:w="6834" w:type="dxa"/>
            <w:gridSpan w:val="2"/>
          </w:tcPr>
          <w:p>
            <w:pPr>
              <w:pStyle w:val="TableParagraph"/>
              <w:spacing w:before="30"/>
              <w:ind w:left="2925" w:right="284" w:hanging="2602"/>
              <w:rPr>
                <w:sz w:val="24"/>
              </w:rPr>
            </w:pPr>
            <w:r>
              <w:rPr>
                <w:sz w:val="24"/>
              </w:rPr>
              <w:t>Quantidade de visualizações de campanhas enviadas por e-mail marketing</w:t>
            </w:r>
          </w:p>
        </w:tc>
        <w:tc>
          <w:tcPr>
            <w:tcW w:w="1844" w:type="dxa"/>
          </w:tcPr>
          <w:p>
            <w:pPr>
              <w:pStyle w:val="TableParagraph"/>
              <w:spacing w:before="176"/>
              <w:ind w:left="224" w:right="201"/>
              <w:jc w:val="center"/>
              <w:rPr>
                <w:sz w:val="24"/>
              </w:rPr>
            </w:pPr>
            <w:r>
              <w:rPr>
                <w:sz w:val="24"/>
              </w:rPr>
              <w:t>Anual</w:t>
            </w:r>
          </w:p>
        </w:tc>
        <w:tc>
          <w:tcPr>
            <w:tcW w:w="1844" w:type="dxa"/>
            <w:tcBorders>
              <w:right w:val="single" w:sz="8" w:space="0" w:color="000000"/>
            </w:tcBorders>
          </w:tcPr>
          <w:p>
            <w:pPr>
              <w:pStyle w:val="TableParagraph"/>
              <w:spacing w:before="176"/>
              <w:ind w:left="480" w:right="457"/>
              <w:jc w:val="center"/>
              <w:rPr>
                <w:sz w:val="24"/>
              </w:rPr>
            </w:pPr>
            <w:r>
              <w:rPr>
                <w:sz w:val="24"/>
              </w:rPr>
              <w:t>ASSCOM</w:t>
            </w:r>
          </w:p>
        </w:tc>
      </w:tr>
      <w:tr>
        <w:trPr>
          <w:trHeight w:val="448" w:hRule="atLeast"/>
        </w:trPr>
        <w:tc>
          <w:tcPr>
            <w:tcW w:w="5075" w:type="dxa"/>
            <w:vMerge w:val="restart"/>
            <w:tcBorders>
              <w:left w:val="single" w:sz="8" w:space="0" w:color="000000"/>
            </w:tcBorders>
          </w:tcPr>
          <w:p>
            <w:pPr>
              <w:pStyle w:val="TableParagraph"/>
              <w:spacing w:before="119"/>
              <w:ind w:left="69" w:right="553"/>
              <w:rPr>
                <w:sz w:val="24"/>
              </w:rPr>
            </w:pPr>
            <w:r>
              <w:rPr>
                <w:sz w:val="24"/>
              </w:rPr>
              <w:t>Índice de aproveitamento de publicações dos releases do CAU</w:t>
            </w:r>
          </w:p>
        </w:tc>
        <w:tc>
          <w:tcPr>
            <w:tcW w:w="5959" w:type="dxa"/>
            <w:tcBorders>
              <w:bottom w:val="nil"/>
              <w:right w:val="nil"/>
            </w:tcBorders>
          </w:tcPr>
          <w:p>
            <w:pPr>
              <w:pStyle w:val="TableParagraph"/>
              <w:tabs>
                <w:tab w:pos="1015" w:val="left" w:leader="none"/>
                <w:tab w:pos="5837" w:val="left" w:leader="none"/>
              </w:tabs>
              <w:spacing w:before="116"/>
              <w:ind w:right="96"/>
              <w:jc w:val="center"/>
              <w:rPr>
                <w:sz w:val="24"/>
              </w:rPr>
            </w:pPr>
            <w:r>
              <w:rPr>
                <w:sz w:val="24"/>
                <w:u w:val="single"/>
              </w:rPr>
              <w:t> </w:t>
              <w:tab/>
              <w:t>número releases publicados pela</w:t>
            </w:r>
            <w:r>
              <w:rPr>
                <w:spacing w:val="-14"/>
                <w:sz w:val="24"/>
                <w:u w:val="single"/>
              </w:rPr>
              <w:t> </w:t>
            </w:r>
            <w:r>
              <w:rPr>
                <w:sz w:val="24"/>
                <w:u w:val="single"/>
              </w:rPr>
              <w:t>mídia</w:t>
              <w:tab/>
            </w:r>
          </w:p>
        </w:tc>
        <w:tc>
          <w:tcPr>
            <w:tcW w:w="875" w:type="dxa"/>
            <w:vMerge w:val="restart"/>
            <w:tcBorders>
              <w:left w:val="nil"/>
            </w:tcBorders>
          </w:tcPr>
          <w:p>
            <w:pPr>
              <w:pStyle w:val="TableParagraph"/>
              <w:spacing w:before="9"/>
              <w:rPr>
                <w:rFonts w:ascii="Calibri Light"/>
                <w:b w:val="0"/>
                <w:sz w:val="21"/>
              </w:rPr>
            </w:pPr>
          </w:p>
          <w:p>
            <w:pPr>
              <w:pStyle w:val="TableParagraph"/>
              <w:ind w:left="125"/>
              <w:rPr>
                <w:sz w:val="24"/>
              </w:rPr>
            </w:pPr>
            <w:r>
              <w:rPr>
                <w:sz w:val="24"/>
              </w:rPr>
              <w:t>x 100</w:t>
            </w:r>
          </w:p>
        </w:tc>
        <w:tc>
          <w:tcPr>
            <w:tcW w:w="1844" w:type="dxa"/>
            <w:vMerge w:val="restart"/>
          </w:tcPr>
          <w:p>
            <w:pPr>
              <w:pStyle w:val="TableParagraph"/>
              <w:spacing w:before="9"/>
              <w:rPr>
                <w:rFonts w:ascii="Calibri Light"/>
                <w:b w:val="0"/>
                <w:sz w:val="21"/>
              </w:rPr>
            </w:pPr>
          </w:p>
          <w:p>
            <w:pPr>
              <w:pStyle w:val="TableParagraph"/>
              <w:ind w:left="224" w:right="201"/>
              <w:jc w:val="center"/>
              <w:rPr>
                <w:sz w:val="24"/>
              </w:rPr>
            </w:pPr>
            <w:r>
              <w:rPr>
                <w:sz w:val="24"/>
              </w:rPr>
              <w:t>Anual</w:t>
            </w:r>
          </w:p>
        </w:tc>
        <w:tc>
          <w:tcPr>
            <w:tcW w:w="1844" w:type="dxa"/>
            <w:vMerge w:val="restart"/>
            <w:tcBorders>
              <w:right w:val="single" w:sz="8" w:space="0" w:color="000000"/>
            </w:tcBorders>
          </w:tcPr>
          <w:p>
            <w:pPr>
              <w:pStyle w:val="TableParagraph"/>
              <w:spacing w:before="9"/>
              <w:rPr>
                <w:rFonts w:ascii="Calibri Light"/>
                <w:b w:val="0"/>
                <w:sz w:val="21"/>
              </w:rPr>
            </w:pPr>
          </w:p>
          <w:p>
            <w:pPr>
              <w:pStyle w:val="TableParagraph"/>
              <w:ind w:left="500"/>
              <w:rPr>
                <w:sz w:val="24"/>
              </w:rPr>
            </w:pPr>
            <w:r>
              <w:rPr>
                <w:sz w:val="24"/>
              </w:rPr>
              <w:t>ASSCOM</w:t>
            </w:r>
          </w:p>
        </w:tc>
      </w:tr>
      <w:tr>
        <w:trPr>
          <w:trHeight w:val="383" w:hRule="atLeast"/>
        </w:trPr>
        <w:tc>
          <w:tcPr>
            <w:tcW w:w="5075" w:type="dxa"/>
            <w:vMerge/>
            <w:tcBorders>
              <w:top w:val="nil"/>
              <w:left w:val="single" w:sz="8" w:space="0" w:color="000000"/>
            </w:tcBorders>
          </w:tcPr>
          <w:p>
            <w:pPr>
              <w:rPr>
                <w:sz w:val="2"/>
                <w:szCs w:val="2"/>
              </w:rPr>
            </w:pPr>
          </w:p>
        </w:tc>
        <w:tc>
          <w:tcPr>
            <w:tcW w:w="5959" w:type="dxa"/>
            <w:tcBorders>
              <w:top w:val="nil"/>
              <w:right w:val="nil"/>
            </w:tcBorders>
          </w:tcPr>
          <w:p>
            <w:pPr>
              <w:pStyle w:val="TableParagraph"/>
              <w:spacing w:line="254" w:lineRule="exact"/>
              <w:ind w:right="104"/>
              <w:jc w:val="center"/>
              <w:rPr>
                <w:sz w:val="24"/>
              </w:rPr>
            </w:pPr>
            <w:r>
              <w:rPr>
                <w:sz w:val="24"/>
              </w:rPr>
              <w:t>número releases distribuídos na mídia</w:t>
            </w:r>
          </w:p>
        </w:tc>
        <w:tc>
          <w:tcPr>
            <w:tcW w:w="875" w:type="dxa"/>
            <w:vMerge/>
            <w:tcBorders>
              <w:top w:val="nil"/>
              <w:left w:val="nil"/>
            </w:tcBorders>
          </w:tcPr>
          <w:p>
            <w:pPr>
              <w:rPr>
                <w:sz w:val="2"/>
                <w:szCs w:val="2"/>
              </w:rPr>
            </w:pPr>
          </w:p>
        </w:tc>
        <w:tc>
          <w:tcPr>
            <w:tcW w:w="1844" w:type="dxa"/>
            <w:vMerge/>
            <w:tcBorders>
              <w:top w:val="nil"/>
            </w:tcBorders>
          </w:tcPr>
          <w:p>
            <w:pPr>
              <w:rPr>
                <w:sz w:val="2"/>
                <w:szCs w:val="2"/>
              </w:rPr>
            </w:pPr>
          </w:p>
        </w:tc>
        <w:tc>
          <w:tcPr>
            <w:tcW w:w="1844" w:type="dxa"/>
            <w:vMerge/>
            <w:tcBorders>
              <w:top w:val="nil"/>
              <w:right w:val="single" w:sz="8" w:space="0" w:color="000000"/>
            </w:tcBorders>
          </w:tcPr>
          <w:p>
            <w:pPr>
              <w:rPr>
                <w:sz w:val="2"/>
                <w:szCs w:val="2"/>
              </w:rPr>
            </w:pPr>
          </w:p>
        </w:tc>
      </w:tr>
      <w:tr>
        <w:trPr>
          <w:trHeight w:val="1173" w:hRule="atLeast"/>
        </w:trPr>
        <w:tc>
          <w:tcPr>
            <w:tcW w:w="5075" w:type="dxa"/>
            <w:tcBorders>
              <w:left w:val="single" w:sz="8" w:space="0" w:color="000000"/>
            </w:tcBorders>
          </w:tcPr>
          <w:p>
            <w:pPr>
              <w:pStyle w:val="TableParagraph"/>
              <w:spacing w:before="1"/>
              <w:rPr>
                <w:rFonts w:ascii="Calibri Light"/>
                <w:b w:val="0"/>
                <w:sz w:val="35"/>
              </w:rPr>
            </w:pPr>
          </w:p>
          <w:p>
            <w:pPr>
              <w:pStyle w:val="TableParagraph"/>
              <w:spacing w:before="1"/>
              <w:ind w:left="69"/>
              <w:rPr>
                <w:sz w:val="24"/>
              </w:rPr>
            </w:pPr>
            <w:r>
              <w:rPr>
                <w:sz w:val="24"/>
              </w:rPr>
              <w:t>Índice do alcance das campanhas publicitárias</w:t>
            </w:r>
          </w:p>
        </w:tc>
        <w:tc>
          <w:tcPr>
            <w:tcW w:w="6834" w:type="dxa"/>
            <w:gridSpan w:val="2"/>
          </w:tcPr>
          <w:p>
            <w:pPr>
              <w:pStyle w:val="TableParagraph"/>
              <w:ind w:left="153" w:right="131" w:hanging="1"/>
              <w:jc w:val="center"/>
              <w:rPr>
                <w:sz w:val="24"/>
              </w:rPr>
            </w:pPr>
            <w:r>
              <w:rPr>
                <w:sz w:val="24"/>
              </w:rPr>
              <w:t>Quantidade de Audiências totais das campanhas de publicidade do CAU/BR ((Dia do Arquiteto, Arquitetos pela Ética, etc.) nos diversos meios de comunicação, como: TV Aberta, TV Fechada, Rádio,</w:t>
            </w:r>
          </w:p>
          <w:p>
            <w:pPr>
              <w:pStyle w:val="TableParagraph"/>
              <w:spacing w:line="285" w:lineRule="exact"/>
              <w:ind w:left="184" w:right="164"/>
              <w:jc w:val="center"/>
              <w:rPr>
                <w:sz w:val="24"/>
              </w:rPr>
            </w:pPr>
            <w:r>
              <w:rPr>
                <w:sz w:val="24"/>
              </w:rPr>
              <w:t>Internet, Outdoor, Mobiliário Urbano)</w:t>
            </w:r>
          </w:p>
        </w:tc>
        <w:tc>
          <w:tcPr>
            <w:tcW w:w="1844" w:type="dxa"/>
          </w:tcPr>
          <w:p>
            <w:pPr>
              <w:pStyle w:val="TableParagraph"/>
              <w:spacing w:before="1"/>
              <w:rPr>
                <w:rFonts w:ascii="Calibri Light"/>
                <w:b w:val="0"/>
                <w:sz w:val="35"/>
              </w:rPr>
            </w:pPr>
          </w:p>
          <w:p>
            <w:pPr>
              <w:pStyle w:val="TableParagraph"/>
              <w:spacing w:before="1"/>
              <w:ind w:left="224" w:right="201"/>
              <w:jc w:val="center"/>
              <w:rPr>
                <w:sz w:val="24"/>
              </w:rPr>
            </w:pPr>
            <w:r>
              <w:rPr>
                <w:sz w:val="24"/>
              </w:rPr>
              <w:t>Anual</w:t>
            </w:r>
          </w:p>
        </w:tc>
        <w:tc>
          <w:tcPr>
            <w:tcW w:w="1844" w:type="dxa"/>
            <w:tcBorders>
              <w:right w:val="single" w:sz="8" w:space="0" w:color="000000"/>
            </w:tcBorders>
          </w:tcPr>
          <w:p>
            <w:pPr>
              <w:pStyle w:val="TableParagraph"/>
              <w:spacing w:before="1"/>
              <w:rPr>
                <w:rFonts w:ascii="Calibri Light"/>
                <w:b w:val="0"/>
                <w:sz w:val="35"/>
              </w:rPr>
            </w:pPr>
          </w:p>
          <w:p>
            <w:pPr>
              <w:pStyle w:val="TableParagraph"/>
              <w:spacing w:before="1"/>
              <w:ind w:left="480" w:right="457"/>
              <w:jc w:val="center"/>
              <w:rPr>
                <w:sz w:val="24"/>
              </w:rPr>
            </w:pPr>
            <w:r>
              <w:rPr>
                <w:sz w:val="24"/>
              </w:rPr>
              <w:t>ASSCOM</w:t>
            </w:r>
          </w:p>
        </w:tc>
      </w:tr>
    </w:tbl>
    <w:p>
      <w:pPr>
        <w:spacing w:after="0"/>
        <w:jc w:val="center"/>
        <w:rPr>
          <w:sz w:val="24"/>
        </w:rPr>
        <w:sectPr>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3"/>
        <w:gridCol w:w="5877"/>
        <w:gridCol w:w="985"/>
        <w:gridCol w:w="1786"/>
        <w:gridCol w:w="1843"/>
      </w:tblGrid>
      <w:tr>
        <w:trPr>
          <w:trHeight w:val="1589" w:hRule="atLeast"/>
        </w:trPr>
        <w:tc>
          <w:tcPr>
            <w:tcW w:w="5103"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ight="87"/>
              <w:rPr>
                <w:b/>
                <w:sz w:val="24"/>
              </w:rPr>
            </w:pPr>
            <w:r>
              <w:rPr>
                <w:b/>
                <w:color w:val="FFFFFF"/>
                <w:sz w:val="24"/>
              </w:rPr>
              <w:t>Promover o exercício ético e qualificado da profissão</w:t>
            </w:r>
          </w:p>
        </w:tc>
        <w:tc>
          <w:tcPr>
            <w:tcW w:w="6862"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2500" w:right="2480"/>
              <w:jc w:val="center"/>
              <w:rPr>
                <w:b/>
                <w:sz w:val="24"/>
              </w:rPr>
            </w:pPr>
            <w:r>
              <w:rPr>
                <w:b/>
                <w:color w:val="FFFFFF"/>
                <w:sz w:val="24"/>
              </w:rPr>
              <w:t>Fórmula</w:t>
            </w:r>
          </w:p>
        </w:tc>
        <w:tc>
          <w:tcPr>
            <w:tcW w:w="1786"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93" w:right="174"/>
              <w:jc w:val="center"/>
              <w:rPr>
                <w:b/>
                <w:sz w:val="24"/>
              </w:rPr>
            </w:pPr>
            <w:r>
              <w:rPr>
                <w:b/>
                <w:color w:val="FFFFFF"/>
                <w:sz w:val="24"/>
              </w:rPr>
              <w:t>Periodicidade</w:t>
            </w:r>
          </w:p>
        </w:tc>
        <w:tc>
          <w:tcPr>
            <w:tcW w:w="1843" w:type="dxa"/>
            <w:tcBorders>
              <w:top w:val="nil"/>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637" w:right="606"/>
              <w:jc w:val="center"/>
              <w:rPr>
                <w:b/>
                <w:sz w:val="24"/>
              </w:rPr>
            </w:pPr>
            <w:r>
              <w:rPr>
                <w:b/>
                <w:color w:val="FFFFFF"/>
                <w:sz w:val="24"/>
              </w:rPr>
              <w:t>ÁREA</w:t>
            </w:r>
          </w:p>
        </w:tc>
      </w:tr>
      <w:tr>
        <w:trPr>
          <w:trHeight w:val="1494" w:hRule="atLeast"/>
        </w:trPr>
        <w:tc>
          <w:tcPr>
            <w:tcW w:w="5103" w:type="dxa"/>
            <w:tcBorders>
              <w:left w:val="single" w:sz="8" w:space="0" w:color="000000"/>
            </w:tcBorders>
          </w:tcPr>
          <w:p>
            <w:pPr>
              <w:pStyle w:val="TableParagraph"/>
              <w:spacing w:before="6"/>
              <w:rPr>
                <w:rFonts w:ascii="Calibri Light"/>
                <w:b w:val="0"/>
                <w:sz w:val="24"/>
              </w:rPr>
            </w:pPr>
          </w:p>
          <w:p>
            <w:pPr>
              <w:pStyle w:val="TableParagraph"/>
              <w:ind w:left="69" w:right="493"/>
              <w:rPr>
                <w:sz w:val="24"/>
              </w:rPr>
            </w:pPr>
            <w:r>
              <w:rPr>
                <w:sz w:val="24"/>
              </w:rPr>
              <w:t>Índice de eficiência na conclusão de processos éticos (%)</w:t>
            </w:r>
          </w:p>
          <w:p>
            <w:pPr>
              <w:pStyle w:val="TableParagraph"/>
              <w:spacing w:line="293" w:lineRule="exact"/>
              <w:ind w:left="69"/>
              <w:rPr>
                <w:b/>
                <w:sz w:val="24"/>
              </w:rPr>
            </w:pPr>
            <w:r>
              <w:rPr>
                <w:b/>
                <w:sz w:val="24"/>
              </w:rPr>
              <w:t>(CAU/BR)</w:t>
            </w:r>
          </w:p>
        </w:tc>
        <w:tc>
          <w:tcPr>
            <w:tcW w:w="5877" w:type="dxa"/>
            <w:tcBorders>
              <w:right w:val="nil"/>
            </w:tcBorders>
          </w:tcPr>
          <w:p>
            <w:pPr>
              <w:pStyle w:val="TableParagraph"/>
              <w:rPr>
                <w:rFonts w:ascii="Calibri Light"/>
                <w:b w:val="0"/>
                <w:sz w:val="24"/>
              </w:rPr>
            </w:pPr>
          </w:p>
          <w:p>
            <w:pPr>
              <w:pStyle w:val="TableParagraph"/>
              <w:tabs>
                <w:tab w:pos="566" w:val="left" w:leader="none"/>
                <w:tab w:pos="6101" w:val="left" w:leader="none"/>
              </w:tabs>
              <w:spacing w:line="247" w:lineRule="auto" w:before="191"/>
              <w:ind w:left="1036" w:right="-231" w:hanging="1028"/>
              <w:rPr>
                <w:sz w:val="24"/>
              </w:rPr>
            </w:pPr>
            <w:r>
              <w:rPr>
                <w:sz w:val="24"/>
                <w:u w:val="single"/>
              </w:rPr>
              <w:t> </w:t>
              <w:tab/>
              <w:t>número de processos éticos concluídos em</w:t>
            </w:r>
            <w:r>
              <w:rPr>
                <w:spacing w:val="-14"/>
                <w:sz w:val="24"/>
                <w:u w:val="single"/>
              </w:rPr>
              <w:t> </w:t>
            </w:r>
            <w:r>
              <w:rPr>
                <w:sz w:val="24"/>
                <w:u w:val="single"/>
              </w:rPr>
              <w:t>um</w:t>
            </w:r>
            <w:r>
              <w:rPr>
                <w:spacing w:val="-4"/>
                <w:sz w:val="24"/>
                <w:u w:val="single"/>
              </w:rPr>
              <w:t> </w:t>
            </w:r>
            <w:r>
              <w:rPr>
                <w:sz w:val="24"/>
                <w:u w:val="single"/>
              </w:rPr>
              <w:t>ano</w:t>
              <w:tab/>
            </w:r>
            <w:r>
              <w:rPr>
                <w:sz w:val="24"/>
              </w:rPr>
              <w:t> número total de processos éticos</w:t>
            </w:r>
            <w:r>
              <w:rPr>
                <w:spacing w:val="-6"/>
                <w:sz w:val="24"/>
              </w:rPr>
              <w:t> </w:t>
            </w:r>
            <w:r>
              <w:rPr>
                <w:sz w:val="24"/>
              </w:rPr>
              <w:t>abertos</w:t>
            </w:r>
          </w:p>
        </w:tc>
        <w:tc>
          <w:tcPr>
            <w:tcW w:w="985" w:type="dxa"/>
            <w:tcBorders>
              <w:left w:val="nil"/>
            </w:tcBorders>
          </w:tcPr>
          <w:p>
            <w:pPr>
              <w:pStyle w:val="TableParagraph"/>
              <w:rPr>
                <w:rFonts w:ascii="Calibri Light"/>
                <w:b w:val="0"/>
                <w:sz w:val="24"/>
              </w:rPr>
            </w:pPr>
          </w:p>
          <w:p>
            <w:pPr>
              <w:pStyle w:val="TableParagraph"/>
              <w:spacing w:before="6"/>
              <w:rPr>
                <w:rFonts w:ascii="Calibri Light"/>
                <w:b w:val="0"/>
                <w:sz w:val="24"/>
              </w:rPr>
            </w:pPr>
          </w:p>
          <w:p>
            <w:pPr>
              <w:pStyle w:val="TableParagraph"/>
              <w:ind w:right="101"/>
              <w:jc w:val="right"/>
              <w:rPr>
                <w:sz w:val="24"/>
              </w:rPr>
            </w:pPr>
            <w:r>
              <w:rPr>
                <w:sz w:val="24"/>
              </w:rPr>
              <w:t>x 100</w:t>
            </w:r>
          </w:p>
        </w:tc>
        <w:tc>
          <w:tcPr>
            <w:tcW w:w="1786" w:type="dxa"/>
          </w:tcPr>
          <w:p>
            <w:pPr>
              <w:pStyle w:val="TableParagraph"/>
              <w:rPr>
                <w:rFonts w:ascii="Calibri Light"/>
                <w:b w:val="0"/>
                <w:sz w:val="24"/>
              </w:rPr>
            </w:pPr>
          </w:p>
          <w:p>
            <w:pPr>
              <w:pStyle w:val="TableParagraph"/>
              <w:spacing w:before="6"/>
              <w:rPr>
                <w:rFonts w:ascii="Calibri Light"/>
                <w:b w:val="0"/>
                <w:sz w:val="24"/>
              </w:rPr>
            </w:pPr>
          </w:p>
          <w:p>
            <w:pPr>
              <w:pStyle w:val="TableParagraph"/>
              <w:ind w:left="193"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6"/>
              <w:rPr>
                <w:rFonts w:ascii="Calibri Light"/>
                <w:b w:val="0"/>
                <w:sz w:val="24"/>
              </w:rPr>
            </w:pPr>
          </w:p>
          <w:p>
            <w:pPr>
              <w:pStyle w:val="TableParagraph"/>
              <w:ind w:left="635" w:right="606"/>
              <w:jc w:val="center"/>
              <w:rPr>
                <w:sz w:val="24"/>
              </w:rPr>
            </w:pPr>
            <w:r>
              <w:rPr>
                <w:sz w:val="24"/>
              </w:rPr>
              <w:t>CED</w:t>
            </w:r>
          </w:p>
        </w:tc>
      </w:tr>
      <w:tr>
        <w:trPr>
          <w:trHeight w:val="1675" w:hRule="atLeast"/>
        </w:trPr>
        <w:tc>
          <w:tcPr>
            <w:tcW w:w="5103" w:type="dxa"/>
            <w:tcBorders>
              <w:left w:val="single" w:sz="8" w:space="0" w:color="000000"/>
            </w:tcBorders>
          </w:tcPr>
          <w:p>
            <w:pPr>
              <w:pStyle w:val="TableParagraph"/>
              <w:rPr>
                <w:rFonts w:ascii="Calibri Light"/>
                <w:b w:val="0"/>
                <w:sz w:val="24"/>
              </w:rPr>
            </w:pPr>
          </w:p>
          <w:p>
            <w:pPr>
              <w:pStyle w:val="TableParagraph"/>
              <w:spacing w:before="9"/>
              <w:rPr>
                <w:rFonts w:ascii="Calibri Light"/>
                <w:b w:val="0"/>
                <w:sz w:val="19"/>
              </w:rPr>
            </w:pPr>
          </w:p>
          <w:p>
            <w:pPr>
              <w:pStyle w:val="TableParagraph"/>
              <w:spacing w:before="1"/>
              <w:ind w:left="69"/>
              <w:rPr>
                <w:sz w:val="24"/>
              </w:rPr>
            </w:pPr>
            <w:r>
              <w:rPr>
                <w:sz w:val="24"/>
              </w:rPr>
              <w:t>Eficiência no trâmite de processos éticos (dias)</w:t>
            </w:r>
          </w:p>
          <w:p>
            <w:pPr>
              <w:pStyle w:val="TableParagraph"/>
              <w:ind w:left="69"/>
              <w:rPr>
                <w:b/>
                <w:sz w:val="24"/>
              </w:rPr>
            </w:pPr>
            <w:r>
              <w:rPr>
                <w:b/>
                <w:sz w:val="24"/>
              </w:rPr>
              <w:t>(CAU/BR)</w:t>
            </w:r>
          </w:p>
        </w:tc>
        <w:tc>
          <w:tcPr>
            <w:tcW w:w="6862" w:type="dxa"/>
            <w:gridSpan w:val="2"/>
          </w:tcPr>
          <w:p>
            <w:pPr>
              <w:pStyle w:val="TableParagraph"/>
              <w:rPr>
                <w:rFonts w:ascii="Calibri Light"/>
                <w:b w:val="0"/>
                <w:sz w:val="24"/>
              </w:rPr>
            </w:pPr>
          </w:p>
          <w:p>
            <w:pPr>
              <w:pStyle w:val="TableParagraph"/>
              <w:spacing w:before="11"/>
              <w:rPr>
                <w:rFonts w:ascii="Calibri Light"/>
                <w:b w:val="0"/>
                <w:sz w:val="24"/>
              </w:rPr>
            </w:pPr>
          </w:p>
          <w:p>
            <w:pPr>
              <w:pStyle w:val="TableParagraph"/>
              <w:spacing w:line="249" w:lineRule="auto"/>
              <w:ind w:left="1320" w:right="1101" w:hanging="183"/>
              <w:rPr>
                <w:sz w:val="24"/>
              </w:rPr>
            </w:pPr>
            <w:r>
              <w:rPr>
                <w:sz w:val="24"/>
              </w:rPr>
              <w:t>tempo médio de conclusão de processos éticos tempo máximo para conclusão de processo</w:t>
            </w:r>
          </w:p>
        </w:tc>
        <w:tc>
          <w:tcPr>
            <w:tcW w:w="1786" w:type="dxa"/>
          </w:tcPr>
          <w:p>
            <w:pPr>
              <w:pStyle w:val="TableParagraph"/>
              <w:rPr>
                <w:rFonts w:ascii="Calibri Light"/>
                <w:b w:val="0"/>
                <w:sz w:val="24"/>
              </w:rPr>
            </w:pPr>
          </w:p>
          <w:p>
            <w:pPr>
              <w:pStyle w:val="TableParagraph"/>
              <w:spacing w:before="9"/>
              <w:rPr>
                <w:rFonts w:ascii="Calibri Light"/>
                <w:b w:val="0"/>
                <w:sz w:val="31"/>
              </w:rPr>
            </w:pPr>
          </w:p>
          <w:p>
            <w:pPr>
              <w:pStyle w:val="TableParagraph"/>
              <w:ind w:left="193"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9"/>
              <w:rPr>
                <w:rFonts w:ascii="Calibri Light"/>
                <w:b w:val="0"/>
                <w:sz w:val="31"/>
              </w:rPr>
            </w:pPr>
          </w:p>
          <w:p>
            <w:pPr>
              <w:pStyle w:val="TableParagraph"/>
              <w:ind w:left="635" w:right="606"/>
              <w:jc w:val="center"/>
              <w:rPr>
                <w:sz w:val="24"/>
              </w:rPr>
            </w:pPr>
            <w:r>
              <w:rPr>
                <w:sz w:val="24"/>
              </w:rPr>
              <w:t>CED</w:t>
            </w:r>
          </w:p>
        </w:tc>
      </w:tr>
      <w:tr>
        <w:trPr>
          <w:trHeight w:val="1572" w:hRule="atLeast"/>
        </w:trPr>
        <w:tc>
          <w:tcPr>
            <w:tcW w:w="5103" w:type="dxa"/>
            <w:tcBorders>
              <w:left w:val="single" w:sz="8" w:space="0" w:color="000000"/>
            </w:tcBorders>
          </w:tcPr>
          <w:p>
            <w:pPr>
              <w:pStyle w:val="TableParagraph"/>
              <w:rPr>
                <w:rFonts w:ascii="Calibri Light"/>
                <w:b w:val="0"/>
                <w:sz w:val="24"/>
              </w:rPr>
            </w:pPr>
          </w:p>
          <w:p>
            <w:pPr>
              <w:pStyle w:val="TableParagraph"/>
              <w:spacing w:before="6"/>
              <w:rPr>
                <w:rFonts w:ascii="Calibri Light"/>
                <w:b w:val="0"/>
                <w:sz w:val="27"/>
              </w:rPr>
            </w:pPr>
          </w:p>
          <w:p>
            <w:pPr>
              <w:pStyle w:val="TableParagraph"/>
              <w:ind w:left="69"/>
              <w:rPr>
                <w:sz w:val="24"/>
              </w:rPr>
            </w:pPr>
            <w:r>
              <w:rPr>
                <w:sz w:val="24"/>
              </w:rPr>
              <w:t>Índice de adesão aos treinamentos da CED</w:t>
            </w:r>
          </w:p>
        </w:tc>
        <w:tc>
          <w:tcPr>
            <w:tcW w:w="5877" w:type="dxa"/>
            <w:tcBorders>
              <w:right w:val="nil"/>
            </w:tcBorders>
          </w:tcPr>
          <w:p>
            <w:pPr>
              <w:pStyle w:val="TableParagraph"/>
              <w:rPr>
                <w:rFonts w:ascii="Calibri Light"/>
                <w:b w:val="0"/>
                <w:sz w:val="24"/>
              </w:rPr>
            </w:pPr>
          </w:p>
          <w:p>
            <w:pPr>
              <w:pStyle w:val="TableParagraph"/>
              <w:spacing w:before="7"/>
              <w:rPr>
                <w:rFonts w:ascii="Calibri Light"/>
                <w:b w:val="0"/>
                <w:sz w:val="21"/>
              </w:rPr>
            </w:pPr>
          </w:p>
          <w:p>
            <w:pPr>
              <w:pStyle w:val="TableParagraph"/>
              <w:tabs>
                <w:tab w:pos="1612" w:val="left" w:leader="none"/>
                <w:tab w:pos="6101" w:val="left" w:leader="none"/>
              </w:tabs>
              <w:spacing w:line="247" w:lineRule="auto"/>
              <w:ind w:left="823" w:right="-231" w:hanging="814"/>
              <w:rPr>
                <w:sz w:val="24"/>
              </w:rPr>
            </w:pPr>
            <w:r>
              <w:rPr>
                <w:sz w:val="24"/>
                <w:u w:val="single"/>
              </w:rPr>
              <w:t> </w:t>
              <w:tab/>
              <w:tab/>
              <w:t>Quantidade</w:t>
            </w:r>
            <w:r>
              <w:rPr>
                <w:spacing w:val="-5"/>
                <w:sz w:val="24"/>
                <w:u w:val="single"/>
              </w:rPr>
              <w:t> </w:t>
            </w:r>
            <w:r>
              <w:rPr>
                <w:sz w:val="24"/>
                <w:u w:val="single"/>
              </w:rPr>
              <w:t>dos</w:t>
            </w:r>
            <w:r>
              <w:rPr>
                <w:spacing w:val="-4"/>
                <w:sz w:val="24"/>
                <w:u w:val="single"/>
              </w:rPr>
              <w:t> </w:t>
            </w:r>
            <w:r>
              <w:rPr>
                <w:sz w:val="24"/>
                <w:u w:val="single"/>
              </w:rPr>
              <w:t>participantes</w:t>
              <w:tab/>
            </w:r>
            <w:r>
              <w:rPr>
                <w:sz w:val="24"/>
              </w:rPr>
              <w:t> Quantidade do público alvo dos</w:t>
            </w:r>
            <w:r>
              <w:rPr>
                <w:spacing w:val="-4"/>
                <w:sz w:val="24"/>
              </w:rPr>
              <w:t> </w:t>
            </w:r>
            <w:r>
              <w:rPr>
                <w:sz w:val="24"/>
              </w:rPr>
              <w:t>treinamentos</w:t>
            </w:r>
          </w:p>
        </w:tc>
        <w:tc>
          <w:tcPr>
            <w:tcW w:w="985" w:type="dxa"/>
            <w:tcBorders>
              <w:left w:val="nil"/>
            </w:tcBorders>
          </w:tcPr>
          <w:p>
            <w:pPr>
              <w:pStyle w:val="TableParagraph"/>
              <w:rPr>
                <w:rFonts w:ascii="Calibri Light"/>
                <w:b w:val="0"/>
                <w:sz w:val="24"/>
              </w:rPr>
            </w:pPr>
          </w:p>
          <w:p>
            <w:pPr>
              <w:pStyle w:val="TableParagraph"/>
              <w:spacing w:before="6"/>
              <w:rPr>
                <w:rFonts w:ascii="Calibri Light"/>
                <w:b w:val="0"/>
                <w:sz w:val="27"/>
              </w:rPr>
            </w:pPr>
          </w:p>
          <w:p>
            <w:pPr>
              <w:pStyle w:val="TableParagraph"/>
              <w:ind w:right="101"/>
              <w:jc w:val="right"/>
              <w:rPr>
                <w:sz w:val="24"/>
              </w:rPr>
            </w:pPr>
            <w:r>
              <w:rPr>
                <w:sz w:val="24"/>
              </w:rPr>
              <w:t>x 100</w:t>
            </w:r>
          </w:p>
        </w:tc>
        <w:tc>
          <w:tcPr>
            <w:tcW w:w="1786" w:type="dxa"/>
          </w:tcPr>
          <w:p>
            <w:pPr>
              <w:pStyle w:val="TableParagraph"/>
              <w:rPr>
                <w:rFonts w:ascii="Calibri Light"/>
                <w:b w:val="0"/>
                <w:sz w:val="24"/>
              </w:rPr>
            </w:pPr>
          </w:p>
          <w:p>
            <w:pPr>
              <w:pStyle w:val="TableParagraph"/>
              <w:spacing w:before="6"/>
              <w:rPr>
                <w:rFonts w:ascii="Calibri Light"/>
                <w:b w:val="0"/>
                <w:sz w:val="27"/>
              </w:rPr>
            </w:pPr>
          </w:p>
          <w:p>
            <w:pPr>
              <w:pStyle w:val="TableParagraph"/>
              <w:ind w:left="193"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6"/>
              <w:rPr>
                <w:rFonts w:ascii="Calibri Light"/>
                <w:b w:val="0"/>
                <w:sz w:val="27"/>
              </w:rPr>
            </w:pPr>
          </w:p>
          <w:p>
            <w:pPr>
              <w:pStyle w:val="TableParagraph"/>
              <w:ind w:left="635" w:right="606"/>
              <w:jc w:val="center"/>
              <w:rPr>
                <w:sz w:val="24"/>
              </w:rPr>
            </w:pPr>
            <w:r>
              <w:rPr>
                <w:sz w:val="24"/>
              </w:rPr>
              <w:t>CED</w:t>
            </w:r>
          </w:p>
        </w:tc>
      </w:tr>
      <w:tr>
        <w:trPr>
          <w:trHeight w:val="1694" w:hRule="atLeast"/>
        </w:trPr>
        <w:tc>
          <w:tcPr>
            <w:tcW w:w="5103" w:type="dxa"/>
            <w:tcBorders>
              <w:left w:val="single" w:sz="8" w:space="0" w:color="000000"/>
            </w:tcBorders>
          </w:tcPr>
          <w:p>
            <w:pPr>
              <w:pStyle w:val="TableParagraph"/>
              <w:rPr>
                <w:rFonts w:ascii="Calibri Light"/>
                <w:b w:val="0"/>
                <w:sz w:val="24"/>
              </w:rPr>
            </w:pPr>
          </w:p>
          <w:p>
            <w:pPr>
              <w:pStyle w:val="TableParagraph"/>
              <w:spacing w:before="6"/>
              <w:rPr>
                <w:rFonts w:ascii="Calibri Light"/>
                <w:b w:val="0"/>
                <w:sz w:val="20"/>
              </w:rPr>
            </w:pPr>
          </w:p>
          <w:p>
            <w:pPr>
              <w:pStyle w:val="TableParagraph"/>
              <w:spacing w:before="1"/>
              <w:ind w:left="69" w:right="651"/>
              <w:rPr>
                <w:sz w:val="24"/>
              </w:rPr>
            </w:pPr>
            <w:r>
              <w:rPr>
                <w:sz w:val="24"/>
              </w:rPr>
              <w:t>Índice de adesão aos Seminários (regionais e nacional) da CED</w:t>
            </w:r>
          </w:p>
        </w:tc>
        <w:tc>
          <w:tcPr>
            <w:tcW w:w="5877" w:type="dxa"/>
            <w:tcBorders>
              <w:right w:val="nil"/>
            </w:tcBorders>
          </w:tcPr>
          <w:p>
            <w:pPr>
              <w:pStyle w:val="TableParagraph"/>
              <w:rPr>
                <w:rFonts w:ascii="Calibri Light"/>
                <w:b w:val="0"/>
                <w:sz w:val="24"/>
              </w:rPr>
            </w:pPr>
          </w:p>
          <w:p>
            <w:pPr>
              <w:pStyle w:val="TableParagraph"/>
              <w:spacing w:before="10"/>
              <w:rPr>
                <w:rFonts w:ascii="Calibri Light"/>
                <w:b w:val="0"/>
                <w:sz w:val="24"/>
              </w:rPr>
            </w:pPr>
          </w:p>
          <w:p>
            <w:pPr>
              <w:pStyle w:val="TableParagraph"/>
              <w:tabs>
                <w:tab w:pos="1612" w:val="left" w:leader="none"/>
                <w:tab w:pos="6101" w:val="left" w:leader="none"/>
              </w:tabs>
              <w:spacing w:line="247" w:lineRule="auto" w:before="1"/>
              <w:ind w:left="952" w:right="-231" w:hanging="944"/>
              <w:rPr>
                <w:sz w:val="24"/>
              </w:rPr>
            </w:pPr>
            <w:r>
              <w:rPr>
                <w:sz w:val="24"/>
                <w:u w:val="single"/>
              </w:rPr>
              <w:t> </w:t>
              <w:tab/>
              <w:tab/>
              <w:t>Quantidade</w:t>
            </w:r>
            <w:r>
              <w:rPr>
                <w:spacing w:val="-5"/>
                <w:sz w:val="24"/>
                <w:u w:val="single"/>
              </w:rPr>
              <w:t> </w:t>
            </w:r>
            <w:r>
              <w:rPr>
                <w:sz w:val="24"/>
                <w:u w:val="single"/>
              </w:rPr>
              <w:t>dos</w:t>
            </w:r>
            <w:r>
              <w:rPr>
                <w:spacing w:val="-4"/>
                <w:sz w:val="24"/>
                <w:u w:val="single"/>
              </w:rPr>
              <w:t> </w:t>
            </w:r>
            <w:r>
              <w:rPr>
                <w:sz w:val="24"/>
                <w:u w:val="single"/>
              </w:rPr>
              <w:t>participantes</w:t>
              <w:tab/>
            </w:r>
            <w:r>
              <w:rPr>
                <w:sz w:val="24"/>
              </w:rPr>
              <w:t> Quantidade do público alvo dos</w:t>
            </w:r>
            <w:r>
              <w:rPr>
                <w:spacing w:val="-2"/>
                <w:sz w:val="24"/>
              </w:rPr>
              <w:t> </w:t>
            </w:r>
            <w:r>
              <w:rPr>
                <w:sz w:val="24"/>
              </w:rPr>
              <w:t>seminários</w:t>
            </w:r>
          </w:p>
        </w:tc>
        <w:tc>
          <w:tcPr>
            <w:tcW w:w="985" w:type="dxa"/>
            <w:tcBorders>
              <w:left w:val="nil"/>
            </w:tcBorders>
          </w:tcPr>
          <w:p>
            <w:pPr>
              <w:pStyle w:val="TableParagraph"/>
              <w:rPr>
                <w:rFonts w:ascii="Calibri Light"/>
                <w:b w:val="0"/>
                <w:sz w:val="24"/>
              </w:rPr>
            </w:pPr>
          </w:p>
          <w:p>
            <w:pPr>
              <w:pStyle w:val="TableParagraph"/>
              <w:spacing w:before="6"/>
              <w:rPr>
                <w:rFonts w:ascii="Calibri Light"/>
                <w:b w:val="0"/>
                <w:sz w:val="32"/>
              </w:rPr>
            </w:pPr>
          </w:p>
          <w:p>
            <w:pPr>
              <w:pStyle w:val="TableParagraph"/>
              <w:ind w:right="101"/>
              <w:jc w:val="right"/>
              <w:rPr>
                <w:sz w:val="24"/>
              </w:rPr>
            </w:pPr>
            <w:r>
              <w:rPr>
                <w:sz w:val="24"/>
              </w:rPr>
              <w:t>x 100</w:t>
            </w:r>
          </w:p>
        </w:tc>
        <w:tc>
          <w:tcPr>
            <w:tcW w:w="1786" w:type="dxa"/>
          </w:tcPr>
          <w:p>
            <w:pPr>
              <w:pStyle w:val="TableParagraph"/>
              <w:rPr>
                <w:rFonts w:ascii="Calibri Light"/>
                <w:b w:val="0"/>
                <w:sz w:val="24"/>
              </w:rPr>
            </w:pPr>
          </w:p>
          <w:p>
            <w:pPr>
              <w:pStyle w:val="TableParagraph"/>
              <w:spacing w:before="6"/>
              <w:rPr>
                <w:rFonts w:ascii="Calibri Light"/>
                <w:b w:val="0"/>
                <w:sz w:val="32"/>
              </w:rPr>
            </w:pPr>
          </w:p>
          <w:p>
            <w:pPr>
              <w:pStyle w:val="TableParagraph"/>
              <w:ind w:left="193" w:right="171"/>
              <w:jc w:val="center"/>
              <w:rPr>
                <w:sz w:val="24"/>
              </w:rPr>
            </w:pPr>
            <w:r>
              <w:rPr>
                <w:sz w:val="24"/>
              </w:rPr>
              <w:t>Anual</w:t>
            </w:r>
          </w:p>
        </w:tc>
        <w:tc>
          <w:tcPr>
            <w:tcW w:w="1843" w:type="dxa"/>
            <w:tcBorders>
              <w:right w:val="single" w:sz="8" w:space="0" w:color="000000"/>
            </w:tcBorders>
          </w:tcPr>
          <w:p>
            <w:pPr>
              <w:pStyle w:val="TableParagraph"/>
              <w:rPr>
                <w:rFonts w:ascii="Calibri Light"/>
                <w:b w:val="0"/>
                <w:sz w:val="24"/>
              </w:rPr>
            </w:pPr>
          </w:p>
          <w:p>
            <w:pPr>
              <w:pStyle w:val="TableParagraph"/>
              <w:spacing w:before="6"/>
              <w:rPr>
                <w:rFonts w:ascii="Calibri Light"/>
                <w:b w:val="0"/>
                <w:sz w:val="32"/>
              </w:rPr>
            </w:pPr>
          </w:p>
          <w:p>
            <w:pPr>
              <w:pStyle w:val="TableParagraph"/>
              <w:ind w:left="635" w:right="606"/>
              <w:jc w:val="center"/>
              <w:rPr>
                <w:sz w:val="24"/>
              </w:rPr>
            </w:pPr>
            <w:r>
              <w:rPr>
                <w:sz w:val="24"/>
              </w:rPr>
              <w:t>CED</w:t>
            </w:r>
          </w:p>
        </w:tc>
      </w:tr>
    </w:tbl>
    <w:p>
      <w:pPr>
        <w:spacing w:after="0"/>
        <w:jc w:val="center"/>
        <w:rPr>
          <w:sz w:val="24"/>
        </w:rPr>
        <w:sectPr>
          <w:pgSz w:w="16840" w:h="11910" w:orient="landscape"/>
          <w:pgMar w:header="590" w:footer="618" w:top="200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5350"/>
        <w:gridCol w:w="1177"/>
        <w:gridCol w:w="1702"/>
        <w:gridCol w:w="1980"/>
      </w:tblGrid>
      <w:tr>
        <w:trPr>
          <w:trHeight w:val="1588" w:hRule="atLeast"/>
        </w:trPr>
        <w:tc>
          <w:tcPr>
            <w:tcW w:w="5387" w:type="dxa"/>
            <w:tcBorders>
              <w:lef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69"/>
              <w:rPr>
                <w:b/>
                <w:sz w:val="24"/>
              </w:rPr>
            </w:pPr>
            <w:r>
              <w:rPr>
                <w:b/>
                <w:color w:val="FFFFFF"/>
                <w:sz w:val="24"/>
              </w:rPr>
              <w:t>Assegurar a sustentabilidade financeira</w:t>
            </w:r>
          </w:p>
        </w:tc>
        <w:tc>
          <w:tcPr>
            <w:tcW w:w="6527"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2368" w:right="2346"/>
              <w:jc w:val="center"/>
              <w:rPr>
                <w:b/>
                <w:sz w:val="24"/>
              </w:rPr>
            </w:pPr>
            <w:r>
              <w:rPr>
                <w:b/>
                <w:color w:val="FFFFFF"/>
                <w:sz w:val="24"/>
              </w:rPr>
              <w:t>Fórmula</w:t>
            </w:r>
          </w:p>
        </w:tc>
        <w:tc>
          <w:tcPr>
            <w:tcW w:w="1702"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54" w:right="131"/>
              <w:jc w:val="center"/>
              <w:rPr>
                <w:b/>
                <w:sz w:val="24"/>
              </w:rPr>
            </w:pPr>
            <w:r>
              <w:rPr>
                <w:b/>
                <w:color w:val="FFFFFF"/>
                <w:sz w:val="24"/>
              </w:rPr>
              <w:t>Periodicidade</w:t>
            </w:r>
          </w:p>
        </w:tc>
        <w:tc>
          <w:tcPr>
            <w:tcW w:w="1980"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610" w:right="585"/>
              <w:jc w:val="center"/>
              <w:rPr>
                <w:b/>
                <w:sz w:val="24"/>
              </w:rPr>
            </w:pPr>
            <w:r>
              <w:rPr>
                <w:b/>
                <w:color w:val="FFFFFF"/>
                <w:sz w:val="24"/>
              </w:rPr>
              <w:t>ÁREA</w:t>
            </w:r>
          </w:p>
        </w:tc>
      </w:tr>
      <w:tr>
        <w:trPr>
          <w:trHeight w:val="532" w:hRule="atLeast"/>
        </w:trPr>
        <w:tc>
          <w:tcPr>
            <w:tcW w:w="5387" w:type="dxa"/>
            <w:vMerge w:val="restart"/>
            <w:tcBorders>
              <w:left w:val="single" w:sz="8" w:space="0" w:color="000000"/>
            </w:tcBorders>
          </w:tcPr>
          <w:p>
            <w:pPr>
              <w:pStyle w:val="TableParagraph"/>
              <w:spacing w:before="12"/>
              <w:rPr>
                <w:rFonts w:ascii="Calibri Light"/>
                <w:b w:val="0"/>
                <w:sz w:val="19"/>
              </w:rPr>
            </w:pPr>
          </w:p>
          <w:p>
            <w:pPr>
              <w:pStyle w:val="TableParagraph"/>
              <w:ind w:left="69"/>
              <w:rPr>
                <w:sz w:val="24"/>
              </w:rPr>
            </w:pPr>
            <w:r>
              <w:rPr>
                <w:sz w:val="24"/>
              </w:rPr>
              <w:t>Índice de receita por arquiteto e urbanista</w:t>
            </w:r>
          </w:p>
          <w:p>
            <w:pPr>
              <w:pStyle w:val="TableParagraph"/>
              <w:ind w:left="69"/>
              <w:rPr>
                <w:b/>
                <w:sz w:val="24"/>
              </w:rPr>
            </w:pPr>
            <w:r>
              <w:rPr>
                <w:b/>
                <w:sz w:val="24"/>
              </w:rPr>
              <w:t>(CAU/BR)</w:t>
            </w:r>
          </w:p>
        </w:tc>
        <w:tc>
          <w:tcPr>
            <w:tcW w:w="6527" w:type="dxa"/>
            <w:gridSpan w:val="2"/>
          </w:tcPr>
          <w:p>
            <w:pPr>
              <w:pStyle w:val="TableParagraph"/>
              <w:spacing w:before="9"/>
              <w:rPr>
                <w:rFonts w:ascii="Calibri Light"/>
                <w:b w:val="0"/>
                <w:sz w:val="18"/>
              </w:rPr>
            </w:pPr>
          </w:p>
          <w:p>
            <w:pPr>
              <w:pStyle w:val="TableParagraph"/>
              <w:spacing w:line="283" w:lineRule="exact" w:before="1"/>
              <w:ind w:left="2367" w:right="2347"/>
              <w:jc w:val="center"/>
              <w:rPr>
                <w:sz w:val="24"/>
              </w:rPr>
            </w:pPr>
            <w:r>
              <w:rPr>
                <w:sz w:val="24"/>
              </w:rPr>
              <w:t>receita corrente</w:t>
            </w:r>
          </w:p>
        </w:tc>
        <w:tc>
          <w:tcPr>
            <w:tcW w:w="1702" w:type="dxa"/>
            <w:vMerge w:val="restart"/>
          </w:tcPr>
          <w:p>
            <w:pPr>
              <w:pStyle w:val="TableParagraph"/>
              <w:spacing w:before="11"/>
              <w:rPr>
                <w:rFonts w:ascii="Calibri Light"/>
                <w:b w:val="0"/>
                <w:sz w:val="31"/>
              </w:rPr>
            </w:pPr>
          </w:p>
          <w:p>
            <w:pPr>
              <w:pStyle w:val="TableParagraph"/>
              <w:spacing w:before="1"/>
              <w:ind w:left="577"/>
              <w:rPr>
                <w:sz w:val="24"/>
              </w:rPr>
            </w:pPr>
            <w:r>
              <w:rPr>
                <w:sz w:val="24"/>
              </w:rPr>
              <w:t>Anual</w:t>
            </w:r>
          </w:p>
        </w:tc>
        <w:tc>
          <w:tcPr>
            <w:tcW w:w="1980" w:type="dxa"/>
            <w:vMerge w:val="restart"/>
            <w:tcBorders>
              <w:right w:val="single" w:sz="8" w:space="0" w:color="000000"/>
            </w:tcBorders>
          </w:tcPr>
          <w:p>
            <w:pPr>
              <w:pStyle w:val="TableParagraph"/>
              <w:spacing w:before="11"/>
              <w:rPr>
                <w:rFonts w:ascii="Calibri Light"/>
                <w:b w:val="0"/>
                <w:sz w:val="31"/>
              </w:rPr>
            </w:pPr>
          </w:p>
          <w:p>
            <w:pPr>
              <w:pStyle w:val="TableParagraph"/>
              <w:spacing w:before="1"/>
              <w:ind w:left="632"/>
              <w:rPr>
                <w:sz w:val="24"/>
              </w:rPr>
            </w:pPr>
            <w:r>
              <w:rPr>
                <w:sz w:val="24"/>
              </w:rPr>
              <w:t>GERFIN</w:t>
            </w:r>
          </w:p>
        </w:tc>
      </w:tr>
      <w:tr>
        <w:trPr>
          <w:trHeight w:val="551" w:hRule="atLeast"/>
        </w:trPr>
        <w:tc>
          <w:tcPr>
            <w:tcW w:w="5387" w:type="dxa"/>
            <w:vMerge/>
            <w:tcBorders>
              <w:top w:val="nil"/>
              <w:left w:val="single" w:sz="8" w:space="0" w:color="000000"/>
            </w:tcBorders>
          </w:tcPr>
          <w:p>
            <w:pPr>
              <w:rPr>
                <w:sz w:val="2"/>
                <w:szCs w:val="2"/>
              </w:rPr>
            </w:pPr>
          </w:p>
        </w:tc>
        <w:tc>
          <w:tcPr>
            <w:tcW w:w="6527" w:type="dxa"/>
            <w:gridSpan w:val="2"/>
          </w:tcPr>
          <w:p>
            <w:pPr>
              <w:pStyle w:val="TableParagraph"/>
              <w:spacing w:line="283" w:lineRule="exact"/>
              <w:ind w:left="1934"/>
              <w:rPr>
                <w:sz w:val="24"/>
              </w:rPr>
            </w:pPr>
            <w:r>
              <w:rPr>
                <w:sz w:val="24"/>
              </w:rPr>
              <w:t>total de profissionais ativos</w:t>
            </w:r>
          </w:p>
        </w:tc>
        <w:tc>
          <w:tcPr>
            <w:tcW w:w="1702" w:type="dxa"/>
            <w:vMerge/>
            <w:tcBorders>
              <w:top w:val="nil"/>
            </w:tcBorders>
          </w:tcPr>
          <w:p>
            <w:pPr>
              <w:rPr>
                <w:sz w:val="2"/>
                <w:szCs w:val="2"/>
              </w:rPr>
            </w:pPr>
          </w:p>
        </w:tc>
        <w:tc>
          <w:tcPr>
            <w:tcW w:w="1980" w:type="dxa"/>
            <w:vMerge/>
            <w:tcBorders>
              <w:top w:val="nil"/>
              <w:right w:val="single" w:sz="8" w:space="0" w:color="000000"/>
            </w:tcBorders>
          </w:tcPr>
          <w:p>
            <w:pPr>
              <w:rPr>
                <w:sz w:val="2"/>
                <w:szCs w:val="2"/>
              </w:rPr>
            </w:pPr>
          </w:p>
        </w:tc>
      </w:tr>
      <w:tr>
        <w:trPr>
          <w:trHeight w:val="1283" w:hRule="atLeast"/>
        </w:trPr>
        <w:tc>
          <w:tcPr>
            <w:tcW w:w="5387" w:type="dxa"/>
            <w:tcBorders>
              <w:left w:val="single" w:sz="8" w:space="0" w:color="000000"/>
            </w:tcBorders>
          </w:tcPr>
          <w:p>
            <w:pPr>
              <w:pStyle w:val="TableParagraph"/>
              <w:spacing w:before="7"/>
              <w:rPr>
                <w:rFonts w:ascii="Calibri Light"/>
                <w:b w:val="0"/>
                <w:sz w:val="27"/>
              </w:rPr>
            </w:pPr>
          </w:p>
          <w:p>
            <w:pPr>
              <w:pStyle w:val="TableParagraph"/>
              <w:spacing w:before="1"/>
              <w:ind w:left="69"/>
              <w:rPr>
                <w:sz w:val="24"/>
              </w:rPr>
            </w:pPr>
            <w:r>
              <w:rPr>
                <w:sz w:val="24"/>
              </w:rPr>
              <w:t>Relação receita/custo de pessoal (%)</w:t>
            </w:r>
          </w:p>
          <w:p>
            <w:pPr>
              <w:pStyle w:val="TableParagraph"/>
              <w:spacing w:before="2"/>
              <w:ind w:left="69"/>
              <w:rPr>
                <w:b/>
                <w:sz w:val="24"/>
              </w:rPr>
            </w:pPr>
            <w:r>
              <w:rPr>
                <w:b/>
                <w:sz w:val="24"/>
              </w:rPr>
              <w:t>(CAU/BR)</w:t>
            </w:r>
          </w:p>
        </w:tc>
        <w:tc>
          <w:tcPr>
            <w:tcW w:w="5350" w:type="dxa"/>
            <w:tcBorders>
              <w:right w:val="nil"/>
            </w:tcBorders>
          </w:tcPr>
          <w:p>
            <w:pPr>
              <w:pStyle w:val="TableParagraph"/>
              <w:spacing w:before="11"/>
              <w:rPr>
                <w:rFonts w:ascii="Calibri Light"/>
                <w:b w:val="0"/>
                <w:sz w:val="33"/>
              </w:rPr>
            </w:pPr>
          </w:p>
          <w:p>
            <w:pPr>
              <w:pStyle w:val="TableParagraph"/>
              <w:tabs>
                <w:tab w:pos="1706" w:val="left" w:leader="none"/>
                <w:tab w:pos="5534" w:val="left" w:leader="none"/>
              </w:tabs>
              <w:spacing w:line="247" w:lineRule="auto"/>
              <w:ind w:left="1984" w:right="-202" w:hanging="1976"/>
              <w:rPr>
                <w:sz w:val="24"/>
              </w:rPr>
            </w:pPr>
            <w:r>
              <w:rPr>
                <w:sz w:val="24"/>
                <w:u w:val="single"/>
              </w:rPr>
              <w:t> </w:t>
              <w:tab/>
              <w:t>custo total</w:t>
            </w:r>
            <w:r>
              <w:rPr>
                <w:spacing w:val="-6"/>
                <w:sz w:val="24"/>
                <w:u w:val="single"/>
              </w:rPr>
              <w:t> </w:t>
            </w:r>
            <w:r>
              <w:rPr>
                <w:sz w:val="24"/>
                <w:u w:val="single"/>
              </w:rPr>
              <w:t>de</w:t>
            </w:r>
            <w:r>
              <w:rPr>
                <w:spacing w:val="-3"/>
                <w:sz w:val="24"/>
                <w:u w:val="single"/>
              </w:rPr>
              <w:t> </w:t>
            </w:r>
            <w:r>
              <w:rPr>
                <w:sz w:val="24"/>
                <w:u w:val="single"/>
              </w:rPr>
              <w:t>pessoal</w:t>
              <w:tab/>
            </w:r>
            <w:r>
              <w:rPr>
                <w:sz w:val="24"/>
              </w:rPr>
              <w:t> receita</w:t>
            </w:r>
            <w:r>
              <w:rPr>
                <w:spacing w:val="-1"/>
                <w:sz w:val="24"/>
              </w:rPr>
              <w:t> </w:t>
            </w:r>
            <w:r>
              <w:rPr>
                <w:sz w:val="24"/>
              </w:rPr>
              <w:t>corrente</w:t>
            </w:r>
          </w:p>
        </w:tc>
        <w:tc>
          <w:tcPr>
            <w:tcW w:w="1177" w:type="dxa"/>
            <w:tcBorders>
              <w:left w:val="nil"/>
            </w:tcBorders>
          </w:tcPr>
          <w:p>
            <w:pPr>
              <w:pStyle w:val="TableParagraph"/>
              <w:rPr>
                <w:rFonts w:ascii="Calibri Light"/>
                <w:b w:val="0"/>
                <w:sz w:val="24"/>
              </w:rPr>
            </w:pPr>
          </w:p>
          <w:p>
            <w:pPr>
              <w:pStyle w:val="TableParagraph"/>
              <w:spacing w:before="193"/>
              <w:ind w:right="223"/>
              <w:jc w:val="right"/>
              <w:rPr>
                <w:sz w:val="24"/>
              </w:rPr>
            </w:pPr>
            <w:r>
              <w:rPr>
                <w:sz w:val="24"/>
              </w:rPr>
              <w:t>x 100</w:t>
            </w:r>
          </w:p>
        </w:tc>
        <w:tc>
          <w:tcPr>
            <w:tcW w:w="1702" w:type="dxa"/>
          </w:tcPr>
          <w:p>
            <w:pPr>
              <w:pStyle w:val="TableParagraph"/>
              <w:spacing w:before="7"/>
              <w:rPr>
                <w:rFonts w:ascii="Calibri Light"/>
                <w:b w:val="0"/>
                <w:sz w:val="27"/>
              </w:rPr>
            </w:pPr>
          </w:p>
          <w:p>
            <w:pPr>
              <w:pStyle w:val="TableParagraph"/>
              <w:spacing w:line="242" w:lineRule="auto" w:before="1"/>
              <w:ind w:left="582" w:right="252" w:hanging="305"/>
              <w:rPr>
                <w:sz w:val="24"/>
              </w:rPr>
            </w:pPr>
            <w:r>
              <w:rPr>
                <w:sz w:val="24"/>
              </w:rPr>
              <w:t>Semestral e anual</w:t>
            </w:r>
          </w:p>
        </w:tc>
        <w:tc>
          <w:tcPr>
            <w:tcW w:w="1980" w:type="dxa"/>
            <w:tcBorders>
              <w:right w:val="single" w:sz="8" w:space="0" w:color="000000"/>
            </w:tcBorders>
          </w:tcPr>
          <w:p>
            <w:pPr>
              <w:pStyle w:val="TableParagraph"/>
              <w:rPr>
                <w:rFonts w:ascii="Calibri Light"/>
                <w:b w:val="0"/>
                <w:sz w:val="24"/>
              </w:rPr>
            </w:pPr>
          </w:p>
          <w:p>
            <w:pPr>
              <w:pStyle w:val="TableParagraph"/>
              <w:spacing w:before="193"/>
              <w:ind w:left="610" w:right="590"/>
              <w:jc w:val="center"/>
              <w:rPr>
                <w:sz w:val="24"/>
              </w:rPr>
            </w:pPr>
            <w:r>
              <w:rPr>
                <w:sz w:val="24"/>
              </w:rPr>
              <w:t>GERFIN</w:t>
            </w:r>
          </w:p>
        </w:tc>
      </w:tr>
      <w:tr>
        <w:trPr>
          <w:trHeight w:val="1226" w:hRule="atLeast"/>
        </w:trPr>
        <w:tc>
          <w:tcPr>
            <w:tcW w:w="5387" w:type="dxa"/>
            <w:tcBorders>
              <w:left w:val="single" w:sz="8" w:space="0" w:color="000000"/>
            </w:tcBorders>
          </w:tcPr>
          <w:p>
            <w:pPr>
              <w:pStyle w:val="TableParagraph"/>
              <w:spacing w:before="3"/>
              <w:rPr>
                <w:rFonts w:ascii="Calibri Light"/>
                <w:b w:val="0"/>
                <w:sz w:val="25"/>
              </w:rPr>
            </w:pPr>
          </w:p>
          <w:p>
            <w:pPr>
              <w:pStyle w:val="TableParagraph"/>
              <w:ind w:left="69"/>
              <w:rPr>
                <w:sz w:val="24"/>
              </w:rPr>
            </w:pPr>
            <w:r>
              <w:rPr>
                <w:sz w:val="24"/>
              </w:rPr>
              <w:t>Índice de liquidez corrente</w:t>
            </w:r>
          </w:p>
          <w:p>
            <w:pPr>
              <w:pStyle w:val="TableParagraph"/>
              <w:ind w:left="69"/>
              <w:rPr>
                <w:b/>
                <w:sz w:val="24"/>
              </w:rPr>
            </w:pPr>
            <w:r>
              <w:rPr>
                <w:b/>
                <w:sz w:val="24"/>
              </w:rPr>
              <w:t>(CAU/BR)</w:t>
            </w:r>
          </w:p>
        </w:tc>
        <w:tc>
          <w:tcPr>
            <w:tcW w:w="5350" w:type="dxa"/>
            <w:tcBorders>
              <w:right w:val="nil"/>
            </w:tcBorders>
          </w:tcPr>
          <w:p>
            <w:pPr>
              <w:pStyle w:val="TableParagraph"/>
              <w:rPr>
                <w:rFonts w:ascii="Calibri Light"/>
                <w:b w:val="0"/>
                <w:sz w:val="28"/>
              </w:rPr>
            </w:pPr>
          </w:p>
          <w:p>
            <w:pPr>
              <w:pStyle w:val="TableParagraph"/>
              <w:tabs>
                <w:tab w:pos="2018" w:val="left" w:leader="none"/>
                <w:tab w:pos="5534" w:val="left" w:leader="none"/>
              </w:tabs>
              <w:spacing w:line="249" w:lineRule="auto"/>
              <w:ind w:left="1900" w:right="-202" w:hanging="1892"/>
              <w:rPr>
                <w:sz w:val="24"/>
              </w:rPr>
            </w:pPr>
            <w:r>
              <w:rPr>
                <w:sz w:val="24"/>
                <w:u w:val="single"/>
              </w:rPr>
              <w:t> </w:t>
              <w:tab/>
              <w:tab/>
              <w:t>ativo</w:t>
            </w:r>
            <w:r>
              <w:rPr>
                <w:spacing w:val="-4"/>
                <w:sz w:val="24"/>
                <w:u w:val="single"/>
              </w:rPr>
              <w:t> </w:t>
            </w:r>
            <w:r>
              <w:rPr>
                <w:sz w:val="24"/>
                <w:u w:val="single"/>
              </w:rPr>
              <w:t>circulante</w:t>
              <w:tab/>
            </w:r>
            <w:r>
              <w:rPr>
                <w:sz w:val="24"/>
              </w:rPr>
              <w:t> passivo circulante</w:t>
            </w:r>
          </w:p>
        </w:tc>
        <w:tc>
          <w:tcPr>
            <w:tcW w:w="1177" w:type="dxa"/>
            <w:tcBorders>
              <w:left w:val="nil"/>
            </w:tcBorders>
          </w:tcPr>
          <w:p>
            <w:pPr>
              <w:pStyle w:val="TableParagraph"/>
              <w:rPr>
                <w:rFonts w:ascii="Calibri Light"/>
                <w:b w:val="0"/>
                <w:sz w:val="24"/>
              </w:rPr>
            </w:pPr>
          </w:p>
          <w:p>
            <w:pPr>
              <w:pStyle w:val="TableParagraph"/>
              <w:spacing w:before="162"/>
              <w:ind w:right="221"/>
              <w:jc w:val="right"/>
              <w:rPr>
                <w:sz w:val="24"/>
              </w:rPr>
            </w:pPr>
            <w:r>
              <w:rPr>
                <w:sz w:val="24"/>
              </w:rPr>
              <w:t>x 100</w:t>
            </w:r>
          </w:p>
        </w:tc>
        <w:tc>
          <w:tcPr>
            <w:tcW w:w="1702" w:type="dxa"/>
          </w:tcPr>
          <w:p>
            <w:pPr>
              <w:pStyle w:val="TableParagraph"/>
              <w:rPr>
                <w:rFonts w:ascii="Calibri Light"/>
                <w:b w:val="0"/>
                <w:sz w:val="24"/>
              </w:rPr>
            </w:pPr>
          </w:p>
          <w:p>
            <w:pPr>
              <w:pStyle w:val="TableParagraph"/>
              <w:spacing w:before="162"/>
              <w:ind w:left="142" w:right="131"/>
              <w:jc w:val="center"/>
              <w:rPr>
                <w:sz w:val="24"/>
              </w:rPr>
            </w:pPr>
            <w:r>
              <w:rPr>
                <w:sz w:val="24"/>
              </w:rPr>
              <w:t>Anual</w:t>
            </w:r>
          </w:p>
        </w:tc>
        <w:tc>
          <w:tcPr>
            <w:tcW w:w="1980" w:type="dxa"/>
            <w:tcBorders>
              <w:right w:val="single" w:sz="8" w:space="0" w:color="000000"/>
            </w:tcBorders>
          </w:tcPr>
          <w:p>
            <w:pPr>
              <w:pStyle w:val="TableParagraph"/>
              <w:rPr>
                <w:rFonts w:ascii="Calibri Light"/>
                <w:b w:val="0"/>
                <w:sz w:val="24"/>
              </w:rPr>
            </w:pPr>
          </w:p>
          <w:p>
            <w:pPr>
              <w:pStyle w:val="TableParagraph"/>
              <w:spacing w:before="162"/>
              <w:ind w:left="610" w:right="590"/>
              <w:jc w:val="center"/>
              <w:rPr>
                <w:sz w:val="24"/>
              </w:rPr>
            </w:pPr>
            <w:r>
              <w:rPr>
                <w:sz w:val="24"/>
              </w:rPr>
              <w:t>GERFIN</w:t>
            </w:r>
          </w:p>
        </w:tc>
      </w:tr>
      <w:tr>
        <w:trPr>
          <w:trHeight w:val="1118" w:hRule="atLeast"/>
        </w:trPr>
        <w:tc>
          <w:tcPr>
            <w:tcW w:w="5387" w:type="dxa"/>
            <w:tcBorders>
              <w:left w:val="single" w:sz="8" w:space="0" w:color="000000"/>
            </w:tcBorders>
          </w:tcPr>
          <w:p>
            <w:pPr>
              <w:pStyle w:val="TableParagraph"/>
              <w:rPr>
                <w:rFonts w:ascii="Calibri Light"/>
                <w:b w:val="0"/>
                <w:sz w:val="33"/>
              </w:rPr>
            </w:pPr>
          </w:p>
          <w:p>
            <w:pPr>
              <w:pStyle w:val="TableParagraph"/>
              <w:ind w:left="69"/>
              <w:rPr>
                <w:sz w:val="24"/>
              </w:rPr>
            </w:pPr>
            <w:r>
              <w:rPr>
                <w:sz w:val="24"/>
              </w:rPr>
              <w:t>Índice de Execução do Orçamento (%)</w:t>
            </w:r>
          </w:p>
        </w:tc>
        <w:tc>
          <w:tcPr>
            <w:tcW w:w="5350" w:type="dxa"/>
            <w:tcBorders>
              <w:right w:val="nil"/>
            </w:tcBorders>
          </w:tcPr>
          <w:p>
            <w:pPr>
              <w:pStyle w:val="TableParagraph"/>
              <w:spacing w:before="10"/>
              <w:rPr>
                <w:rFonts w:ascii="Calibri Light"/>
                <w:b w:val="0"/>
                <w:sz w:val="20"/>
              </w:rPr>
            </w:pPr>
          </w:p>
          <w:p>
            <w:pPr>
              <w:pStyle w:val="TableParagraph"/>
              <w:tabs>
                <w:tab w:pos="1292" w:val="left" w:leader="none"/>
                <w:tab w:pos="5534" w:val="left" w:leader="none"/>
              </w:tabs>
              <w:spacing w:line="247" w:lineRule="auto"/>
              <w:ind w:left="1523" w:right="-202" w:hanging="1515"/>
              <w:rPr>
                <w:sz w:val="24"/>
              </w:rPr>
            </w:pPr>
            <w:r>
              <w:rPr>
                <w:sz w:val="24"/>
                <w:u w:val="single"/>
              </w:rPr>
              <w:t> </w:t>
              <w:tab/>
              <w:t>Despesa</w:t>
            </w:r>
            <w:r>
              <w:rPr>
                <w:spacing w:val="-7"/>
                <w:sz w:val="24"/>
                <w:u w:val="single"/>
              </w:rPr>
              <w:t> </w:t>
            </w:r>
            <w:r>
              <w:rPr>
                <w:sz w:val="24"/>
                <w:u w:val="single"/>
              </w:rPr>
              <w:t>Corrente</w:t>
            </w:r>
            <w:r>
              <w:rPr>
                <w:spacing w:val="-7"/>
                <w:sz w:val="24"/>
                <w:u w:val="single"/>
              </w:rPr>
              <w:t> </w:t>
            </w:r>
            <w:r>
              <w:rPr>
                <w:sz w:val="24"/>
                <w:u w:val="single"/>
              </w:rPr>
              <w:t>Empenhada</w:t>
              <w:tab/>
            </w:r>
            <w:r>
              <w:rPr>
                <w:sz w:val="24"/>
              </w:rPr>
              <w:t>           Despesa Corrente</w:t>
            </w:r>
            <w:r>
              <w:rPr>
                <w:spacing w:val="-5"/>
                <w:sz w:val="24"/>
              </w:rPr>
              <w:t> </w:t>
            </w:r>
            <w:r>
              <w:rPr>
                <w:sz w:val="24"/>
              </w:rPr>
              <w:t>Orçada</w:t>
            </w:r>
          </w:p>
        </w:tc>
        <w:tc>
          <w:tcPr>
            <w:tcW w:w="1177" w:type="dxa"/>
            <w:tcBorders>
              <w:left w:val="nil"/>
            </w:tcBorders>
          </w:tcPr>
          <w:p>
            <w:pPr>
              <w:pStyle w:val="TableParagraph"/>
              <w:rPr>
                <w:rFonts w:ascii="Calibri Light"/>
                <w:b w:val="0"/>
                <w:sz w:val="33"/>
              </w:rPr>
            </w:pPr>
          </w:p>
          <w:p>
            <w:pPr>
              <w:pStyle w:val="TableParagraph"/>
              <w:ind w:right="223"/>
              <w:jc w:val="right"/>
              <w:rPr>
                <w:sz w:val="24"/>
              </w:rPr>
            </w:pPr>
            <w:r>
              <w:rPr>
                <w:sz w:val="24"/>
              </w:rPr>
              <w:t>x 100</w:t>
            </w:r>
          </w:p>
        </w:tc>
        <w:tc>
          <w:tcPr>
            <w:tcW w:w="1702" w:type="dxa"/>
          </w:tcPr>
          <w:p>
            <w:pPr>
              <w:pStyle w:val="TableParagraph"/>
              <w:rPr>
                <w:rFonts w:ascii="Calibri Light"/>
                <w:b w:val="0"/>
                <w:sz w:val="33"/>
              </w:rPr>
            </w:pPr>
          </w:p>
          <w:p>
            <w:pPr>
              <w:pStyle w:val="TableParagraph"/>
              <w:ind w:left="154" w:right="87"/>
              <w:jc w:val="center"/>
              <w:rPr>
                <w:sz w:val="24"/>
              </w:rPr>
            </w:pPr>
            <w:r>
              <w:rPr>
                <w:sz w:val="24"/>
              </w:rPr>
              <w:t>Anual</w:t>
            </w:r>
          </w:p>
        </w:tc>
        <w:tc>
          <w:tcPr>
            <w:tcW w:w="1980" w:type="dxa"/>
            <w:tcBorders>
              <w:right w:val="single" w:sz="8" w:space="0" w:color="000000"/>
            </w:tcBorders>
          </w:tcPr>
          <w:p>
            <w:pPr>
              <w:pStyle w:val="TableParagraph"/>
              <w:rPr>
                <w:rFonts w:ascii="Calibri Light"/>
                <w:b w:val="0"/>
                <w:sz w:val="33"/>
              </w:rPr>
            </w:pPr>
          </w:p>
          <w:p>
            <w:pPr>
              <w:pStyle w:val="TableParagraph"/>
              <w:ind w:left="610" w:right="590"/>
              <w:jc w:val="center"/>
              <w:rPr>
                <w:sz w:val="24"/>
              </w:rPr>
            </w:pPr>
            <w:r>
              <w:rPr>
                <w:sz w:val="24"/>
              </w:rPr>
              <w:t>GERFIN</w:t>
            </w:r>
          </w:p>
        </w:tc>
      </w:tr>
      <w:tr>
        <w:trPr>
          <w:trHeight w:val="698" w:hRule="atLeast"/>
        </w:trPr>
        <w:tc>
          <w:tcPr>
            <w:tcW w:w="5387" w:type="dxa"/>
            <w:vMerge w:val="restart"/>
            <w:tcBorders>
              <w:left w:val="single" w:sz="8" w:space="0" w:color="000000"/>
            </w:tcBorders>
          </w:tcPr>
          <w:p>
            <w:pPr>
              <w:pStyle w:val="TableParagraph"/>
              <w:spacing w:before="186"/>
              <w:ind w:left="69" w:right="108"/>
              <w:rPr>
                <w:sz w:val="24"/>
              </w:rPr>
            </w:pPr>
            <w:r>
              <w:rPr>
                <w:sz w:val="24"/>
              </w:rPr>
              <w:t>Índice de Liquidez Imediata (capacidade dos recursos financeiros em caixa para horar as obrigações a pagar)</w:t>
            </w:r>
          </w:p>
        </w:tc>
        <w:tc>
          <w:tcPr>
            <w:tcW w:w="6527" w:type="dxa"/>
            <w:gridSpan w:val="2"/>
          </w:tcPr>
          <w:p>
            <w:pPr>
              <w:pStyle w:val="TableParagraph"/>
              <w:spacing w:before="4"/>
              <w:rPr>
                <w:rFonts w:ascii="Calibri Light"/>
                <w:b w:val="0"/>
                <w:sz w:val="32"/>
              </w:rPr>
            </w:pPr>
          </w:p>
          <w:p>
            <w:pPr>
              <w:pStyle w:val="TableParagraph"/>
              <w:spacing w:line="283" w:lineRule="exact"/>
              <w:ind w:left="1811"/>
              <w:rPr>
                <w:sz w:val="24"/>
              </w:rPr>
            </w:pPr>
            <w:r>
              <w:rPr>
                <w:sz w:val="24"/>
              </w:rPr>
              <w:t>Recursos financeiros em caixa</w:t>
            </w:r>
          </w:p>
        </w:tc>
        <w:tc>
          <w:tcPr>
            <w:tcW w:w="1702" w:type="dxa"/>
            <w:vMerge w:val="restart"/>
          </w:tcPr>
          <w:p>
            <w:pPr>
              <w:pStyle w:val="TableParagraph"/>
              <w:rPr>
                <w:rFonts w:ascii="Calibri Light"/>
                <w:b w:val="0"/>
                <w:sz w:val="24"/>
              </w:rPr>
            </w:pPr>
          </w:p>
          <w:p>
            <w:pPr>
              <w:pStyle w:val="TableParagraph"/>
              <w:spacing w:before="186"/>
              <w:ind w:left="577"/>
              <w:rPr>
                <w:sz w:val="24"/>
              </w:rPr>
            </w:pPr>
            <w:r>
              <w:rPr>
                <w:sz w:val="24"/>
              </w:rPr>
              <w:t>Anual</w:t>
            </w:r>
          </w:p>
        </w:tc>
        <w:tc>
          <w:tcPr>
            <w:tcW w:w="1980" w:type="dxa"/>
            <w:vMerge w:val="restart"/>
            <w:tcBorders>
              <w:right w:val="single" w:sz="8" w:space="0" w:color="000000"/>
            </w:tcBorders>
          </w:tcPr>
          <w:p>
            <w:pPr>
              <w:pStyle w:val="TableParagraph"/>
              <w:rPr>
                <w:rFonts w:ascii="Calibri Light"/>
                <w:b w:val="0"/>
                <w:sz w:val="24"/>
              </w:rPr>
            </w:pPr>
          </w:p>
          <w:p>
            <w:pPr>
              <w:pStyle w:val="TableParagraph"/>
              <w:spacing w:before="186"/>
              <w:ind w:left="632"/>
              <w:rPr>
                <w:sz w:val="24"/>
              </w:rPr>
            </w:pPr>
            <w:r>
              <w:rPr>
                <w:sz w:val="24"/>
              </w:rPr>
              <w:t>GERFIN</w:t>
            </w:r>
          </w:p>
        </w:tc>
      </w:tr>
      <w:tr>
        <w:trPr>
          <w:trHeight w:val="566" w:hRule="atLeast"/>
        </w:trPr>
        <w:tc>
          <w:tcPr>
            <w:tcW w:w="5387" w:type="dxa"/>
            <w:vMerge/>
            <w:tcBorders>
              <w:top w:val="nil"/>
              <w:left w:val="single" w:sz="8" w:space="0" w:color="000000"/>
            </w:tcBorders>
          </w:tcPr>
          <w:p>
            <w:pPr>
              <w:rPr>
                <w:sz w:val="2"/>
                <w:szCs w:val="2"/>
              </w:rPr>
            </w:pPr>
          </w:p>
        </w:tc>
        <w:tc>
          <w:tcPr>
            <w:tcW w:w="6527" w:type="dxa"/>
            <w:gridSpan w:val="2"/>
          </w:tcPr>
          <w:p>
            <w:pPr>
              <w:pStyle w:val="TableParagraph"/>
              <w:spacing w:line="283" w:lineRule="exact"/>
              <w:ind w:left="2368" w:right="2347"/>
              <w:jc w:val="center"/>
              <w:rPr>
                <w:sz w:val="24"/>
              </w:rPr>
            </w:pPr>
            <w:r>
              <w:rPr>
                <w:sz w:val="24"/>
              </w:rPr>
              <w:t>Passivo Circulante</w:t>
            </w:r>
          </w:p>
        </w:tc>
        <w:tc>
          <w:tcPr>
            <w:tcW w:w="1702" w:type="dxa"/>
            <w:vMerge/>
            <w:tcBorders>
              <w:top w:val="nil"/>
            </w:tcBorders>
          </w:tcPr>
          <w:p>
            <w:pPr>
              <w:rPr>
                <w:sz w:val="2"/>
                <w:szCs w:val="2"/>
              </w:rPr>
            </w:pPr>
          </w:p>
        </w:tc>
        <w:tc>
          <w:tcPr>
            <w:tcW w:w="1980" w:type="dxa"/>
            <w:vMerge/>
            <w:tcBorders>
              <w:top w:val="nil"/>
              <w:right w:val="single" w:sz="8" w:space="0" w:color="000000"/>
            </w:tcBorders>
          </w:tcPr>
          <w:p>
            <w:pPr>
              <w:rPr>
                <w:sz w:val="2"/>
                <w:szCs w:val="2"/>
              </w:rPr>
            </w:pPr>
          </w:p>
        </w:tc>
      </w:tr>
      <w:tr>
        <w:trPr>
          <w:trHeight w:val="1118" w:hRule="atLeast"/>
        </w:trPr>
        <w:tc>
          <w:tcPr>
            <w:tcW w:w="5387" w:type="dxa"/>
            <w:tcBorders>
              <w:left w:val="single" w:sz="8" w:space="0" w:color="000000"/>
            </w:tcBorders>
          </w:tcPr>
          <w:p>
            <w:pPr>
              <w:pStyle w:val="TableParagraph"/>
              <w:rPr>
                <w:rFonts w:ascii="Calibri Light"/>
                <w:b w:val="0"/>
                <w:sz w:val="21"/>
              </w:rPr>
            </w:pPr>
          </w:p>
          <w:p>
            <w:pPr>
              <w:pStyle w:val="TableParagraph"/>
              <w:ind w:left="69" w:right="184"/>
              <w:rPr>
                <w:sz w:val="24"/>
              </w:rPr>
            </w:pPr>
            <w:r>
              <w:rPr>
                <w:sz w:val="24"/>
              </w:rPr>
              <w:t>Índice de modificações no Orçamento Aprovado dos Centros de Custos (%)</w:t>
            </w:r>
          </w:p>
        </w:tc>
        <w:tc>
          <w:tcPr>
            <w:tcW w:w="5350" w:type="dxa"/>
            <w:tcBorders>
              <w:right w:val="nil"/>
            </w:tcBorders>
          </w:tcPr>
          <w:p>
            <w:pPr>
              <w:pStyle w:val="TableParagraph"/>
              <w:spacing w:before="2"/>
              <w:rPr>
                <w:rFonts w:ascii="Calibri Light"/>
                <w:b w:val="0"/>
                <w:sz w:val="20"/>
              </w:rPr>
            </w:pPr>
          </w:p>
          <w:p>
            <w:pPr>
              <w:pStyle w:val="TableParagraph"/>
              <w:tabs>
                <w:tab w:pos="817" w:val="left" w:leader="none"/>
                <w:tab w:pos="5534" w:val="left" w:leader="none"/>
              </w:tabs>
              <w:spacing w:line="247" w:lineRule="auto"/>
              <w:ind w:left="652" w:right="-202" w:hanging="644"/>
              <w:rPr>
                <w:sz w:val="24"/>
              </w:rPr>
            </w:pPr>
            <w:r>
              <w:rPr>
                <w:sz w:val="24"/>
                <w:u w:val="single"/>
              </w:rPr>
              <w:t> </w:t>
              <w:tab/>
              <w:tab/>
              <w:t>Quantidade de</w:t>
            </w:r>
            <w:r>
              <w:rPr>
                <w:spacing w:val="-12"/>
                <w:sz w:val="24"/>
                <w:u w:val="single"/>
              </w:rPr>
              <w:t> </w:t>
            </w:r>
            <w:r>
              <w:rPr>
                <w:sz w:val="24"/>
                <w:u w:val="single"/>
              </w:rPr>
              <w:t>Transposições</w:t>
            </w:r>
            <w:r>
              <w:rPr>
                <w:spacing w:val="-6"/>
                <w:sz w:val="24"/>
                <w:u w:val="single"/>
              </w:rPr>
              <w:t> </w:t>
            </w:r>
            <w:r>
              <w:rPr>
                <w:sz w:val="24"/>
                <w:u w:val="single"/>
              </w:rPr>
              <w:t>Efetuadas</w:t>
              <w:tab/>
            </w:r>
            <w:r>
              <w:rPr>
                <w:sz w:val="24"/>
              </w:rPr>
              <w:t> Quantidade de Nota de Empenho</w:t>
            </w:r>
            <w:r>
              <w:rPr>
                <w:spacing w:val="-11"/>
                <w:sz w:val="24"/>
              </w:rPr>
              <w:t> </w:t>
            </w:r>
            <w:r>
              <w:rPr>
                <w:sz w:val="24"/>
              </w:rPr>
              <w:t>Efetuadas</w:t>
            </w:r>
          </w:p>
        </w:tc>
        <w:tc>
          <w:tcPr>
            <w:tcW w:w="1177" w:type="dxa"/>
            <w:tcBorders>
              <w:left w:val="nil"/>
            </w:tcBorders>
          </w:tcPr>
          <w:p>
            <w:pPr>
              <w:pStyle w:val="TableParagraph"/>
              <w:spacing w:before="12"/>
              <w:rPr>
                <w:rFonts w:ascii="Calibri Light"/>
                <w:b w:val="0"/>
                <w:sz w:val="32"/>
              </w:rPr>
            </w:pPr>
          </w:p>
          <w:p>
            <w:pPr>
              <w:pStyle w:val="TableParagraph"/>
              <w:ind w:right="223"/>
              <w:jc w:val="right"/>
              <w:rPr>
                <w:sz w:val="24"/>
              </w:rPr>
            </w:pPr>
            <w:r>
              <w:rPr>
                <w:sz w:val="24"/>
              </w:rPr>
              <w:t>x 100</w:t>
            </w:r>
          </w:p>
        </w:tc>
        <w:tc>
          <w:tcPr>
            <w:tcW w:w="1702" w:type="dxa"/>
          </w:tcPr>
          <w:p>
            <w:pPr>
              <w:pStyle w:val="TableParagraph"/>
              <w:spacing w:before="12"/>
              <w:rPr>
                <w:rFonts w:ascii="Calibri Light"/>
                <w:b w:val="0"/>
                <w:sz w:val="32"/>
              </w:rPr>
            </w:pPr>
          </w:p>
          <w:p>
            <w:pPr>
              <w:pStyle w:val="TableParagraph"/>
              <w:ind w:left="142" w:right="131"/>
              <w:jc w:val="center"/>
              <w:rPr>
                <w:sz w:val="24"/>
              </w:rPr>
            </w:pPr>
            <w:r>
              <w:rPr>
                <w:sz w:val="24"/>
              </w:rPr>
              <w:t>Anual</w:t>
            </w:r>
          </w:p>
        </w:tc>
        <w:tc>
          <w:tcPr>
            <w:tcW w:w="1980" w:type="dxa"/>
            <w:tcBorders>
              <w:right w:val="single" w:sz="8" w:space="0" w:color="000000"/>
            </w:tcBorders>
          </w:tcPr>
          <w:p>
            <w:pPr>
              <w:pStyle w:val="TableParagraph"/>
              <w:spacing w:before="12"/>
              <w:rPr>
                <w:rFonts w:ascii="Calibri Light"/>
                <w:b w:val="0"/>
                <w:sz w:val="32"/>
              </w:rPr>
            </w:pPr>
          </w:p>
          <w:p>
            <w:pPr>
              <w:pStyle w:val="TableParagraph"/>
              <w:ind w:left="610" w:right="590"/>
              <w:jc w:val="center"/>
              <w:rPr>
                <w:sz w:val="24"/>
              </w:rPr>
            </w:pPr>
            <w:r>
              <w:rPr>
                <w:sz w:val="24"/>
              </w:rPr>
              <w:t>GERFIN</w:t>
            </w:r>
          </w:p>
        </w:tc>
      </w:tr>
    </w:tbl>
    <w:p>
      <w:pPr>
        <w:spacing w:after="0"/>
        <w:jc w:val="center"/>
        <w:rPr>
          <w:sz w:val="24"/>
        </w:rPr>
        <w:sectPr>
          <w:pgSz w:w="16840" w:h="11910" w:orient="landscape"/>
          <w:pgMar w:header="590" w:footer="618" w:top="198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6438"/>
        <w:gridCol w:w="1786"/>
        <w:gridCol w:w="1985"/>
      </w:tblGrid>
      <w:tr>
        <w:trPr>
          <w:trHeight w:val="1588" w:hRule="atLeast"/>
        </w:trPr>
        <w:tc>
          <w:tcPr>
            <w:tcW w:w="5387" w:type="dxa"/>
            <w:tcBorders>
              <w:left w:val="single" w:sz="8"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69"/>
              <w:rPr>
                <w:b/>
                <w:sz w:val="24"/>
              </w:rPr>
            </w:pPr>
            <w:r>
              <w:rPr>
                <w:b/>
                <w:color w:val="FFFFFF"/>
                <w:sz w:val="24"/>
              </w:rPr>
              <w:t>Aprimorar e inovar os processos e as ações</w:t>
            </w:r>
          </w:p>
        </w:tc>
        <w:tc>
          <w:tcPr>
            <w:tcW w:w="6438" w:type="dxa"/>
            <w:tcBorders>
              <w:top w:val="nil"/>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083" w:right="1063"/>
              <w:jc w:val="center"/>
              <w:rPr>
                <w:b/>
                <w:sz w:val="24"/>
              </w:rPr>
            </w:pPr>
            <w:r>
              <w:rPr>
                <w:b/>
                <w:color w:val="FFFFFF"/>
                <w:sz w:val="24"/>
              </w:rPr>
              <w:t>Fórmula</w:t>
            </w:r>
          </w:p>
        </w:tc>
        <w:tc>
          <w:tcPr>
            <w:tcW w:w="1786" w:type="dxa"/>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91" w:right="175"/>
              <w:jc w:val="center"/>
              <w:rPr>
                <w:b/>
                <w:sz w:val="24"/>
              </w:rPr>
            </w:pPr>
            <w:r>
              <w:rPr>
                <w:b/>
                <w:color w:val="FFFFFF"/>
                <w:sz w:val="24"/>
              </w:rPr>
              <w:t>Periodicidade</w:t>
            </w:r>
          </w:p>
        </w:tc>
        <w:tc>
          <w:tcPr>
            <w:tcW w:w="1985" w:type="dxa"/>
            <w:tcBorders>
              <w:right w:val="single" w:sz="8"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25" w:right="104"/>
              <w:jc w:val="center"/>
              <w:rPr>
                <w:b/>
                <w:sz w:val="24"/>
              </w:rPr>
            </w:pPr>
            <w:r>
              <w:rPr>
                <w:b/>
                <w:color w:val="FFFFFF"/>
                <w:sz w:val="24"/>
              </w:rPr>
              <w:t>ÁREA</w:t>
            </w:r>
          </w:p>
        </w:tc>
      </w:tr>
      <w:tr>
        <w:trPr>
          <w:trHeight w:val="1029" w:hRule="atLeast"/>
        </w:trPr>
        <w:tc>
          <w:tcPr>
            <w:tcW w:w="5387" w:type="dxa"/>
            <w:tcBorders>
              <w:left w:val="single" w:sz="8" w:space="0" w:color="000000"/>
            </w:tcBorders>
          </w:tcPr>
          <w:p>
            <w:pPr>
              <w:pStyle w:val="TableParagraph"/>
              <w:spacing w:before="2"/>
              <w:rPr>
                <w:rFonts w:ascii="Calibri Light"/>
                <w:b w:val="0"/>
                <w:sz w:val="18"/>
              </w:rPr>
            </w:pPr>
          </w:p>
          <w:p>
            <w:pPr>
              <w:pStyle w:val="TableParagraph"/>
              <w:ind w:left="69"/>
              <w:rPr>
                <w:sz w:val="24"/>
              </w:rPr>
            </w:pPr>
            <w:r>
              <w:rPr>
                <w:sz w:val="24"/>
              </w:rPr>
              <w:t>Índice de mapeamento processos (%)</w:t>
            </w:r>
          </w:p>
          <w:p>
            <w:pPr>
              <w:pStyle w:val="TableParagraph"/>
              <w:ind w:left="69"/>
              <w:rPr>
                <w:b/>
                <w:sz w:val="24"/>
              </w:rPr>
            </w:pPr>
            <w:r>
              <w:rPr>
                <w:b/>
                <w:sz w:val="24"/>
              </w:rPr>
              <w:t>(CAU/BR)</w:t>
            </w:r>
          </w:p>
        </w:tc>
        <w:tc>
          <w:tcPr>
            <w:tcW w:w="6438" w:type="dxa"/>
          </w:tcPr>
          <w:p>
            <w:pPr>
              <w:pStyle w:val="TableParagraph"/>
              <w:spacing w:before="11"/>
              <w:rPr>
                <w:rFonts w:ascii="Calibri Light"/>
                <w:b w:val="0"/>
                <w:sz w:val="21"/>
              </w:rPr>
            </w:pPr>
          </w:p>
          <w:p>
            <w:pPr>
              <w:pStyle w:val="TableParagraph"/>
              <w:tabs>
                <w:tab w:pos="1259" w:val="left" w:leader="none"/>
                <w:tab w:pos="5676" w:val="left" w:leader="none"/>
              </w:tabs>
              <w:spacing w:line="170" w:lineRule="auto"/>
              <w:ind w:left="1427" w:right="105" w:hanging="1419"/>
              <w:rPr>
                <w:sz w:val="24"/>
              </w:rPr>
            </w:pPr>
            <w:r>
              <w:rPr>
                <w:sz w:val="24"/>
                <w:u w:val="single"/>
              </w:rPr>
              <w:t> </w:t>
              <w:tab/>
              <w:t>número de</w:t>
            </w:r>
            <w:r>
              <w:rPr>
                <w:spacing w:val="-5"/>
                <w:sz w:val="24"/>
                <w:u w:val="single"/>
              </w:rPr>
              <w:t> </w:t>
            </w:r>
            <w:r>
              <w:rPr>
                <w:sz w:val="24"/>
                <w:u w:val="single"/>
              </w:rPr>
              <w:t>processos</w:t>
            </w:r>
            <w:r>
              <w:rPr>
                <w:spacing w:val="-1"/>
                <w:sz w:val="24"/>
                <w:u w:val="single"/>
              </w:rPr>
              <w:t> </w:t>
            </w:r>
            <w:r>
              <w:rPr>
                <w:sz w:val="24"/>
                <w:u w:val="single"/>
              </w:rPr>
              <w:t>mapeados</w:t>
              <w:tab/>
            </w:r>
            <w:r>
              <w:rPr>
                <w:position w:val="-12"/>
                <w:sz w:val="24"/>
              </w:rPr>
              <w:t>x </w:t>
            </w:r>
            <w:r>
              <w:rPr>
                <w:spacing w:val="-6"/>
                <w:position w:val="-12"/>
                <w:sz w:val="24"/>
              </w:rPr>
              <w:t>100 </w:t>
            </w:r>
            <w:r>
              <w:rPr>
                <w:sz w:val="24"/>
              </w:rPr>
              <w:t>total de processos</w:t>
            </w:r>
            <w:r>
              <w:rPr>
                <w:spacing w:val="-5"/>
                <w:sz w:val="24"/>
              </w:rPr>
              <w:t> </w:t>
            </w:r>
            <w:r>
              <w:rPr>
                <w:sz w:val="24"/>
              </w:rPr>
              <w:t>existentes</w:t>
            </w:r>
          </w:p>
        </w:tc>
        <w:tc>
          <w:tcPr>
            <w:tcW w:w="1786" w:type="dxa"/>
          </w:tcPr>
          <w:p>
            <w:pPr>
              <w:pStyle w:val="TableParagraph"/>
              <w:spacing w:before="2"/>
              <w:rPr>
                <w:rFonts w:ascii="Calibri Light"/>
                <w:b w:val="0"/>
                <w:sz w:val="30"/>
              </w:rPr>
            </w:pPr>
          </w:p>
          <w:p>
            <w:pPr>
              <w:pStyle w:val="TableParagraph"/>
              <w:ind w:left="193" w:right="174"/>
              <w:jc w:val="center"/>
              <w:rPr>
                <w:sz w:val="24"/>
              </w:rPr>
            </w:pPr>
            <w:r>
              <w:rPr>
                <w:sz w:val="24"/>
              </w:rPr>
              <w:t>Anual</w:t>
            </w:r>
          </w:p>
        </w:tc>
        <w:tc>
          <w:tcPr>
            <w:tcW w:w="1985" w:type="dxa"/>
            <w:tcBorders>
              <w:right w:val="single" w:sz="8" w:space="0" w:color="000000"/>
            </w:tcBorders>
          </w:tcPr>
          <w:p>
            <w:pPr>
              <w:pStyle w:val="TableParagraph"/>
              <w:spacing w:before="2"/>
              <w:rPr>
                <w:rFonts w:ascii="Calibri Light"/>
                <w:b w:val="0"/>
                <w:sz w:val="30"/>
              </w:rPr>
            </w:pPr>
          </w:p>
          <w:p>
            <w:pPr>
              <w:pStyle w:val="TableParagraph"/>
              <w:ind w:left="126" w:right="104"/>
              <w:jc w:val="center"/>
              <w:rPr>
                <w:sz w:val="24"/>
              </w:rPr>
            </w:pPr>
            <w:r>
              <w:rPr>
                <w:sz w:val="24"/>
              </w:rPr>
              <w:t>GEREX</w:t>
            </w:r>
          </w:p>
        </w:tc>
      </w:tr>
      <w:tr>
        <w:trPr>
          <w:trHeight w:val="931" w:hRule="atLeast"/>
        </w:trPr>
        <w:tc>
          <w:tcPr>
            <w:tcW w:w="5387" w:type="dxa"/>
            <w:tcBorders>
              <w:left w:val="single" w:sz="8" w:space="0" w:color="000000"/>
            </w:tcBorders>
          </w:tcPr>
          <w:p>
            <w:pPr>
              <w:pStyle w:val="TableParagraph"/>
              <w:spacing w:before="172"/>
              <w:ind w:left="69"/>
              <w:rPr>
                <w:sz w:val="24"/>
              </w:rPr>
            </w:pPr>
            <w:r>
              <w:rPr>
                <w:sz w:val="24"/>
              </w:rPr>
              <w:t>Índice de normatização de processos (%)</w:t>
            </w:r>
          </w:p>
          <w:p>
            <w:pPr>
              <w:pStyle w:val="TableParagraph"/>
              <w:ind w:left="69"/>
              <w:rPr>
                <w:b/>
                <w:sz w:val="24"/>
              </w:rPr>
            </w:pPr>
            <w:r>
              <w:rPr>
                <w:b/>
                <w:sz w:val="24"/>
              </w:rPr>
              <w:t>(CAU/BR)</w:t>
            </w:r>
          </w:p>
        </w:tc>
        <w:tc>
          <w:tcPr>
            <w:tcW w:w="6438" w:type="dxa"/>
          </w:tcPr>
          <w:p>
            <w:pPr>
              <w:pStyle w:val="TableParagraph"/>
              <w:spacing w:before="5"/>
              <w:rPr>
                <w:rFonts w:ascii="Calibri Light"/>
                <w:b w:val="0"/>
                <w:sz w:val="18"/>
              </w:rPr>
            </w:pPr>
          </w:p>
          <w:p>
            <w:pPr>
              <w:pStyle w:val="TableParagraph"/>
              <w:tabs>
                <w:tab w:pos="1098" w:val="left" w:leader="none"/>
                <w:tab w:pos="5676" w:val="left" w:leader="none"/>
              </w:tabs>
              <w:spacing w:line="175" w:lineRule="auto"/>
              <w:ind w:left="1427" w:right="105" w:hanging="1419"/>
              <w:rPr>
                <w:sz w:val="24"/>
              </w:rPr>
            </w:pPr>
            <w:r>
              <w:rPr>
                <w:sz w:val="24"/>
                <w:u w:val="single"/>
              </w:rPr>
              <w:t> </w:t>
              <w:tab/>
              <w:t>número de</w:t>
            </w:r>
            <w:r>
              <w:rPr>
                <w:spacing w:val="-5"/>
                <w:sz w:val="24"/>
                <w:u w:val="single"/>
              </w:rPr>
              <w:t> </w:t>
            </w:r>
            <w:r>
              <w:rPr>
                <w:sz w:val="24"/>
                <w:u w:val="single"/>
              </w:rPr>
              <w:t>processos</w:t>
            </w:r>
            <w:r>
              <w:rPr>
                <w:spacing w:val="-3"/>
                <w:sz w:val="24"/>
                <w:u w:val="single"/>
              </w:rPr>
              <w:t> </w:t>
            </w:r>
            <w:r>
              <w:rPr>
                <w:sz w:val="24"/>
                <w:u w:val="single"/>
              </w:rPr>
              <w:t>normatizados</w:t>
              <w:tab/>
            </w:r>
            <w:r>
              <w:rPr>
                <w:position w:val="-11"/>
                <w:sz w:val="24"/>
              </w:rPr>
              <w:t>x </w:t>
            </w:r>
            <w:r>
              <w:rPr>
                <w:spacing w:val="-6"/>
                <w:position w:val="-11"/>
                <w:sz w:val="24"/>
              </w:rPr>
              <w:t>100 </w:t>
            </w:r>
            <w:r>
              <w:rPr>
                <w:sz w:val="24"/>
              </w:rPr>
              <w:t>total de processos</w:t>
            </w:r>
            <w:r>
              <w:rPr>
                <w:spacing w:val="-5"/>
                <w:sz w:val="24"/>
              </w:rPr>
              <w:t> </w:t>
            </w:r>
            <w:r>
              <w:rPr>
                <w:sz w:val="24"/>
              </w:rPr>
              <w:t>existentes</w:t>
            </w:r>
          </w:p>
        </w:tc>
        <w:tc>
          <w:tcPr>
            <w:tcW w:w="1786" w:type="dxa"/>
          </w:tcPr>
          <w:p>
            <w:pPr>
              <w:pStyle w:val="TableParagraph"/>
              <w:spacing w:before="1"/>
              <w:rPr>
                <w:rFonts w:ascii="Calibri Light"/>
                <w:b w:val="0"/>
                <w:sz w:val="26"/>
              </w:rPr>
            </w:pPr>
          </w:p>
          <w:p>
            <w:pPr>
              <w:pStyle w:val="TableParagraph"/>
              <w:ind w:left="193" w:right="174"/>
              <w:jc w:val="center"/>
              <w:rPr>
                <w:sz w:val="24"/>
              </w:rPr>
            </w:pPr>
            <w:r>
              <w:rPr>
                <w:sz w:val="24"/>
              </w:rPr>
              <w:t>Anual</w:t>
            </w:r>
          </w:p>
        </w:tc>
        <w:tc>
          <w:tcPr>
            <w:tcW w:w="1985" w:type="dxa"/>
            <w:tcBorders>
              <w:right w:val="single" w:sz="8" w:space="0" w:color="000000"/>
            </w:tcBorders>
          </w:tcPr>
          <w:p>
            <w:pPr>
              <w:pStyle w:val="TableParagraph"/>
              <w:spacing w:before="1"/>
              <w:rPr>
                <w:rFonts w:ascii="Calibri Light"/>
                <w:b w:val="0"/>
                <w:sz w:val="26"/>
              </w:rPr>
            </w:pPr>
          </w:p>
          <w:p>
            <w:pPr>
              <w:pStyle w:val="TableParagraph"/>
              <w:ind w:left="126" w:right="104"/>
              <w:jc w:val="center"/>
              <w:rPr>
                <w:sz w:val="24"/>
              </w:rPr>
            </w:pPr>
            <w:r>
              <w:rPr>
                <w:sz w:val="24"/>
              </w:rPr>
              <w:t>GEREX</w:t>
            </w:r>
          </w:p>
        </w:tc>
      </w:tr>
      <w:tr>
        <w:trPr>
          <w:trHeight w:val="1031" w:hRule="atLeast"/>
        </w:trPr>
        <w:tc>
          <w:tcPr>
            <w:tcW w:w="5387" w:type="dxa"/>
            <w:tcBorders>
              <w:left w:val="single" w:sz="8" w:space="0" w:color="000000"/>
            </w:tcBorders>
          </w:tcPr>
          <w:p>
            <w:pPr>
              <w:pStyle w:val="TableParagraph"/>
              <w:spacing w:before="2"/>
              <w:rPr>
                <w:rFonts w:ascii="Calibri Light"/>
                <w:b w:val="0"/>
                <w:sz w:val="18"/>
              </w:rPr>
            </w:pPr>
          </w:p>
          <w:p>
            <w:pPr>
              <w:pStyle w:val="TableParagraph"/>
              <w:ind w:left="69"/>
              <w:rPr>
                <w:sz w:val="24"/>
              </w:rPr>
            </w:pPr>
            <w:r>
              <w:rPr>
                <w:sz w:val="24"/>
              </w:rPr>
              <w:t>Índice de automação de processos (%)</w:t>
            </w:r>
          </w:p>
          <w:p>
            <w:pPr>
              <w:pStyle w:val="TableParagraph"/>
              <w:ind w:left="69"/>
              <w:rPr>
                <w:b/>
                <w:sz w:val="24"/>
              </w:rPr>
            </w:pPr>
            <w:r>
              <w:rPr>
                <w:b/>
                <w:sz w:val="24"/>
              </w:rPr>
              <w:t>(CAU/BR)</w:t>
            </w:r>
          </w:p>
        </w:tc>
        <w:tc>
          <w:tcPr>
            <w:tcW w:w="6438" w:type="dxa"/>
          </w:tcPr>
          <w:p>
            <w:pPr>
              <w:pStyle w:val="TableParagraph"/>
              <w:spacing w:before="11"/>
              <w:rPr>
                <w:rFonts w:ascii="Calibri Light"/>
                <w:b w:val="0"/>
                <w:sz w:val="21"/>
              </w:rPr>
            </w:pPr>
          </w:p>
          <w:p>
            <w:pPr>
              <w:pStyle w:val="TableParagraph"/>
              <w:tabs>
                <w:tab w:pos="1043" w:val="left" w:leader="none"/>
                <w:tab w:pos="5676" w:val="left" w:leader="none"/>
              </w:tabs>
              <w:spacing w:line="170" w:lineRule="auto"/>
              <w:ind w:left="1427" w:right="105" w:hanging="1419"/>
              <w:rPr>
                <w:sz w:val="24"/>
              </w:rPr>
            </w:pPr>
            <w:r>
              <w:rPr>
                <w:sz w:val="24"/>
                <w:u w:val="single"/>
              </w:rPr>
              <w:t> </w:t>
              <w:tab/>
              <w:t>número de</w:t>
            </w:r>
            <w:r>
              <w:rPr>
                <w:spacing w:val="-6"/>
                <w:sz w:val="24"/>
                <w:u w:val="single"/>
              </w:rPr>
              <w:t> </w:t>
            </w:r>
            <w:r>
              <w:rPr>
                <w:sz w:val="24"/>
                <w:u w:val="single"/>
              </w:rPr>
              <w:t>processos</w:t>
            </w:r>
            <w:r>
              <w:rPr>
                <w:spacing w:val="-2"/>
                <w:sz w:val="24"/>
                <w:u w:val="single"/>
              </w:rPr>
              <w:t> </w:t>
            </w:r>
            <w:r>
              <w:rPr>
                <w:sz w:val="24"/>
                <w:u w:val="single"/>
              </w:rPr>
              <w:t>automatizados</w:t>
              <w:tab/>
            </w:r>
            <w:r>
              <w:rPr>
                <w:position w:val="-12"/>
                <w:sz w:val="24"/>
              </w:rPr>
              <w:t>x </w:t>
            </w:r>
            <w:r>
              <w:rPr>
                <w:spacing w:val="-6"/>
                <w:position w:val="-12"/>
                <w:sz w:val="24"/>
              </w:rPr>
              <w:t>100 </w:t>
            </w:r>
            <w:r>
              <w:rPr>
                <w:sz w:val="24"/>
              </w:rPr>
              <w:t>total de processos</w:t>
            </w:r>
            <w:r>
              <w:rPr>
                <w:spacing w:val="-5"/>
                <w:sz w:val="24"/>
              </w:rPr>
              <w:t> </w:t>
            </w:r>
            <w:r>
              <w:rPr>
                <w:sz w:val="24"/>
              </w:rPr>
              <w:t>existentes</w:t>
            </w:r>
          </w:p>
        </w:tc>
        <w:tc>
          <w:tcPr>
            <w:tcW w:w="1786" w:type="dxa"/>
          </w:tcPr>
          <w:p>
            <w:pPr>
              <w:pStyle w:val="TableParagraph"/>
              <w:spacing w:before="2"/>
              <w:rPr>
                <w:rFonts w:ascii="Calibri Light"/>
                <w:b w:val="0"/>
                <w:sz w:val="30"/>
              </w:rPr>
            </w:pPr>
          </w:p>
          <w:p>
            <w:pPr>
              <w:pStyle w:val="TableParagraph"/>
              <w:ind w:left="193" w:right="174"/>
              <w:jc w:val="center"/>
              <w:rPr>
                <w:sz w:val="24"/>
              </w:rPr>
            </w:pPr>
            <w:r>
              <w:rPr>
                <w:sz w:val="24"/>
              </w:rPr>
              <w:t>Anual</w:t>
            </w:r>
          </w:p>
        </w:tc>
        <w:tc>
          <w:tcPr>
            <w:tcW w:w="1985" w:type="dxa"/>
            <w:tcBorders>
              <w:right w:val="single" w:sz="8" w:space="0" w:color="000000"/>
            </w:tcBorders>
          </w:tcPr>
          <w:p>
            <w:pPr>
              <w:pStyle w:val="TableParagraph"/>
              <w:spacing w:before="2"/>
              <w:rPr>
                <w:rFonts w:ascii="Calibri Light"/>
                <w:b w:val="0"/>
                <w:sz w:val="30"/>
              </w:rPr>
            </w:pPr>
          </w:p>
          <w:p>
            <w:pPr>
              <w:pStyle w:val="TableParagraph"/>
              <w:ind w:left="126" w:right="104"/>
              <w:jc w:val="center"/>
              <w:rPr>
                <w:sz w:val="24"/>
              </w:rPr>
            </w:pPr>
            <w:r>
              <w:rPr>
                <w:sz w:val="24"/>
              </w:rPr>
              <w:t>GEREX</w:t>
            </w:r>
          </w:p>
        </w:tc>
      </w:tr>
      <w:tr>
        <w:trPr>
          <w:trHeight w:val="1324" w:hRule="atLeast"/>
        </w:trPr>
        <w:tc>
          <w:tcPr>
            <w:tcW w:w="5387" w:type="dxa"/>
            <w:tcBorders>
              <w:left w:val="single" w:sz="8" w:space="0" w:color="000000"/>
            </w:tcBorders>
          </w:tcPr>
          <w:p>
            <w:pPr>
              <w:pStyle w:val="TableParagraph"/>
              <w:spacing w:before="2"/>
              <w:rPr>
                <w:rFonts w:ascii="Calibri Light"/>
                <w:b w:val="0"/>
                <w:sz w:val="18"/>
              </w:rPr>
            </w:pPr>
          </w:p>
          <w:p>
            <w:pPr>
              <w:pStyle w:val="TableParagraph"/>
              <w:ind w:left="69" w:right="237"/>
              <w:rPr>
                <w:sz w:val="24"/>
              </w:rPr>
            </w:pPr>
            <w:r>
              <w:rPr>
                <w:sz w:val="24"/>
              </w:rPr>
              <w:t>Índice de insucesso dos processos de aquisições (ou seja, Nº de processos anulados + cancelados + desertos + fracassados)</w:t>
            </w:r>
          </w:p>
        </w:tc>
        <w:tc>
          <w:tcPr>
            <w:tcW w:w="6438" w:type="dxa"/>
          </w:tcPr>
          <w:p>
            <w:pPr>
              <w:pStyle w:val="TableParagraph"/>
              <w:spacing w:before="179"/>
              <w:ind w:left="133"/>
              <w:rPr>
                <w:sz w:val="24"/>
              </w:rPr>
            </w:pPr>
            <w:r>
              <w:rPr>
                <w:sz w:val="24"/>
              </w:rPr>
              <w:t>número de processos anulados + cancelados + desertos</w:t>
            </w:r>
          </w:p>
          <w:p>
            <w:pPr>
              <w:pStyle w:val="TableParagraph"/>
              <w:tabs>
                <w:tab w:pos="2183" w:val="left" w:leader="none"/>
                <w:tab w:pos="5676" w:val="left" w:leader="none"/>
              </w:tabs>
              <w:spacing w:line="220" w:lineRule="auto" w:before="15"/>
              <w:ind w:left="1372" w:right="105" w:hanging="1364"/>
              <w:rPr>
                <w:sz w:val="24"/>
              </w:rPr>
            </w:pPr>
            <w:r>
              <w:rPr>
                <w:sz w:val="24"/>
                <w:u w:val="single"/>
              </w:rPr>
              <w:t> </w:t>
              <w:tab/>
              <w:tab/>
              <w:t>+ fracassados</w:t>
              <w:tab/>
            </w:r>
            <w:r>
              <w:rPr>
                <w:position w:val="-3"/>
                <w:sz w:val="24"/>
              </w:rPr>
              <w:t>x </w:t>
            </w:r>
            <w:r>
              <w:rPr>
                <w:spacing w:val="-6"/>
                <w:position w:val="-3"/>
                <w:sz w:val="24"/>
              </w:rPr>
              <w:t>100 </w:t>
            </w:r>
            <w:r>
              <w:rPr>
                <w:sz w:val="24"/>
              </w:rPr>
              <w:t>total de processos de</w:t>
            </w:r>
            <w:r>
              <w:rPr>
                <w:spacing w:val="-5"/>
                <w:sz w:val="24"/>
              </w:rPr>
              <w:t> </w:t>
            </w:r>
            <w:r>
              <w:rPr>
                <w:sz w:val="24"/>
              </w:rPr>
              <w:t>licitação</w:t>
            </w:r>
          </w:p>
        </w:tc>
        <w:tc>
          <w:tcPr>
            <w:tcW w:w="1786" w:type="dxa"/>
          </w:tcPr>
          <w:p>
            <w:pPr>
              <w:pStyle w:val="TableParagraph"/>
              <w:rPr>
                <w:rFonts w:ascii="Calibri Light"/>
                <w:b w:val="0"/>
                <w:sz w:val="24"/>
              </w:rPr>
            </w:pPr>
          </w:p>
          <w:p>
            <w:pPr>
              <w:pStyle w:val="TableParagraph"/>
              <w:spacing w:before="2"/>
              <w:rPr>
                <w:rFonts w:ascii="Calibri Light"/>
                <w:b w:val="0"/>
                <w:sz w:val="18"/>
              </w:rPr>
            </w:pPr>
          </w:p>
          <w:p>
            <w:pPr>
              <w:pStyle w:val="TableParagraph"/>
              <w:ind w:left="193" w:right="174"/>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spacing w:before="2"/>
              <w:rPr>
                <w:rFonts w:ascii="Calibri Light"/>
                <w:b w:val="0"/>
                <w:sz w:val="18"/>
              </w:rPr>
            </w:pPr>
          </w:p>
          <w:p>
            <w:pPr>
              <w:pStyle w:val="TableParagraph"/>
              <w:ind w:left="123" w:right="104"/>
              <w:jc w:val="center"/>
              <w:rPr>
                <w:sz w:val="24"/>
              </w:rPr>
            </w:pPr>
            <w:r>
              <w:rPr>
                <w:sz w:val="24"/>
              </w:rPr>
              <w:t>GERAD</w:t>
            </w:r>
          </w:p>
        </w:tc>
      </w:tr>
      <w:tr>
        <w:trPr>
          <w:trHeight w:val="990" w:hRule="atLeast"/>
        </w:trPr>
        <w:tc>
          <w:tcPr>
            <w:tcW w:w="5387" w:type="dxa"/>
            <w:tcBorders>
              <w:left w:val="single" w:sz="8" w:space="0" w:color="000000"/>
            </w:tcBorders>
          </w:tcPr>
          <w:p>
            <w:pPr>
              <w:pStyle w:val="TableParagraph"/>
              <w:spacing w:before="7"/>
              <w:rPr>
                <w:rFonts w:ascii="Calibri Light"/>
                <w:b w:val="0"/>
                <w:sz w:val="28"/>
              </w:rPr>
            </w:pPr>
          </w:p>
          <w:p>
            <w:pPr>
              <w:pStyle w:val="TableParagraph"/>
              <w:spacing w:before="1"/>
              <w:ind w:left="69"/>
              <w:rPr>
                <w:sz w:val="24"/>
              </w:rPr>
            </w:pPr>
            <w:r>
              <w:rPr>
                <w:sz w:val="24"/>
              </w:rPr>
              <w:t>Índice de economia alcançada nas licitações</w:t>
            </w:r>
          </w:p>
        </w:tc>
        <w:tc>
          <w:tcPr>
            <w:tcW w:w="6438" w:type="dxa"/>
          </w:tcPr>
          <w:p>
            <w:pPr>
              <w:pStyle w:val="TableParagraph"/>
              <w:spacing w:before="7"/>
              <w:rPr>
                <w:rFonts w:ascii="Calibri Light"/>
                <w:b w:val="0"/>
                <w:sz w:val="25"/>
              </w:rPr>
            </w:pPr>
          </w:p>
          <w:p>
            <w:pPr>
              <w:pStyle w:val="TableParagraph"/>
              <w:tabs>
                <w:tab w:pos="2198" w:val="left" w:leader="none"/>
                <w:tab w:pos="5676" w:val="left" w:leader="none"/>
              </w:tabs>
              <w:spacing w:line="187" w:lineRule="auto"/>
              <w:ind w:left="8"/>
              <w:rPr>
                <w:sz w:val="24"/>
              </w:rPr>
            </w:pPr>
            <w:r>
              <w:rPr>
                <w:sz w:val="24"/>
                <w:u w:val="single"/>
              </w:rPr>
              <w:t> </w:t>
              <w:tab/>
              <w:t>Valor licitado</w:t>
              <w:tab/>
            </w:r>
            <w:r>
              <w:rPr>
                <w:position w:val="-6"/>
                <w:sz w:val="24"/>
              </w:rPr>
              <w:t>x</w:t>
            </w:r>
            <w:r>
              <w:rPr>
                <w:spacing w:val="-1"/>
                <w:position w:val="-6"/>
                <w:sz w:val="24"/>
              </w:rPr>
              <w:t> </w:t>
            </w:r>
            <w:r>
              <w:rPr>
                <w:position w:val="-6"/>
                <w:sz w:val="24"/>
              </w:rPr>
              <w:t>100</w:t>
            </w:r>
          </w:p>
          <w:p>
            <w:pPr>
              <w:pStyle w:val="TableParagraph"/>
              <w:spacing w:line="264" w:lineRule="exact"/>
              <w:ind w:left="2008"/>
              <w:rPr>
                <w:sz w:val="24"/>
              </w:rPr>
            </w:pPr>
            <w:r>
              <w:rPr>
                <w:sz w:val="24"/>
              </w:rPr>
              <w:t>Valor de previsto</w:t>
            </w:r>
          </w:p>
        </w:tc>
        <w:tc>
          <w:tcPr>
            <w:tcW w:w="1786" w:type="dxa"/>
          </w:tcPr>
          <w:p>
            <w:pPr>
              <w:pStyle w:val="TableParagraph"/>
              <w:spacing w:before="7"/>
              <w:rPr>
                <w:rFonts w:ascii="Calibri Light"/>
                <w:b w:val="0"/>
                <w:sz w:val="28"/>
              </w:rPr>
            </w:pPr>
          </w:p>
          <w:p>
            <w:pPr>
              <w:pStyle w:val="TableParagraph"/>
              <w:spacing w:before="1"/>
              <w:ind w:left="193" w:right="174"/>
              <w:jc w:val="center"/>
              <w:rPr>
                <w:sz w:val="24"/>
              </w:rPr>
            </w:pPr>
            <w:r>
              <w:rPr>
                <w:sz w:val="24"/>
              </w:rPr>
              <w:t>Anual</w:t>
            </w:r>
          </w:p>
        </w:tc>
        <w:tc>
          <w:tcPr>
            <w:tcW w:w="1985" w:type="dxa"/>
            <w:tcBorders>
              <w:right w:val="single" w:sz="8" w:space="0" w:color="000000"/>
            </w:tcBorders>
          </w:tcPr>
          <w:p>
            <w:pPr>
              <w:pStyle w:val="TableParagraph"/>
              <w:spacing w:before="7"/>
              <w:rPr>
                <w:rFonts w:ascii="Calibri Light"/>
                <w:b w:val="0"/>
                <w:sz w:val="28"/>
              </w:rPr>
            </w:pPr>
          </w:p>
          <w:p>
            <w:pPr>
              <w:pStyle w:val="TableParagraph"/>
              <w:spacing w:before="1"/>
              <w:ind w:left="123" w:right="104"/>
              <w:jc w:val="center"/>
              <w:rPr>
                <w:sz w:val="24"/>
              </w:rPr>
            </w:pPr>
            <w:r>
              <w:rPr>
                <w:sz w:val="24"/>
              </w:rPr>
              <w:t>GERAD</w:t>
            </w:r>
          </w:p>
        </w:tc>
      </w:tr>
      <w:tr>
        <w:trPr>
          <w:trHeight w:val="1303" w:hRule="atLeast"/>
        </w:trPr>
        <w:tc>
          <w:tcPr>
            <w:tcW w:w="5387" w:type="dxa"/>
            <w:tcBorders>
              <w:left w:val="single" w:sz="8" w:space="0" w:color="000000"/>
            </w:tcBorders>
          </w:tcPr>
          <w:p>
            <w:pPr>
              <w:pStyle w:val="TableParagraph"/>
              <w:rPr>
                <w:rFonts w:ascii="Calibri Light"/>
                <w:b w:val="0"/>
                <w:sz w:val="24"/>
              </w:rPr>
            </w:pPr>
          </w:p>
          <w:p>
            <w:pPr>
              <w:pStyle w:val="TableParagraph"/>
              <w:spacing w:before="210"/>
              <w:ind w:left="69"/>
              <w:rPr>
                <w:sz w:val="24"/>
              </w:rPr>
            </w:pPr>
            <w:r>
              <w:rPr>
                <w:sz w:val="24"/>
              </w:rPr>
              <w:t>Índice de absenteísmo compulsório (doença)</w:t>
            </w:r>
          </w:p>
        </w:tc>
        <w:tc>
          <w:tcPr>
            <w:tcW w:w="6438" w:type="dxa"/>
          </w:tcPr>
          <w:p>
            <w:pPr>
              <w:pStyle w:val="TableParagraph"/>
              <w:spacing w:before="119"/>
              <w:ind w:left="289"/>
              <w:rPr>
                <w:sz w:val="24"/>
              </w:rPr>
            </w:pPr>
            <w:r>
              <w:rPr>
                <w:sz w:val="24"/>
              </w:rPr>
              <w:t>Total de horas não trabalhados por ano em razão de</w:t>
            </w:r>
          </w:p>
          <w:p>
            <w:pPr>
              <w:pStyle w:val="TableParagraph"/>
              <w:tabs>
                <w:tab w:pos="5676" w:val="left" w:leader="none"/>
              </w:tabs>
              <w:spacing w:line="189" w:lineRule="auto" w:before="29"/>
              <w:ind w:left="143" w:right="105" w:hanging="135"/>
              <w:rPr>
                <w:sz w:val="24"/>
              </w:rPr>
            </w:pPr>
            <w:r>
              <w:rPr>
                <w:sz w:val="24"/>
                <w:u w:val="single"/>
              </w:rPr>
              <w:t>    </w:t>
            </w:r>
            <w:r>
              <w:rPr>
                <w:spacing w:val="-22"/>
                <w:sz w:val="24"/>
                <w:u w:val="single"/>
              </w:rPr>
              <w:t> </w:t>
            </w:r>
            <w:r>
              <w:rPr>
                <w:sz w:val="24"/>
                <w:u w:val="single"/>
              </w:rPr>
              <w:t>absenteísmo compulsório, atestado médico</w:t>
            </w:r>
            <w:r>
              <w:rPr>
                <w:spacing w:val="-9"/>
                <w:sz w:val="24"/>
                <w:u w:val="single"/>
              </w:rPr>
              <w:t> </w:t>
            </w:r>
            <w:r>
              <w:rPr>
                <w:sz w:val="24"/>
                <w:u w:val="single"/>
              </w:rPr>
              <w:t>e</w:t>
            </w:r>
            <w:r>
              <w:rPr>
                <w:spacing w:val="-1"/>
                <w:sz w:val="24"/>
                <w:u w:val="single"/>
              </w:rPr>
              <w:t> </w:t>
            </w:r>
            <w:r>
              <w:rPr>
                <w:sz w:val="24"/>
                <w:u w:val="single"/>
              </w:rPr>
              <w:t>licença</w:t>
              <w:tab/>
            </w:r>
            <w:r>
              <w:rPr>
                <w:position w:val="-8"/>
                <w:sz w:val="24"/>
              </w:rPr>
              <w:t>x </w:t>
            </w:r>
            <w:r>
              <w:rPr>
                <w:spacing w:val="-6"/>
                <w:position w:val="-8"/>
                <w:sz w:val="24"/>
              </w:rPr>
              <w:t>100 </w:t>
            </w:r>
            <w:r>
              <w:rPr>
                <w:sz w:val="24"/>
              </w:rPr>
              <w:t>Número de servidores totais da folha de pagamento</w:t>
            </w:r>
            <w:r>
              <w:rPr>
                <w:spacing w:val="-14"/>
                <w:sz w:val="24"/>
              </w:rPr>
              <w:t> </w:t>
            </w:r>
            <w:r>
              <w:rPr>
                <w:sz w:val="24"/>
              </w:rPr>
              <w:t>do</w:t>
            </w:r>
          </w:p>
          <w:p>
            <w:pPr>
              <w:pStyle w:val="TableParagraph"/>
              <w:spacing w:line="273" w:lineRule="exact" w:before="16"/>
              <w:ind w:left="1177"/>
              <w:rPr>
                <w:sz w:val="24"/>
              </w:rPr>
            </w:pPr>
            <w:r>
              <w:rPr>
                <w:sz w:val="24"/>
              </w:rPr>
              <w:t>CAU X Número de dias no período</w:t>
            </w:r>
          </w:p>
        </w:tc>
        <w:tc>
          <w:tcPr>
            <w:tcW w:w="1786" w:type="dxa"/>
          </w:tcPr>
          <w:p>
            <w:pPr>
              <w:pStyle w:val="TableParagraph"/>
              <w:rPr>
                <w:rFonts w:ascii="Calibri Light"/>
                <w:b w:val="0"/>
                <w:sz w:val="24"/>
              </w:rPr>
            </w:pPr>
          </w:p>
          <w:p>
            <w:pPr>
              <w:pStyle w:val="TableParagraph"/>
              <w:spacing w:before="210"/>
              <w:ind w:left="191" w:right="175"/>
              <w:jc w:val="center"/>
              <w:rPr>
                <w:sz w:val="24"/>
              </w:rPr>
            </w:pPr>
            <w:r>
              <w:rPr>
                <w:sz w:val="24"/>
              </w:rPr>
              <w:t>Trimestral</w:t>
            </w:r>
          </w:p>
        </w:tc>
        <w:tc>
          <w:tcPr>
            <w:tcW w:w="1985" w:type="dxa"/>
            <w:tcBorders>
              <w:right w:val="single" w:sz="8" w:space="0" w:color="000000"/>
            </w:tcBorders>
          </w:tcPr>
          <w:p>
            <w:pPr>
              <w:pStyle w:val="TableParagraph"/>
              <w:rPr>
                <w:rFonts w:ascii="Calibri Light"/>
                <w:b w:val="0"/>
                <w:sz w:val="24"/>
              </w:rPr>
            </w:pPr>
          </w:p>
          <w:p>
            <w:pPr>
              <w:pStyle w:val="TableParagraph"/>
              <w:spacing w:before="210"/>
              <w:ind w:left="123" w:right="104"/>
              <w:jc w:val="center"/>
              <w:rPr>
                <w:sz w:val="24"/>
              </w:rPr>
            </w:pPr>
            <w:r>
              <w:rPr>
                <w:sz w:val="24"/>
              </w:rPr>
              <w:t>GERAD</w:t>
            </w:r>
          </w:p>
        </w:tc>
      </w:tr>
    </w:tbl>
    <w:p>
      <w:pPr>
        <w:rPr>
          <w:sz w:val="2"/>
          <w:szCs w:val="2"/>
        </w:rPr>
      </w:pPr>
      <w:r>
        <w:rPr/>
        <w:pict>
          <v:rect style="position:absolute;margin-left:386.350006pt;margin-top:505.800018pt;width:2.76pt;height:.84pt;mso-position-horizontal-relative:page;mso-position-vertical-relative:page;z-index:-19857408" filled="true" fillcolor="#000000" stroked="false">
            <v:fill type="solid"/>
            <w10:wrap type="none"/>
          </v:rect>
        </w:pict>
      </w:r>
    </w:p>
    <w:p>
      <w:pPr>
        <w:spacing w:after="0"/>
        <w:rPr>
          <w:sz w:val="2"/>
          <w:szCs w:val="2"/>
        </w:rPr>
        <w:sectPr>
          <w:pgSz w:w="16840" w:h="11910" w:orient="landscape"/>
          <w:pgMar w:header="590" w:footer="618" w:top="196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7"/>
        <w:gridCol w:w="5573"/>
        <w:gridCol w:w="865"/>
        <w:gridCol w:w="1786"/>
        <w:gridCol w:w="1985"/>
      </w:tblGrid>
      <w:tr>
        <w:trPr>
          <w:trHeight w:val="1589" w:hRule="atLeast"/>
        </w:trPr>
        <w:tc>
          <w:tcPr>
            <w:tcW w:w="5387" w:type="dxa"/>
            <w:tcBorders>
              <w:left w:val="single" w:sz="8"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69"/>
              <w:rPr>
                <w:b/>
                <w:sz w:val="24"/>
              </w:rPr>
            </w:pPr>
            <w:r>
              <w:rPr>
                <w:b/>
                <w:color w:val="FFFFFF"/>
                <w:sz w:val="24"/>
              </w:rPr>
              <w:t>Aprimorar e inovar os processos e as ações</w:t>
            </w:r>
          </w:p>
        </w:tc>
        <w:tc>
          <w:tcPr>
            <w:tcW w:w="6438" w:type="dxa"/>
            <w:gridSpan w:val="2"/>
            <w:tcBorders>
              <w:top w:val="nil"/>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083" w:right="1063"/>
              <w:jc w:val="center"/>
              <w:rPr>
                <w:b/>
                <w:sz w:val="24"/>
              </w:rPr>
            </w:pPr>
            <w:r>
              <w:rPr>
                <w:b/>
                <w:color w:val="FFFFFF"/>
                <w:sz w:val="24"/>
              </w:rPr>
              <w:t>Fórmula</w:t>
            </w:r>
          </w:p>
        </w:tc>
        <w:tc>
          <w:tcPr>
            <w:tcW w:w="1786" w:type="dxa"/>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91" w:right="175"/>
              <w:jc w:val="center"/>
              <w:rPr>
                <w:b/>
                <w:sz w:val="24"/>
              </w:rPr>
            </w:pPr>
            <w:r>
              <w:rPr>
                <w:b/>
                <w:color w:val="FFFFFF"/>
                <w:sz w:val="24"/>
              </w:rPr>
              <w:t>Periodicidade</w:t>
            </w:r>
          </w:p>
        </w:tc>
        <w:tc>
          <w:tcPr>
            <w:tcW w:w="1985" w:type="dxa"/>
            <w:tcBorders>
              <w:right w:val="single" w:sz="8" w:space="0" w:color="000000"/>
            </w:tcBorders>
            <w:shd w:val="clear" w:color="auto" w:fill="008080"/>
          </w:tcPr>
          <w:p>
            <w:pPr>
              <w:pStyle w:val="TableParagraph"/>
              <w:rPr>
                <w:rFonts w:ascii="Calibri Light"/>
                <w:b w:val="0"/>
                <w:sz w:val="24"/>
              </w:rPr>
            </w:pPr>
          </w:p>
          <w:p>
            <w:pPr>
              <w:pStyle w:val="TableParagraph"/>
              <w:rPr>
                <w:rFonts w:ascii="Calibri Light"/>
                <w:b w:val="0"/>
                <w:sz w:val="29"/>
              </w:rPr>
            </w:pPr>
          </w:p>
          <w:p>
            <w:pPr>
              <w:pStyle w:val="TableParagraph"/>
              <w:ind w:left="125" w:right="104"/>
              <w:jc w:val="center"/>
              <w:rPr>
                <w:b/>
                <w:sz w:val="24"/>
              </w:rPr>
            </w:pPr>
            <w:r>
              <w:rPr>
                <w:b/>
                <w:color w:val="FFFFFF"/>
                <w:sz w:val="24"/>
              </w:rPr>
              <w:t>ÁREA</w:t>
            </w:r>
          </w:p>
        </w:tc>
      </w:tr>
      <w:tr>
        <w:trPr>
          <w:trHeight w:val="925" w:hRule="atLeast"/>
        </w:trPr>
        <w:tc>
          <w:tcPr>
            <w:tcW w:w="5387" w:type="dxa"/>
            <w:tcBorders>
              <w:left w:val="single" w:sz="8" w:space="0" w:color="000000"/>
            </w:tcBorders>
          </w:tcPr>
          <w:p>
            <w:pPr>
              <w:pStyle w:val="TableParagraph"/>
              <w:spacing w:before="169"/>
              <w:ind w:left="69" w:right="528"/>
              <w:rPr>
                <w:sz w:val="24"/>
              </w:rPr>
            </w:pPr>
            <w:r>
              <w:rPr>
                <w:sz w:val="24"/>
              </w:rPr>
              <w:t>Índice de crescimento da folha de pagamento de pessoal (Inclui benefícios- salário e encargos)</w:t>
            </w:r>
          </w:p>
        </w:tc>
        <w:tc>
          <w:tcPr>
            <w:tcW w:w="5573" w:type="dxa"/>
            <w:tcBorders>
              <w:right w:val="nil"/>
            </w:tcBorders>
          </w:tcPr>
          <w:p>
            <w:pPr>
              <w:pStyle w:val="TableParagraph"/>
              <w:tabs>
                <w:tab w:pos="671" w:val="left" w:leader="none"/>
                <w:tab w:pos="5676" w:val="left" w:leader="none"/>
              </w:tabs>
              <w:spacing w:line="247" w:lineRule="auto" w:before="210"/>
              <w:ind w:left="371" w:right="-116" w:hanging="363"/>
              <w:rPr>
                <w:sz w:val="24"/>
              </w:rPr>
            </w:pPr>
            <w:r>
              <w:rPr>
                <w:sz w:val="24"/>
                <w:u w:val="single"/>
              </w:rPr>
              <w:t> </w:t>
              <w:tab/>
              <w:tab/>
              <w:t>Despesa total com pessoal do CAU</w:t>
            </w:r>
            <w:r>
              <w:rPr>
                <w:spacing w:val="-11"/>
                <w:sz w:val="24"/>
                <w:u w:val="single"/>
              </w:rPr>
              <w:t> </w:t>
            </w:r>
            <w:r>
              <w:rPr>
                <w:sz w:val="24"/>
                <w:u w:val="single"/>
              </w:rPr>
              <w:t>ano</w:t>
            </w:r>
            <w:r>
              <w:rPr>
                <w:spacing w:val="-3"/>
                <w:sz w:val="24"/>
                <w:u w:val="single"/>
              </w:rPr>
              <w:t> </w:t>
            </w:r>
            <w:r>
              <w:rPr>
                <w:sz w:val="24"/>
                <w:u w:val="single"/>
              </w:rPr>
              <w:t>atual</w:t>
              <w:tab/>
            </w:r>
            <w:r>
              <w:rPr>
                <w:sz w:val="24"/>
              </w:rPr>
              <w:t> Despesa total com pessoal do CAU do ano</w:t>
            </w:r>
            <w:r>
              <w:rPr>
                <w:spacing w:val="-14"/>
                <w:sz w:val="24"/>
              </w:rPr>
              <w:t> </w:t>
            </w:r>
            <w:r>
              <w:rPr>
                <w:sz w:val="24"/>
              </w:rPr>
              <w:t>anterior</w:t>
            </w:r>
          </w:p>
        </w:tc>
        <w:tc>
          <w:tcPr>
            <w:tcW w:w="865" w:type="dxa"/>
            <w:tcBorders>
              <w:left w:val="nil"/>
            </w:tcBorders>
          </w:tcPr>
          <w:p>
            <w:pPr>
              <w:pStyle w:val="TableParagraph"/>
              <w:spacing w:before="10"/>
              <w:rPr>
                <w:rFonts w:ascii="Calibri Light"/>
                <w:b w:val="0"/>
                <w:sz w:val="25"/>
              </w:rPr>
            </w:pPr>
          </w:p>
          <w:p>
            <w:pPr>
              <w:pStyle w:val="TableParagraph"/>
              <w:spacing w:before="1"/>
              <w:ind w:right="105"/>
              <w:jc w:val="right"/>
              <w:rPr>
                <w:sz w:val="24"/>
              </w:rPr>
            </w:pPr>
            <w:r>
              <w:rPr>
                <w:sz w:val="24"/>
              </w:rPr>
              <w:t>x 100</w:t>
            </w:r>
          </w:p>
        </w:tc>
        <w:tc>
          <w:tcPr>
            <w:tcW w:w="1786" w:type="dxa"/>
          </w:tcPr>
          <w:p>
            <w:pPr>
              <w:pStyle w:val="TableParagraph"/>
              <w:spacing w:before="10"/>
              <w:rPr>
                <w:rFonts w:ascii="Calibri Light"/>
                <w:b w:val="0"/>
                <w:sz w:val="25"/>
              </w:rPr>
            </w:pPr>
          </w:p>
          <w:p>
            <w:pPr>
              <w:pStyle w:val="TableParagraph"/>
              <w:spacing w:before="1"/>
              <w:ind w:left="191" w:right="175"/>
              <w:jc w:val="center"/>
              <w:rPr>
                <w:sz w:val="24"/>
              </w:rPr>
            </w:pPr>
            <w:r>
              <w:rPr>
                <w:sz w:val="24"/>
              </w:rPr>
              <w:t>Trimestral</w:t>
            </w:r>
          </w:p>
        </w:tc>
        <w:tc>
          <w:tcPr>
            <w:tcW w:w="1985" w:type="dxa"/>
            <w:tcBorders>
              <w:right w:val="single" w:sz="8" w:space="0" w:color="000000"/>
            </w:tcBorders>
          </w:tcPr>
          <w:p>
            <w:pPr>
              <w:pStyle w:val="TableParagraph"/>
              <w:spacing w:before="10"/>
              <w:rPr>
                <w:rFonts w:ascii="Calibri Light"/>
                <w:b w:val="0"/>
                <w:sz w:val="25"/>
              </w:rPr>
            </w:pPr>
          </w:p>
          <w:p>
            <w:pPr>
              <w:pStyle w:val="TableParagraph"/>
              <w:spacing w:before="1"/>
              <w:ind w:left="123" w:right="104"/>
              <w:jc w:val="center"/>
              <w:rPr>
                <w:sz w:val="24"/>
              </w:rPr>
            </w:pPr>
            <w:r>
              <w:rPr>
                <w:sz w:val="24"/>
              </w:rPr>
              <w:t>GERAD</w:t>
            </w:r>
          </w:p>
        </w:tc>
      </w:tr>
      <w:tr>
        <w:trPr>
          <w:trHeight w:val="1166" w:hRule="atLeast"/>
        </w:trPr>
        <w:tc>
          <w:tcPr>
            <w:tcW w:w="5387" w:type="dxa"/>
            <w:tcBorders>
              <w:left w:val="single" w:sz="8" w:space="0" w:color="000000"/>
            </w:tcBorders>
          </w:tcPr>
          <w:p>
            <w:pPr>
              <w:pStyle w:val="TableParagraph"/>
              <w:spacing w:before="8"/>
              <w:rPr>
                <w:rFonts w:ascii="Calibri Light"/>
                <w:b w:val="0"/>
                <w:sz w:val="23"/>
              </w:rPr>
            </w:pPr>
          </w:p>
          <w:p>
            <w:pPr>
              <w:pStyle w:val="TableParagraph"/>
              <w:spacing w:before="1"/>
              <w:ind w:left="69" w:right="269"/>
              <w:rPr>
                <w:sz w:val="24"/>
              </w:rPr>
            </w:pPr>
            <w:r>
              <w:rPr>
                <w:sz w:val="24"/>
              </w:rPr>
              <w:t>Índice de servidores efetivos ocupantes de cargos e funções comissionadas (DELIBERAÇÃO 73/2017)</w:t>
            </w:r>
          </w:p>
        </w:tc>
        <w:tc>
          <w:tcPr>
            <w:tcW w:w="5573" w:type="dxa"/>
            <w:tcBorders>
              <w:right w:val="nil"/>
            </w:tcBorders>
          </w:tcPr>
          <w:p>
            <w:pPr>
              <w:pStyle w:val="TableParagraph"/>
              <w:spacing w:before="112"/>
              <w:ind w:left="469" w:right="357"/>
              <w:jc w:val="center"/>
              <w:rPr>
                <w:sz w:val="24"/>
              </w:rPr>
            </w:pPr>
            <w:r>
              <w:rPr>
                <w:sz w:val="24"/>
              </w:rPr>
              <w:t>Quantidade servidor efetivo ocupantes de cargo</w:t>
            </w:r>
          </w:p>
          <w:p>
            <w:pPr>
              <w:pStyle w:val="TableParagraph"/>
              <w:tabs>
                <w:tab w:pos="877" w:val="left" w:leader="none"/>
                <w:tab w:pos="5676" w:val="left" w:leader="none"/>
              </w:tabs>
              <w:spacing w:line="247" w:lineRule="auto" w:before="2"/>
              <w:ind w:left="8" w:right="-116"/>
              <w:jc w:val="center"/>
              <w:rPr>
                <w:sz w:val="24"/>
              </w:rPr>
            </w:pPr>
            <w:r>
              <w:rPr>
                <w:sz w:val="24"/>
                <w:u w:val="single"/>
              </w:rPr>
              <w:t> </w:t>
              <w:tab/>
              <w:t>correlacionado ao DAS 1, DAS 2 e</w:t>
            </w:r>
            <w:r>
              <w:rPr>
                <w:spacing w:val="-8"/>
                <w:sz w:val="24"/>
                <w:u w:val="single"/>
              </w:rPr>
              <w:t> </w:t>
            </w:r>
            <w:r>
              <w:rPr>
                <w:sz w:val="24"/>
                <w:u w:val="single"/>
              </w:rPr>
              <w:t>DAS</w:t>
            </w:r>
            <w:r>
              <w:rPr>
                <w:spacing w:val="50"/>
                <w:sz w:val="24"/>
                <w:u w:val="single"/>
              </w:rPr>
              <w:t> </w:t>
            </w:r>
            <w:r>
              <w:rPr>
                <w:sz w:val="24"/>
                <w:u w:val="single"/>
              </w:rPr>
              <w:t>3</w:t>
              <w:tab/>
            </w:r>
            <w:r>
              <w:rPr>
                <w:sz w:val="24"/>
              </w:rPr>
              <w:t> Quantidade de servidores do CAU</w:t>
            </w:r>
          </w:p>
        </w:tc>
        <w:tc>
          <w:tcPr>
            <w:tcW w:w="865" w:type="dxa"/>
            <w:tcBorders>
              <w:left w:val="nil"/>
            </w:tcBorders>
          </w:tcPr>
          <w:p>
            <w:pPr>
              <w:pStyle w:val="TableParagraph"/>
              <w:spacing w:before="8"/>
              <w:rPr>
                <w:rFonts w:ascii="Calibri Light"/>
                <w:b w:val="0"/>
                <w:sz w:val="35"/>
              </w:rPr>
            </w:pPr>
          </w:p>
          <w:p>
            <w:pPr>
              <w:pStyle w:val="TableParagraph"/>
              <w:spacing w:before="1"/>
              <w:ind w:right="105"/>
              <w:jc w:val="right"/>
              <w:rPr>
                <w:sz w:val="24"/>
              </w:rPr>
            </w:pPr>
            <w:r>
              <w:rPr>
                <w:sz w:val="24"/>
              </w:rPr>
              <w:t>x 100</w:t>
            </w:r>
          </w:p>
        </w:tc>
        <w:tc>
          <w:tcPr>
            <w:tcW w:w="1786" w:type="dxa"/>
          </w:tcPr>
          <w:p>
            <w:pPr>
              <w:pStyle w:val="TableParagraph"/>
              <w:spacing w:before="8"/>
              <w:rPr>
                <w:rFonts w:ascii="Calibri Light"/>
                <w:b w:val="0"/>
                <w:sz w:val="35"/>
              </w:rPr>
            </w:pPr>
          </w:p>
          <w:p>
            <w:pPr>
              <w:pStyle w:val="TableParagraph"/>
              <w:spacing w:before="1"/>
              <w:ind w:left="191" w:right="175"/>
              <w:jc w:val="center"/>
              <w:rPr>
                <w:sz w:val="24"/>
              </w:rPr>
            </w:pPr>
            <w:r>
              <w:rPr>
                <w:sz w:val="24"/>
              </w:rPr>
              <w:t>Trimestral</w:t>
            </w:r>
          </w:p>
        </w:tc>
        <w:tc>
          <w:tcPr>
            <w:tcW w:w="1985" w:type="dxa"/>
            <w:tcBorders>
              <w:right w:val="single" w:sz="8" w:space="0" w:color="000000"/>
            </w:tcBorders>
          </w:tcPr>
          <w:p>
            <w:pPr>
              <w:pStyle w:val="TableParagraph"/>
              <w:spacing w:before="8"/>
              <w:rPr>
                <w:rFonts w:ascii="Calibri Light"/>
                <w:b w:val="0"/>
                <w:sz w:val="35"/>
              </w:rPr>
            </w:pPr>
          </w:p>
          <w:p>
            <w:pPr>
              <w:pStyle w:val="TableParagraph"/>
              <w:spacing w:before="1"/>
              <w:ind w:left="123" w:right="104"/>
              <w:jc w:val="center"/>
              <w:rPr>
                <w:sz w:val="24"/>
              </w:rPr>
            </w:pPr>
            <w:r>
              <w:rPr>
                <w:sz w:val="24"/>
              </w:rPr>
              <w:t>GERAD</w:t>
            </w:r>
          </w:p>
        </w:tc>
      </w:tr>
      <w:tr>
        <w:trPr>
          <w:trHeight w:val="1590" w:hRule="atLeast"/>
        </w:trPr>
        <w:tc>
          <w:tcPr>
            <w:tcW w:w="5387" w:type="dxa"/>
            <w:tcBorders>
              <w:left w:val="single" w:sz="8" w:space="0" w:color="000000"/>
            </w:tcBorders>
            <w:shd w:val="clear" w:color="auto" w:fill="008080"/>
          </w:tcPr>
          <w:p>
            <w:pPr>
              <w:pStyle w:val="TableParagraph"/>
              <w:rPr>
                <w:rFonts w:ascii="Calibri Light"/>
                <w:b w:val="0"/>
                <w:sz w:val="24"/>
              </w:rPr>
            </w:pPr>
          </w:p>
          <w:p>
            <w:pPr>
              <w:pStyle w:val="TableParagraph"/>
              <w:spacing w:before="210"/>
              <w:ind w:left="69" w:right="1081"/>
              <w:rPr>
                <w:b/>
                <w:sz w:val="24"/>
              </w:rPr>
            </w:pPr>
            <w:r>
              <w:rPr>
                <w:b/>
                <w:color w:val="FFFFFF"/>
                <w:sz w:val="24"/>
              </w:rPr>
              <w:t>Desenvolver competências de dirigentes e colaboradores</w:t>
            </w:r>
          </w:p>
        </w:tc>
        <w:tc>
          <w:tcPr>
            <w:tcW w:w="6438" w:type="dxa"/>
            <w:gridSpan w:val="2"/>
            <w:shd w:val="clear" w:color="auto" w:fill="008080"/>
          </w:tcPr>
          <w:p>
            <w:pPr>
              <w:pStyle w:val="TableParagraph"/>
              <w:rPr>
                <w:rFonts w:ascii="Calibri Light"/>
                <w:b w:val="0"/>
                <w:sz w:val="24"/>
              </w:rPr>
            </w:pPr>
          </w:p>
          <w:p>
            <w:pPr>
              <w:pStyle w:val="TableParagraph"/>
              <w:spacing w:before="2"/>
              <w:rPr>
                <w:rFonts w:ascii="Calibri Light"/>
                <w:b w:val="0"/>
                <w:sz w:val="29"/>
              </w:rPr>
            </w:pPr>
          </w:p>
          <w:p>
            <w:pPr>
              <w:pStyle w:val="TableParagraph"/>
              <w:ind w:left="1083" w:right="1063"/>
              <w:jc w:val="center"/>
              <w:rPr>
                <w:b/>
                <w:sz w:val="24"/>
              </w:rPr>
            </w:pPr>
            <w:r>
              <w:rPr>
                <w:b/>
                <w:color w:val="FFFFFF"/>
                <w:sz w:val="24"/>
              </w:rPr>
              <w:t>Fórmula</w:t>
            </w:r>
          </w:p>
        </w:tc>
        <w:tc>
          <w:tcPr>
            <w:tcW w:w="1786" w:type="dxa"/>
            <w:shd w:val="clear" w:color="auto" w:fill="008080"/>
          </w:tcPr>
          <w:p>
            <w:pPr>
              <w:pStyle w:val="TableParagraph"/>
              <w:rPr>
                <w:rFonts w:ascii="Calibri Light"/>
                <w:b w:val="0"/>
                <w:sz w:val="24"/>
              </w:rPr>
            </w:pPr>
          </w:p>
          <w:p>
            <w:pPr>
              <w:pStyle w:val="TableParagraph"/>
              <w:spacing w:before="2"/>
              <w:rPr>
                <w:rFonts w:ascii="Calibri Light"/>
                <w:b w:val="0"/>
                <w:sz w:val="29"/>
              </w:rPr>
            </w:pPr>
          </w:p>
          <w:p>
            <w:pPr>
              <w:pStyle w:val="TableParagraph"/>
              <w:ind w:left="191" w:right="175"/>
              <w:jc w:val="center"/>
              <w:rPr>
                <w:b/>
                <w:sz w:val="24"/>
              </w:rPr>
            </w:pPr>
            <w:r>
              <w:rPr>
                <w:b/>
                <w:color w:val="FFFFFF"/>
                <w:sz w:val="24"/>
              </w:rPr>
              <w:t>Periodicidade</w:t>
            </w:r>
          </w:p>
        </w:tc>
        <w:tc>
          <w:tcPr>
            <w:tcW w:w="1985"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9"/>
              </w:rPr>
            </w:pPr>
          </w:p>
          <w:p>
            <w:pPr>
              <w:pStyle w:val="TableParagraph"/>
              <w:ind w:left="125" w:right="104"/>
              <w:jc w:val="center"/>
              <w:rPr>
                <w:b/>
                <w:sz w:val="24"/>
              </w:rPr>
            </w:pPr>
            <w:r>
              <w:rPr>
                <w:b/>
                <w:color w:val="FFFFFF"/>
                <w:sz w:val="24"/>
              </w:rPr>
              <w:t>ÁREA</w:t>
            </w:r>
          </w:p>
        </w:tc>
      </w:tr>
      <w:tr>
        <w:trPr>
          <w:trHeight w:val="533" w:hRule="atLeast"/>
        </w:trPr>
        <w:tc>
          <w:tcPr>
            <w:tcW w:w="5387" w:type="dxa"/>
            <w:vMerge w:val="restart"/>
            <w:tcBorders>
              <w:left w:val="single" w:sz="8" w:space="0" w:color="000000"/>
            </w:tcBorders>
          </w:tcPr>
          <w:p>
            <w:pPr>
              <w:pStyle w:val="TableParagraph"/>
              <w:spacing w:before="177"/>
              <w:ind w:left="69"/>
              <w:rPr>
                <w:sz w:val="24"/>
              </w:rPr>
            </w:pPr>
            <w:r>
              <w:rPr>
                <w:sz w:val="24"/>
              </w:rPr>
              <w:t>Média de horas de treinamento por colaboradores e dirigentes</w:t>
            </w:r>
          </w:p>
        </w:tc>
        <w:tc>
          <w:tcPr>
            <w:tcW w:w="6438" w:type="dxa"/>
            <w:gridSpan w:val="2"/>
          </w:tcPr>
          <w:p>
            <w:pPr>
              <w:pStyle w:val="TableParagraph"/>
              <w:spacing w:before="7"/>
              <w:rPr>
                <w:rFonts w:ascii="Calibri Light"/>
                <w:b w:val="0"/>
                <w:sz w:val="19"/>
              </w:rPr>
            </w:pPr>
          </w:p>
          <w:p>
            <w:pPr>
              <w:pStyle w:val="TableParagraph"/>
              <w:spacing w:line="273" w:lineRule="exact" w:before="1"/>
              <w:ind w:left="1859"/>
              <w:rPr>
                <w:sz w:val="24"/>
              </w:rPr>
            </w:pPr>
            <w:r>
              <w:rPr>
                <w:sz w:val="24"/>
              </w:rPr>
              <w:t>horas totais de treinamento</w:t>
            </w:r>
          </w:p>
        </w:tc>
        <w:tc>
          <w:tcPr>
            <w:tcW w:w="1786" w:type="dxa"/>
            <w:vMerge w:val="restart"/>
          </w:tcPr>
          <w:p>
            <w:pPr>
              <w:pStyle w:val="TableParagraph"/>
              <w:spacing w:before="6"/>
              <w:rPr>
                <w:rFonts w:ascii="Calibri Light"/>
                <w:b w:val="0"/>
                <w:sz w:val="26"/>
              </w:rPr>
            </w:pPr>
          </w:p>
          <w:p>
            <w:pPr>
              <w:pStyle w:val="TableParagraph"/>
              <w:ind w:left="193" w:right="174"/>
              <w:jc w:val="center"/>
              <w:rPr>
                <w:sz w:val="24"/>
              </w:rPr>
            </w:pPr>
            <w:r>
              <w:rPr>
                <w:sz w:val="24"/>
              </w:rPr>
              <w:t>Anual</w:t>
            </w:r>
          </w:p>
        </w:tc>
        <w:tc>
          <w:tcPr>
            <w:tcW w:w="1985" w:type="dxa"/>
            <w:vMerge w:val="restart"/>
            <w:tcBorders>
              <w:right w:val="single" w:sz="8" w:space="0" w:color="000000"/>
            </w:tcBorders>
          </w:tcPr>
          <w:p>
            <w:pPr>
              <w:pStyle w:val="TableParagraph"/>
              <w:spacing w:before="6"/>
              <w:rPr>
                <w:rFonts w:ascii="Calibri Light"/>
                <w:b w:val="0"/>
                <w:sz w:val="26"/>
              </w:rPr>
            </w:pPr>
          </w:p>
          <w:p>
            <w:pPr>
              <w:pStyle w:val="TableParagraph"/>
              <w:ind w:left="467"/>
              <w:rPr>
                <w:sz w:val="24"/>
              </w:rPr>
            </w:pPr>
            <w:r>
              <w:rPr>
                <w:sz w:val="24"/>
              </w:rPr>
              <w:t>GERAD/RH</w:t>
            </w:r>
          </w:p>
        </w:tc>
      </w:tr>
      <w:tr>
        <w:trPr>
          <w:trHeight w:val="400" w:hRule="atLeast"/>
        </w:trPr>
        <w:tc>
          <w:tcPr>
            <w:tcW w:w="5387" w:type="dxa"/>
            <w:vMerge/>
            <w:tcBorders>
              <w:top w:val="nil"/>
              <w:left w:val="single" w:sz="8" w:space="0" w:color="000000"/>
            </w:tcBorders>
          </w:tcPr>
          <w:p>
            <w:pPr>
              <w:rPr>
                <w:sz w:val="2"/>
                <w:szCs w:val="2"/>
              </w:rPr>
            </w:pPr>
          </w:p>
        </w:tc>
        <w:tc>
          <w:tcPr>
            <w:tcW w:w="6438" w:type="dxa"/>
            <w:gridSpan w:val="2"/>
          </w:tcPr>
          <w:p>
            <w:pPr>
              <w:pStyle w:val="TableParagraph"/>
              <w:spacing w:line="292" w:lineRule="exact"/>
              <w:ind w:left="1083" w:right="1065"/>
              <w:jc w:val="center"/>
              <w:rPr>
                <w:sz w:val="24"/>
              </w:rPr>
            </w:pPr>
            <w:r>
              <w:rPr>
                <w:sz w:val="24"/>
              </w:rPr>
              <w:t>número total de colaboradores e dirigentes</w:t>
            </w:r>
          </w:p>
        </w:tc>
        <w:tc>
          <w:tcPr>
            <w:tcW w:w="1786" w:type="dxa"/>
            <w:vMerge/>
            <w:tcBorders>
              <w:top w:val="nil"/>
            </w:tcBorders>
          </w:tcPr>
          <w:p>
            <w:pPr>
              <w:rPr>
                <w:sz w:val="2"/>
                <w:szCs w:val="2"/>
              </w:rPr>
            </w:pPr>
          </w:p>
        </w:tc>
        <w:tc>
          <w:tcPr>
            <w:tcW w:w="1985" w:type="dxa"/>
            <w:vMerge/>
            <w:tcBorders>
              <w:top w:val="nil"/>
              <w:right w:val="single" w:sz="8" w:space="0" w:color="000000"/>
            </w:tcBorders>
          </w:tcPr>
          <w:p>
            <w:pPr>
              <w:rPr>
                <w:sz w:val="2"/>
                <w:szCs w:val="2"/>
              </w:rPr>
            </w:pPr>
          </w:p>
        </w:tc>
      </w:tr>
      <w:tr>
        <w:trPr>
          <w:trHeight w:val="873" w:hRule="atLeast"/>
        </w:trPr>
        <w:tc>
          <w:tcPr>
            <w:tcW w:w="5387" w:type="dxa"/>
            <w:tcBorders>
              <w:left w:val="single" w:sz="8" w:space="0" w:color="000000"/>
            </w:tcBorders>
          </w:tcPr>
          <w:p>
            <w:pPr>
              <w:pStyle w:val="TableParagraph"/>
              <w:spacing w:before="143"/>
              <w:ind w:left="69"/>
              <w:rPr>
                <w:sz w:val="24"/>
              </w:rPr>
            </w:pPr>
            <w:r>
              <w:rPr>
                <w:sz w:val="24"/>
              </w:rPr>
              <w:t>Índice servidores capacitados com recursos do CAU por servidor</w:t>
            </w:r>
          </w:p>
        </w:tc>
        <w:tc>
          <w:tcPr>
            <w:tcW w:w="5573" w:type="dxa"/>
            <w:tcBorders>
              <w:right w:val="nil"/>
            </w:tcBorders>
          </w:tcPr>
          <w:p>
            <w:pPr>
              <w:pStyle w:val="TableParagraph"/>
              <w:spacing w:before="10"/>
              <w:rPr>
                <w:rFonts w:ascii="Calibri Light"/>
                <w:b w:val="0"/>
                <w:sz w:val="17"/>
              </w:rPr>
            </w:pPr>
          </w:p>
          <w:p>
            <w:pPr>
              <w:pStyle w:val="TableParagraph"/>
              <w:tabs>
                <w:tab w:pos="368" w:val="left" w:leader="none"/>
                <w:tab w:pos="5676" w:val="left" w:leader="none"/>
              </w:tabs>
              <w:spacing w:line="249" w:lineRule="auto"/>
              <w:ind w:left="1727" w:right="-116" w:hanging="1719"/>
              <w:rPr>
                <w:sz w:val="24"/>
              </w:rPr>
            </w:pPr>
            <w:r>
              <w:rPr>
                <w:sz w:val="24"/>
                <w:u w:val="single"/>
              </w:rPr>
              <w:t> </w:t>
              <w:tab/>
              <w:t>nº de servidores capacitados com recursos</w:t>
            </w:r>
            <w:r>
              <w:rPr>
                <w:spacing w:val="-19"/>
                <w:sz w:val="24"/>
                <w:u w:val="single"/>
              </w:rPr>
              <w:t> </w:t>
            </w:r>
            <w:r>
              <w:rPr>
                <w:sz w:val="24"/>
                <w:u w:val="single"/>
              </w:rPr>
              <w:t>do</w:t>
            </w:r>
            <w:r>
              <w:rPr>
                <w:spacing w:val="-4"/>
                <w:sz w:val="24"/>
                <w:u w:val="single"/>
              </w:rPr>
              <w:t> </w:t>
            </w:r>
            <w:r>
              <w:rPr>
                <w:sz w:val="24"/>
                <w:u w:val="single"/>
              </w:rPr>
              <w:t>CAU</w:t>
              <w:tab/>
            </w:r>
            <w:r>
              <w:rPr>
                <w:sz w:val="24"/>
              </w:rPr>
              <w:t> nº de servidores</w:t>
            </w:r>
            <w:r>
              <w:rPr>
                <w:spacing w:val="-3"/>
                <w:sz w:val="24"/>
              </w:rPr>
              <w:t> </w:t>
            </w:r>
            <w:r>
              <w:rPr>
                <w:sz w:val="24"/>
              </w:rPr>
              <w:t>ativos</w:t>
            </w:r>
          </w:p>
        </w:tc>
        <w:tc>
          <w:tcPr>
            <w:tcW w:w="865" w:type="dxa"/>
            <w:tcBorders>
              <w:left w:val="nil"/>
            </w:tcBorders>
          </w:tcPr>
          <w:p>
            <w:pPr>
              <w:pStyle w:val="TableParagraph"/>
              <w:spacing w:before="8"/>
              <w:rPr>
                <w:rFonts w:ascii="Calibri Light"/>
                <w:b w:val="0"/>
                <w:sz w:val="23"/>
              </w:rPr>
            </w:pPr>
          </w:p>
          <w:p>
            <w:pPr>
              <w:pStyle w:val="TableParagraph"/>
              <w:spacing w:before="1"/>
              <w:ind w:right="105"/>
              <w:jc w:val="right"/>
              <w:rPr>
                <w:sz w:val="24"/>
              </w:rPr>
            </w:pPr>
            <w:r>
              <w:rPr>
                <w:sz w:val="24"/>
              </w:rPr>
              <w:t>x 100</w:t>
            </w:r>
          </w:p>
        </w:tc>
        <w:tc>
          <w:tcPr>
            <w:tcW w:w="1786" w:type="dxa"/>
          </w:tcPr>
          <w:p>
            <w:pPr>
              <w:pStyle w:val="TableParagraph"/>
              <w:spacing w:before="8"/>
              <w:rPr>
                <w:rFonts w:ascii="Calibri Light"/>
                <w:b w:val="0"/>
                <w:sz w:val="23"/>
              </w:rPr>
            </w:pPr>
          </w:p>
          <w:p>
            <w:pPr>
              <w:pStyle w:val="TableParagraph"/>
              <w:spacing w:before="1"/>
              <w:ind w:left="193" w:right="174"/>
              <w:jc w:val="center"/>
              <w:rPr>
                <w:sz w:val="24"/>
              </w:rPr>
            </w:pPr>
            <w:r>
              <w:rPr>
                <w:sz w:val="24"/>
              </w:rPr>
              <w:t>Anual</w:t>
            </w:r>
          </w:p>
        </w:tc>
        <w:tc>
          <w:tcPr>
            <w:tcW w:w="1985" w:type="dxa"/>
            <w:tcBorders>
              <w:right w:val="single" w:sz="8" w:space="0" w:color="000000"/>
            </w:tcBorders>
          </w:tcPr>
          <w:p>
            <w:pPr>
              <w:pStyle w:val="TableParagraph"/>
              <w:spacing w:before="8"/>
              <w:rPr>
                <w:rFonts w:ascii="Calibri Light"/>
                <w:b w:val="0"/>
                <w:sz w:val="23"/>
              </w:rPr>
            </w:pPr>
          </w:p>
          <w:p>
            <w:pPr>
              <w:pStyle w:val="TableParagraph"/>
              <w:spacing w:before="1"/>
              <w:ind w:left="127" w:right="104"/>
              <w:jc w:val="center"/>
              <w:rPr>
                <w:sz w:val="24"/>
              </w:rPr>
            </w:pPr>
            <w:r>
              <w:rPr>
                <w:sz w:val="24"/>
              </w:rPr>
              <w:t>GERAD/RH</w:t>
            </w:r>
          </w:p>
        </w:tc>
      </w:tr>
      <w:tr>
        <w:trPr>
          <w:trHeight w:val="1612" w:hRule="atLeast"/>
        </w:trPr>
        <w:tc>
          <w:tcPr>
            <w:tcW w:w="5387" w:type="dxa"/>
            <w:tcBorders>
              <w:left w:val="single" w:sz="8" w:space="0" w:color="000000"/>
            </w:tcBorders>
          </w:tcPr>
          <w:p>
            <w:pPr>
              <w:pStyle w:val="TableParagraph"/>
              <w:rPr>
                <w:rFonts w:ascii="Calibri Light"/>
                <w:b w:val="0"/>
                <w:sz w:val="24"/>
              </w:rPr>
            </w:pPr>
          </w:p>
          <w:p>
            <w:pPr>
              <w:pStyle w:val="TableParagraph"/>
              <w:rPr>
                <w:rFonts w:ascii="Calibri Light"/>
                <w:b w:val="0"/>
                <w:sz w:val="18"/>
              </w:rPr>
            </w:pPr>
          </w:p>
          <w:p>
            <w:pPr>
              <w:pStyle w:val="TableParagraph"/>
              <w:ind w:left="69"/>
              <w:rPr>
                <w:sz w:val="24"/>
              </w:rPr>
            </w:pPr>
            <w:r>
              <w:rPr>
                <w:sz w:val="24"/>
              </w:rPr>
              <w:t>Índice de aproveitamento dos treinamentos</w:t>
            </w:r>
          </w:p>
          <w:p>
            <w:pPr>
              <w:pStyle w:val="TableParagraph"/>
              <w:ind w:left="124"/>
              <w:rPr>
                <w:b/>
                <w:sz w:val="24"/>
              </w:rPr>
            </w:pPr>
            <w:r>
              <w:rPr>
                <w:b/>
                <w:sz w:val="24"/>
              </w:rPr>
              <w:t>(CAU/BR)</w:t>
            </w:r>
          </w:p>
        </w:tc>
        <w:tc>
          <w:tcPr>
            <w:tcW w:w="5573" w:type="dxa"/>
            <w:tcBorders>
              <w:right w:val="nil"/>
            </w:tcBorders>
          </w:tcPr>
          <w:p>
            <w:pPr>
              <w:pStyle w:val="TableParagraph"/>
              <w:ind w:left="469" w:right="354"/>
              <w:jc w:val="center"/>
              <w:rPr>
                <w:sz w:val="24"/>
              </w:rPr>
            </w:pPr>
            <w:r>
              <w:rPr>
                <w:sz w:val="24"/>
              </w:rPr>
              <w:t>número de colaboradores satisfeitos com os treinamentos</w:t>
            </w:r>
          </w:p>
          <w:p>
            <w:pPr>
              <w:pStyle w:val="TableParagraph"/>
              <w:tabs>
                <w:tab w:pos="419" w:val="left" w:leader="none"/>
                <w:tab w:pos="5676" w:val="left" w:leader="none"/>
              </w:tabs>
              <w:spacing w:line="244" w:lineRule="auto"/>
              <w:ind w:left="8" w:right="-116"/>
              <w:jc w:val="center"/>
              <w:rPr>
                <w:sz w:val="24"/>
              </w:rPr>
            </w:pPr>
            <w:r>
              <w:rPr>
                <w:sz w:val="24"/>
                <w:u w:val="single"/>
              </w:rPr>
              <w:t> </w:t>
              <w:tab/>
              <w:t>(pontuação acima de 3 na Pesquisa</w:t>
            </w:r>
            <w:r>
              <w:rPr>
                <w:spacing w:val="-15"/>
                <w:sz w:val="24"/>
                <w:u w:val="single"/>
              </w:rPr>
              <w:t> </w:t>
            </w:r>
            <w:r>
              <w:rPr>
                <w:sz w:val="24"/>
                <w:u w:val="single"/>
              </w:rPr>
              <w:t>de</w:t>
            </w:r>
            <w:r>
              <w:rPr>
                <w:spacing w:val="-1"/>
                <w:sz w:val="24"/>
                <w:u w:val="single"/>
              </w:rPr>
              <w:t> </w:t>
            </w:r>
            <w:r>
              <w:rPr>
                <w:sz w:val="24"/>
                <w:u w:val="single"/>
              </w:rPr>
              <w:t>Satisfação)</w:t>
              <w:tab/>
            </w:r>
            <w:r>
              <w:rPr>
                <w:sz w:val="24"/>
              </w:rPr>
              <w:t> total de colaboradores e dirigentes participantes da avaliação</w:t>
            </w:r>
          </w:p>
        </w:tc>
        <w:tc>
          <w:tcPr>
            <w:tcW w:w="865" w:type="dxa"/>
            <w:tcBorders>
              <w:left w:val="nil"/>
            </w:tcBorders>
          </w:tcPr>
          <w:p>
            <w:pPr>
              <w:pStyle w:val="TableParagraph"/>
              <w:rPr>
                <w:rFonts w:ascii="Calibri Light"/>
                <w:b w:val="0"/>
                <w:sz w:val="24"/>
              </w:rPr>
            </w:pPr>
          </w:p>
          <w:p>
            <w:pPr>
              <w:pStyle w:val="TableParagraph"/>
              <w:rPr>
                <w:rFonts w:ascii="Calibri Light"/>
                <w:b w:val="0"/>
                <w:sz w:val="30"/>
              </w:rPr>
            </w:pPr>
          </w:p>
          <w:p>
            <w:pPr>
              <w:pStyle w:val="TableParagraph"/>
              <w:ind w:right="105"/>
              <w:jc w:val="right"/>
              <w:rPr>
                <w:sz w:val="24"/>
              </w:rPr>
            </w:pPr>
            <w:r>
              <w:rPr>
                <w:sz w:val="24"/>
              </w:rPr>
              <w:t>x 100</w:t>
            </w:r>
          </w:p>
        </w:tc>
        <w:tc>
          <w:tcPr>
            <w:tcW w:w="1786" w:type="dxa"/>
          </w:tcPr>
          <w:p>
            <w:pPr>
              <w:pStyle w:val="TableParagraph"/>
              <w:rPr>
                <w:rFonts w:ascii="Calibri Light"/>
                <w:b w:val="0"/>
                <w:sz w:val="24"/>
              </w:rPr>
            </w:pPr>
          </w:p>
          <w:p>
            <w:pPr>
              <w:pStyle w:val="TableParagraph"/>
              <w:rPr>
                <w:rFonts w:ascii="Calibri Light"/>
                <w:b w:val="0"/>
                <w:sz w:val="30"/>
              </w:rPr>
            </w:pPr>
          </w:p>
          <w:p>
            <w:pPr>
              <w:pStyle w:val="TableParagraph"/>
              <w:ind w:left="193" w:right="174"/>
              <w:jc w:val="center"/>
              <w:rPr>
                <w:sz w:val="24"/>
              </w:rPr>
            </w:pPr>
            <w:r>
              <w:rPr>
                <w:sz w:val="24"/>
              </w:rPr>
              <w:t>Anual</w:t>
            </w:r>
          </w:p>
        </w:tc>
        <w:tc>
          <w:tcPr>
            <w:tcW w:w="1985" w:type="dxa"/>
            <w:tcBorders>
              <w:right w:val="single" w:sz="8" w:space="0" w:color="000000"/>
            </w:tcBorders>
          </w:tcPr>
          <w:p>
            <w:pPr>
              <w:pStyle w:val="TableParagraph"/>
              <w:rPr>
                <w:rFonts w:ascii="Calibri Light"/>
                <w:b w:val="0"/>
                <w:sz w:val="24"/>
              </w:rPr>
            </w:pPr>
          </w:p>
          <w:p>
            <w:pPr>
              <w:pStyle w:val="TableParagraph"/>
              <w:rPr>
                <w:rFonts w:ascii="Calibri Light"/>
                <w:b w:val="0"/>
                <w:sz w:val="30"/>
              </w:rPr>
            </w:pPr>
          </w:p>
          <w:p>
            <w:pPr>
              <w:pStyle w:val="TableParagraph"/>
              <w:ind w:left="127" w:right="104"/>
              <w:jc w:val="center"/>
              <w:rPr>
                <w:sz w:val="24"/>
              </w:rPr>
            </w:pPr>
            <w:r>
              <w:rPr>
                <w:sz w:val="24"/>
              </w:rPr>
              <w:t>GERAD/RH</w:t>
            </w:r>
          </w:p>
        </w:tc>
      </w:tr>
    </w:tbl>
    <w:p>
      <w:pPr>
        <w:spacing w:after="0"/>
        <w:jc w:val="center"/>
        <w:rPr>
          <w:sz w:val="24"/>
        </w:rPr>
        <w:sectPr>
          <w:pgSz w:w="16840" w:h="11910" w:orient="landscape"/>
          <w:pgMar w:header="590" w:footer="618" w:top="1980" w:bottom="800" w:left="44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72"/>
        <w:gridCol w:w="5601"/>
        <w:gridCol w:w="706"/>
        <w:gridCol w:w="1788"/>
        <w:gridCol w:w="2001"/>
      </w:tblGrid>
      <w:tr>
        <w:trPr>
          <w:trHeight w:val="1588" w:hRule="atLeast"/>
        </w:trPr>
        <w:tc>
          <w:tcPr>
            <w:tcW w:w="5372" w:type="dxa"/>
            <w:tcBorders>
              <w:left w:val="single" w:sz="8" w:space="0" w:color="000000"/>
            </w:tcBorders>
            <w:shd w:val="clear" w:color="auto" w:fill="008080"/>
          </w:tcPr>
          <w:p>
            <w:pPr>
              <w:pStyle w:val="TableParagraph"/>
              <w:rPr>
                <w:rFonts w:ascii="Calibri Light"/>
                <w:b w:val="0"/>
                <w:sz w:val="24"/>
              </w:rPr>
            </w:pPr>
          </w:p>
          <w:p>
            <w:pPr>
              <w:pStyle w:val="TableParagraph"/>
              <w:spacing w:before="198"/>
              <w:ind w:left="69" w:right="872"/>
              <w:rPr>
                <w:b/>
                <w:sz w:val="24"/>
              </w:rPr>
            </w:pPr>
            <w:r>
              <w:rPr>
                <w:b/>
                <w:color w:val="FFFFFF"/>
                <w:sz w:val="24"/>
              </w:rPr>
              <w:t>Construir cultura organizacional adequada à estratégia</w:t>
            </w:r>
          </w:p>
        </w:tc>
        <w:tc>
          <w:tcPr>
            <w:tcW w:w="6307" w:type="dxa"/>
            <w:gridSpan w:val="2"/>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2726" w:right="2704"/>
              <w:jc w:val="center"/>
              <w:rPr>
                <w:b/>
                <w:sz w:val="24"/>
              </w:rPr>
            </w:pPr>
            <w:r>
              <w:rPr>
                <w:b/>
                <w:color w:val="FFFFFF"/>
                <w:sz w:val="24"/>
              </w:rPr>
              <w:t>Fórmula</w:t>
            </w:r>
          </w:p>
        </w:tc>
        <w:tc>
          <w:tcPr>
            <w:tcW w:w="1788" w:type="dxa"/>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left="197" w:right="174"/>
              <w:jc w:val="center"/>
              <w:rPr>
                <w:b/>
                <w:sz w:val="24"/>
              </w:rPr>
            </w:pPr>
            <w:r>
              <w:rPr>
                <w:b/>
                <w:color w:val="FFFFFF"/>
                <w:sz w:val="24"/>
              </w:rPr>
              <w:t>Periodicidade</w:t>
            </w:r>
          </w:p>
        </w:tc>
        <w:tc>
          <w:tcPr>
            <w:tcW w:w="2001" w:type="dxa"/>
            <w:tcBorders>
              <w:right w:val="single" w:sz="8" w:space="0" w:color="000000"/>
            </w:tcBorders>
            <w:shd w:val="clear" w:color="auto" w:fill="008080"/>
          </w:tcPr>
          <w:p>
            <w:pPr>
              <w:pStyle w:val="TableParagraph"/>
              <w:rPr>
                <w:rFonts w:ascii="Calibri Light"/>
                <w:b w:val="0"/>
                <w:sz w:val="24"/>
              </w:rPr>
            </w:pPr>
          </w:p>
          <w:p>
            <w:pPr>
              <w:pStyle w:val="TableParagraph"/>
              <w:spacing w:before="2"/>
              <w:rPr>
                <w:rFonts w:ascii="Calibri Light"/>
                <w:b w:val="0"/>
                <w:sz w:val="28"/>
              </w:rPr>
            </w:pPr>
          </w:p>
          <w:p>
            <w:pPr>
              <w:pStyle w:val="TableParagraph"/>
              <w:ind w:right="704"/>
              <w:jc w:val="right"/>
              <w:rPr>
                <w:b/>
                <w:sz w:val="24"/>
              </w:rPr>
            </w:pPr>
            <w:r>
              <w:rPr>
                <w:b/>
                <w:color w:val="FFFFFF"/>
                <w:sz w:val="24"/>
              </w:rPr>
              <w:t>ÁREA</w:t>
            </w:r>
          </w:p>
        </w:tc>
      </w:tr>
      <w:tr>
        <w:trPr>
          <w:trHeight w:val="1799" w:hRule="atLeast"/>
        </w:trPr>
        <w:tc>
          <w:tcPr>
            <w:tcW w:w="5372" w:type="dxa"/>
            <w:tcBorders>
              <w:left w:val="single" w:sz="8" w:space="0" w:color="000000"/>
            </w:tcBorders>
          </w:tcPr>
          <w:p>
            <w:pPr>
              <w:pStyle w:val="TableParagraph"/>
              <w:rPr>
                <w:rFonts w:ascii="Calibri Light"/>
                <w:b w:val="0"/>
                <w:sz w:val="24"/>
              </w:rPr>
            </w:pPr>
          </w:p>
          <w:p>
            <w:pPr>
              <w:pStyle w:val="TableParagraph"/>
              <w:rPr>
                <w:rFonts w:ascii="Calibri Light"/>
                <w:b w:val="0"/>
                <w:sz w:val="24"/>
              </w:rPr>
            </w:pPr>
          </w:p>
          <w:p>
            <w:pPr>
              <w:pStyle w:val="TableParagraph"/>
              <w:spacing w:before="157"/>
              <w:ind w:left="69"/>
              <w:rPr>
                <w:sz w:val="24"/>
              </w:rPr>
            </w:pPr>
            <w:r>
              <w:rPr>
                <w:sz w:val="24"/>
              </w:rPr>
              <w:t>Número de ações executadas</w:t>
            </w:r>
          </w:p>
        </w:tc>
        <w:tc>
          <w:tcPr>
            <w:tcW w:w="6307" w:type="dxa"/>
            <w:gridSpan w:val="2"/>
          </w:tcPr>
          <w:p>
            <w:pPr>
              <w:pStyle w:val="TableParagraph"/>
              <w:rPr>
                <w:rFonts w:ascii="Calibri Light"/>
                <w:b w:val="0"/>
                <w:sz w:val="24"/>
              </w:rPr>
            </w:pPr>
          </w:p>
          <w:p>
            <w:pPr>
              <w:pStyle w:val="TableParagraph"/>
              <w:spacing w:before="10"/>
              <w:rPr>
                <w:rFonts w:ascii="Calibri Light"/>
                <w:b w:val="0"/>
                <w:sz w:val="24"/>
              </w:rPr>
            </w:pPr>
          </w:p>
          <w:p>
            <w:pPr>
              <w:pStyle w:val="TableParagraph"/>
              <w:spacing w:before="1"/>
              <w:ind w:left="1855" w:right="634" w:hanging="1179"/>
              <w:rPr>
                <w:sz w:val="24"/>
              </w:rPr>
            </w:pPr>
            <w:r>
              <w:rPr>
                <w:sz w:val="24"/>
              </w:rPr>
              <w:t>quantidade de ações executadas voltadas à cultura organizacional e estratégia</w:t>
            </w:r>
          </w:p>
        </w:tc>
        <w:tc>
          <w:tcPr>
            <w:tcW w:w="1788" w:type="dxa"/>
          </w:tcPr>
          <w:p>
            <w:pPr>
              <w:pStyle w:val="TableParagraph"/>
              <w:rPr>
                <w:rFonts w:ascii="Calibri Light"/>
                <w:b w:val="0"/>
                <w:sz w:val="24"/>
              </w:rPr>
            </w:pPr>
          </w:p>
          <w:p>
            <w:pPr>
              <w:pStyle w:val="TableParagraph"/>
              <w:rPr>
                <w:rFonts w:ascii="Calibri Light"/>
                <w:b w:val="0"/>
                <w:sz w:val="24"/>
              </w:rPr>
            </w:pPr>
          </w:p>
          <w:p>
            <w:pPr>
              <w:pStyle w:val="TableParagraph"/>
              <w:spacing w:before="157"/>
              <w:ind w:left="197" w:right="171"/>
              <w:jc w:val="center"/>
              <w:rPr>
                <w:sz w:val="24"/>
              </w:rPr>
            </w:pPr>
            <w:r>
              <w:rPr>
                <w:sz w:val="24"/>
              </w:rPr>
              <w:t>Anual</w:t>
            </w:r>
          </w:p>
        </w:tc>
        <w:tc>
          <w:tcPr>
            <w:tcW w:w="2001" w:type="dxa"/>
            <w:tcBorders>
              <w:right w:val="single" w:sz="8" w:space="0" w:color="000000"/>
            </w:tcBorders>
          </w:tcPr>
          <w:p>
            <w:pPr>
              <w:pStyle w:val="TableParagraph"/>
              <w:rPr>
                <w:rFonts w:ascii="Calibri Light"/>
                <w:b w:val="0"/>
                <w:sz w:val="24"/>
              </w:rPr>
            </w:pPr>
          </w:p>
          <w:p>
            <w:pPr>
              <w:pStyle w:val="TableParagraph"/>
              <w:spacing w:before="10"/>
              <w:rPr>
                <w:rFonts w:ascii="Calibri Light"/>
                <w:b w:val="0"/>
                <w:sz w:val="24"/>
              </w:rPr>
            </w:pPr>
          </w:p>
          <w:p>
            <w:pPr>
              <w:pStyle w:val="TableParagraph"/>
              <w:spacing w:before="1"/>
              <w:ind w:left="860" w:right="73" w:hanging="742"/>
              <w:rPr>
                <w:sz w:val="24"/>
              </w:rPr>
            </w:pPr>
            <w:r>
              <w:rPr>
                <w:sz w:val="24"/>
              </w:rPr>
              <w:t>GERAD/RH/GERPL AN</w:t>
            </w:r>
          </w:p>
        </w:tc>
      </w:tr>
      <w:tr>
        <w:trPr>
          <w:trHeight w:val="931" w:hRule="atLeast"/>
        </w:trPr>
        <w:tc>
          <w:tcPr>
            <w:tcW w:w="5372" w:type="dxa"/>
            <w:vMerge w:val="restart"/>
            <w:tcBorders>
              <w:left w:val="single" w:sz="8" w:space="0" w:color="000000"/>
            </w:tcBorders>
          </w:tcPr>
          <w:p>
            <w:pPr>
              <w:pStyle w:val="TableParagraph"/>
              <w:rPr>
                <w:rFonts w:ascii="Calibri Light"/>
                <w:b w:val="0"/>
                <w:sz w:val="24"/>
              </w:rPr>
            </w:pPr>
          </w:p>
          <w:p>
            <w:pPr>
              <w:pStyle w:val="TableParagraph"/>
              <w:spacing w:before="6"/>
              <w:rPr>
                <w:rFonts w:ascii="Calibri Light"/>
                <w:b w:val="0"/>
                <w:sz w:val="25"/>
              </w:rPr>
            </w:pPr>
          </w:p>
          <w:p>
            <w:pPr>
              <w:pStyle w:val="TableParagraph"/>
              <w:ind w:left="69" w:right="209"/>
              <w:rPr>
                <w:sz w:val="24"/>
              </w:rPr>
            </w:pPr>
            <w:r>
              <w:rPr>
                <w:sz w:val="24"/>
              </w:rPr>
              <w:t>Índice de cumprimento das metas do Plano de Ação (%)</w:t>
            </w:r>
          </w:p>
        </w:tc>
        <w:tc>
          <w:tcPr>
            <w:tcW w:w="5601" w:type="dxa"/>
            <w:tcBorders>
              <w:bottom w:val="nil"/>
              <w:right w:val="nil"/>
            </w:tcBorders>
          </w:tcPr>
          <w:p>
            <w:pPr>
              <w:pStyle w:val="TableParagraph"/>
              <w:rPr>
                <w:rFonts w:ascii="Calibri Light"/>
                <w:b w:val="0"/>
                <w:sz w:val="24"/>
              </w:rPr>
            </w:pPr>
          </w:p>
          <w:p>
            <w:pPr>
              <w:pStyle w:val="TableParagraph"/>
              <w:spacing w:before="1"/>
              <w:rPr>
                <w:rFonts w:ascii="Calibri Light"/>
                <w:b w:val="0"/>
                <w:sz w:val="25"/>
              </w:rPr>
            </w:pPr>
          </w:p>
          <w:p>
            <w:pPr>
              <w:pStyle w:val="TableParagraph"/>
              <w:tabs>
                <w:tab w:pos="1300" w:val="left" w:leader="none"/>
                <w:tab w:pos="5535" w:val="left" w:leader="none"/>
              </w:tabs>
              <w:ind w:right="39"/>
              <w:jc w:val="center"/>
              <w:rPr>
                <w:sz w:val="24"/>
              </w:rPr>
            </w:pPr>
            <w:r>
              <w:rPr>
                <w:sz w:val="24"/>
                <w:u w:val="single"/>
              </w:rPr>
              <w:t> </w:t>
              <w:tab/>
              <w:t>total de iniciativas</w:t>
            </w:r>
            <w:r>
              <w:rPr>
                <w:spacing w:val="-9"/>
                <w:sz w:val="24"/>
                <w:u w:val="single"/>
              </w:rPr>
              <w:t> </w:t>
            </w:r>
            <w:r>
              <w:rPr>
                <w:sz w:val="24"/>
                <w:u w:val="single"/>
              </w:rPr>
              <w:t>executadas</w:t>
              <w:tab/>
            </w:r>
          </w:p>
        </w:tc>
        <w:tc>
          <w:tcPr>
            <w:tcW w:w="706" w:type="dxa"/>
            <w:vMerge w:val="restart"/>
            <w:tcBorders>
              <w:left w:val="nil"/>
            </w:tcBorders>
          </w:tcPr>
          <w:p>
            <w:pPr>
              <w:pStyle w:val="TableParagraph"/>
              <w:rPr>
                <w:rFonts w:ascii="Calibri Light"/>
                <w:b w:val="0"/>
                <w:sz w:val="24"/>
              </w:rPr>
            </w:pPr>
          </w:p>
          <w:p>
            <w:pPr>
              <w:pStyle w:val="TableParagraph"/>
              <w:rPr>
                <w:rFonts w:ascii="Calibri Light"/>
                <w:b w:val="0"/>
                <w:sz w:val="24"/>
              </w:rPr>
            </w:pPr>
          </w:p>
          <w:p>
            <w:pPr>
              <w:pStyle w:val="TableParagraph"/>
              <w:spacing w:before="165"/>
              <w:ind w:left="71"/>
              <w:rPr>
                <w:sz w:val="24"/>
              </w:rPr>
            </w:pPr>
            <w:r>
              <w:rPr>
                <w:sz w:val="24"/>
              </w:rPr>
              <w:t>x 100</w:t>
            </w:r>
          </w:p>
        </w:tc>
        <w:tc>
          <w:tcPr>
            <w:tcW w:w="1788" w:type="dxa"/>
            <w:vMerge w:val="restart"/>
          </w:tcPr>
          <w:p>
            <w:pPr>
              <w:pStyle w:val="TableParagraph"/>
              <w:rPr>
                <w:rFonts w:ascii="Calibri Light"/>
                <w:b w:val="0"/>
                <w:sz w:val="24"/>
              </w:rPr>
            </w:pPr>
          </w:p>
          <w:p>
            <w:pPr>
              <w:pStyle w:val="TableParagraph"/>
              <w:rPr>
                <w:rFonts w:ascii="Calibri Light"/>
                <w:b w:val="0"/>
                <w:sz w:val="24"/>
              </w:rPr>
            </w:pPr>
          </w:p>
          <w:p>
            <w:pPr>
              <w:pStyle w:val="TableParagraph"/>
              <w:spacing w:before="165"/>
              <w:ind w:left="197" w:right="171"/>
              <w:jc w:val="center"/>
              <w:rPr>
                <w:sz w:val="24"/>
              </w:rPr>
            </w:pPr>
            <w:r>
              <w:rPr>
                <w:sz w:val="24"/>
              </w:rPr>
              <w:t>Anual</w:t>
            </w:r>
          </w:p>
        </w:tc>
        <w:tc>
          <w:tcPr>
            <w:tcW w:w="2001" w:type="dxa"/>
            <w:vMerge w:val="restart"/>
            <w:tcBorders>
              <w:right w:val="single" w:sz="8" w:space="0" w:color="000000"/>
            </w:tcBorders>
          </w:tcPr>
          <w:p>
            <w:pPr>
              <w:pStyle w:val="TableParagraph"/>
              <w:rPr>
                <w:rFonts w:ascii="Calibri Light"/>
                <w:b w:val="0"/>
                <w:sz w:val="24"/>
              </w:rPr>
            </w:pPr>
          </w:p>
          <w:p>
            <w:pPr>
              <w:pStyle w:val="TableParagraph"/>
              <w:rPr>
                <w:rFonts w:ascii="Calibri Light"/>
                <w:b w:val="0"/>
                <w:sz w:val="24"/>
              </w:rPr>
            </w:pPr>
          </w:p>
          <w:p>
            <w:pPr>
              <w:pStyle w:val="TableParagraph"/>
              <w:spacing w:before="165"/>
              <w:ind w:left="548"/>
              <w:rPr>
                <w:sz w:val="24"/>
              </w:rPr>
            </w:pPr>
            <w:r>
              <w:rPr>
                <w:sz w:val="24"/>
              </w:rPr>
              <w:t>GERPLAN</w:t>
            </w:r>
          </w:p>
        </w:tc>
      </w:tr>
      <w:tr>
        <w:trPr>
          <w:trHeight w:val="870" w:hRule="atLeast"/>
        </w:trPr>
        <w:tc>
          <w:tcPr>
            <w:tcW w:w="5372" w:type="dxa"/>
            <w:vMerge/>
            <w:tcBorders>
              <w:top w:val="nil"/>
              <w:left w:val="single" w:sz="8" w:space="0" w:color="000000"/>
            </w:tcBorders>
          </w:tcPr>
          <w:p>
            <w:pPr>
              <w:rPr>
                <w:sz w:val="2"/>
                <w:szCs w:val="2"/>
              </w:rPr>
            </w:pPr>
          </w:p>
        </w:tc>
        <w:tc>
          <w:tcPr>
            <w:tcW w:w="5601" w:type="dxa"/>
            <w:tcBorders>
              <w:top w:val="nil"/>
              <w:right w:val="nil"/>
            </w:tcBorders>
          </w:tcPr>
          <w:p>
            <w:pPr>
              <w:pStyle w:val="TableParagraph"/>
              <w:spacing w:line="254" w:lineRule="exact"/>
              <w:ind w:right="43"/>
              <w:jc w:val="center"/>
              <w:rPr>
                <w:sz w:val="24"/>
              </w:rPr>
            </w:pPr>
            <w:r>
              <w:rPr>
                <w:sz w:val="24"/>
              </w:rPr>
              <w:t>total de iniciativas planejadas</w:t>
            </w:r>
          </w:p>
        </w:tc>
        <w:tc>
          <w:tcPr>
            <w:tcW w:w="706" w:type="dxa"/>
            <w:vMerge/>
            <w:tcBorders>
              <w:top w:val="nil"/>
              <w:left w:val="nil"/>
            </w:tcBorders>
          </w:tcPr>
          <w:p>
            <w:pPr>
              <w:rPr>
                <w:sz w:val="2"/>
                <w:szCs w:val="2"/>
              </w:rPr>
            </w:pPr>
          </w:p>
        </w:tc>
        <w:tc>
          <w:tcPr>
            <w:tcW w:w="1788" w:type="dxa"/>
            <w:vMerge/>
            <w:tcBorders>
              <w:top w:val="nil"/>
            </w:tcBorders>
          </w:tcPr>
          <w:p>
            <w:pPr>
              <w:rPr>
                <w:sz w:val="2"/>
                <w:szCs w:val="2"/>
              </w:rPr>
            </w:pPr>
          </w:p>
        </w:tc>
        <w:tc>
          <w:tcPr>
            <w:tcW w:w="2001" w:type="dxa"/>
            <w:vMerge/>
            <w:tcBorders>
              <w:top w:val="nil"/>
              <w:right w:val="single" w:sz="8" w:space="0" w:color="000000"/>
            </w:tcBorders>
          </w:tcPr>
          <w:p>
            <w:pPr>
              <w:rPr>
                <w:sz w:val="2"/>
                <w:szCs w:val="2"/>
              </w:rPr>
            </w:pPr>
          </w:p>
        </w:tc>
      </w:tr>
      <w:tr>
        <w:trPr>
          <w:trHeight w:val="1589" w:hRule="atLeast"/>
        </w:trPr>
        <w:tc>
          <w:tcPr>
            <w:tcW w:w="5372" w:type="dxa"/>
            <w:tcBorders>
              <w:left w:val="single" w:sz="8" w:space="0" w:color="000000"/>
            </w:tcBorders>
            <w:shd w:val="clear" w:color="auto" w:fill="008080"/>
          </w:tcPr>
          <w:p>
            <w:pPr>
              <w:pStyle w:val="TableParagraph"/>
              <w:spacing w:before="3"/>
              <w:rPr>
                <w:rFonts w:ascii="Calibri Light"/>
                <w:b w:val="0"/>
                <w:sz w:val="28"/>
              </w:rPr>
            </w:pPr>
          </w:p>
          <w:p>
            <w:pPr>
              <w:pStyle w:val="TableParagraph"/>
              <w:ind w:left="69" w:right="88"/>
              <w:rPr>
                <w:b/>
                <w:sz w:val="24"/>
              </w:rPr>
            </w:pPr>
            <w:r>
              <w:rPr>
                <w:b/>
                <w:color w:val="FFFFFF"/>
                <w:sz w:val="24"/>
              </w:rPr>
              <w:t>Ter sistemas de informação e infraestrutura que viabilizem a gestão e o atendimento dos arquitetos e urbanistas e a sociedade</w:t>
            </w:r>
          </w:p>
        </w:tc>
        <w:tc>
          <w:tcPr>
            <w:tcW w:w="6307" w:type="dxa"/>
            <w:gridSpan w:val="2"/>
            <w:shd w:val="clear" w:color="auto" w:fill="008080"/>
          </w:tcPr>
          <w:p>
            <w:pPr>
              <w:pStyle w:val="TableParagraph"/>
              <w:rPr>
                <w:rFonts w:ascii="Calibri Light"/>
                <w:b w:val="0"/>
                <w:sz w:val="24"/>
              </w:rPr>
            </w:pPr>
          </w:p>
          <w:p>
            <w:pPr>
              <w:pStyle w:val="TableParagraph"/>
              <w:spacing w:before="3"/>
              <w:rPr>
                <w:rFonts w:ascii="Calibri Light"/>
                <w:b w:val="0"/>
                <w:sz w:val="28"/>
              </w:rPr>
            </w:pPr>
          </w:p>
          <w:p>
            <w:pPr>
              <w:pStyle w:val="TableParagraph"/>
              <w:ind w:left="2726" w:right="2704"/>
              <w:jc w:val="center"/>
              <w:rPr>
                <w:b/>
                <w:sz w:val="24"/>
              </w:rPr>
            </w:pPr>
            <w:r>
              <w:rPr>
                <w:b/>
                <w:color w:val="FFFFFF"/>
                <w:sz w:val="24"/>
              </w:rPr>
              <w:t>Fórmula</w:t>
            </w:r>
          </w:p>
        </w:tc>
        <w:tc>
          <w:tcPr>
            <w:tcW w:w="1788" w:type="dxa"/>
            <w:shd w:val="clear" w:color="auto" w:fill="008080"/>
          </w:tcPr>
          <w:p>
            <w:pPr>
              <w:pStyle w:val="TableParagraph"/>
              <w:rPr>
                <w:rFonts w:ascii="Calibri Light"/>
                <w:b w:val="0"/>
                <w:sz w:val="24"/>
              </w:rPr>
            </w:pPr>
          </w:p>
          <w:p>
            <w:pPr>
              <w:pStyle w:val="TableParagraph"/>
              <w:spacing w:before="3"/>
              <w:rPr>
                <w:rFonts w:ascii="Calibri Light"/>
                <w:b w:val="0"/>
                <w:sz w:val="28"/>
              </w:rPr>
            </w:pPr>
          </w:p>
          <w:p>
            <w:pPr>
              <w:pStyle w:val="TableParagraph"/>
              <w:ind w:left="197" w:right="174"/>
              <w:jc w:val="center"/>
              <w:rPr>
                <w:b/>
                <w:sz w:val="24"/>
              </w:rPr>
            </w:pPr>
            <w:r>
              <w:rPr>
                <w:b/>
                <w:color w:val="FFFFFF"/>
                <w:sz w:val="24"/>
              </w:rPr>
              <w:t>Periodicidade</w:t>
            </w:r>
          </w:p>
        </w:tc>
        <w:tc>
          <w:tcPr>
            <w:tcW w:w="2001" w:type="dxa"/>
            <w:tcBorders>
              <w:right w:val="single" w:sz="8" w:space="0" w:color="000000"/>
            </w:tcBorders>
            <w:shd w:val="clear" w:color="auto" w:fill="008080"/>
          </w:tcPr>
          <w:p>
            <w:pPr>
              <w:pStyle w:val="TableParagraph"/>
              <w:rPr>
                <w:rFonts w:ascii="Calibri Light"/>
                <w:b w:val="0"/>
                <w:sz w:val="24"/>
              </w:rPr>
            </w:pPr>
          </w:p>
          <w:p>
            <w:pPr>
              <w:pStyle w:val="TableParagraph"/>
              <w:spacing w:before="3"/>
              <w:rPr>
                <w:rFonts w:ascii="Calibri Light"/>
                <w:b w:val="0"/>
                <w:sz w:val="28"/>
              </w:rPr>
            </w:pPr>
          </w:p>
          <w:p>
            <w:pPr>
              <w:pStyle w:val="TableParagraph"/>
              <w:ind w:right="704"/>
              <w:jc w:val="right"/>
              <w:rPr>
                <w:b/>
                <w:sz w:val="24"/>
              </w:rPr>
            </w:pPr>
            <w:r>
              <w:rPr>
                <w:b/>
                <w:color w:val="FFFFFF"/>
                <w:sz w:val="24"/>
              </w:rPr>
              <w:t>ÁREA</w:t>
            </w:r>
          </w:p>
        </w:tc>
      </w:tr>
      <w:tr>
        <w:trPr>
          <w:trHeight w:val="931" w:hRule="atLeast"/>
        </w:trPr>
        <w:tc>
          <w:tcPr>
            <w:tcW w:w="5372" w:type="dxa"/>
            <w:vMerge w:val="restart"/>
            <w:tcBorders>
              <w:left w:val="single" w:sz="8" w:space="0" w:color="000000"/>
              <w:bottom w:val="single" w:sz="8" w:space="0" w:color="000000"/>
            </w:tcBorders>
          </w:tcPr>
          <w:p>
            <w:pPr>
              <w:pStyle w:val="TableParagraph"/>
              <w:rPr>
                <w:rFonts w:ascii="Calibri Light"/>
                <w:b w:val="0"/>
                <w:sz w:val="24"/>
              </w:rPr>
            </w:pPr>
          </w:p>
          <w:p>
            <w:pPr>
              <w:pStyle w:val="TableParagraph"/>
              <w:spacing w:before="10"/>
              <w:rPr>
                <w:rFonts w:ascii="Calibri Light"/>
                <w:b w:val="0"/>
                <w:sz w:val="25"/>
              </w:rPr>
            </w:pPr>
          </w:p>
          <w:p>
            <w:pPr>
              <w:pStyle w:val="TableParagraph"/>
              <w:ind w:left="69"/>
              <w:rPr>
                <w:sz w:val="24"/>
              </w:rPr>
            </w:pPr>
            <w:r>
              <w:rPr>
                <w:sz w:val="24"/>
              </w:rPr>
              <w:t>Resolubilidade operacional do SICCAU (%)</w:t>
            </w:r>
          </w:p>
          <w:p>
            <w:pPr>
              <w:pStyle w:val="TableParagraph"/>
              <w:spacing w:before="1"/>
              <w:ind w:left="69"/>
              <w:rPr>
                <w:b/>
                <w:sz w:val="24"/>
              </w:rPr>
            </w:pPr>
            <w:r>
              <w:rPr>
                <w:b/>
                <w:sz w:val="24"/>
              </w:rPr>
              <w:t>(CAU/BR)</w:t>
            </w:r>
          </w:p>
        </w:tc>
        <w:tc>
          <w:tcPr>
            <w:tcW w:w="5601" w:type="dxa"/>
            <w:tcBorders>
              <w:bottom w:val="nil"/>
              <w:right w:val="nil"/>
            </w:tcBorders>
          </w:tcPr>
          <w:p>
            <w:pPr>
              <w:pStyle w:val="TableParagraph"/>
              <w:rPr>
                <w:rFonts w:ascii="Calibri Light"/>
                <w:b w:val="0"/>
                <w:sz w:val="24"/>
              </w:rPr>
            </w:pPr>
          </w:p>
          <w:p>
            <w:pPr>
              <w:pStyle w:val="TableParagraph"/>
              <w:spacing w:before="1"/>
              <w:rPr>
                <w:rFonts w:ascii="Calibri Light"/>
                <w:b w:val="0"/>
                <w:sz w:val="25"/>
              </w:rPr>
            </w:pPr>
          </w:p>
          <w:p>
            <w:pPr>
              <w:pStyle w:val="TableParagraph"/>
              <w:tabs>
                <w:tab w:pos="1125" w:val="left" w:leader="none"/>
                <w:tab w:pos="5535" w:val="left" w:leader="none"/>
              </w:tabs>
              <w:ind w:right="39"/>
              <w:jc w:val="center"/>
              <w:rPr>
                <w:sz w:val="24"/>
              </w:rPr>
            </w:pPr>
            <w:r>
              <w:rPr>
                <w:sz w:val="24"/>
                <w:u w:val="single"/>
              </w:rPr>
              <w:t> </w:t>
              <w:tab/>
              <w:t>número de atividades</w:t>
            </w:r>
            <w:r>
              <w:rPr>
                <w:spacing w:val="-11"/>
                <w:sz w:val="24"/>
                <w:u w:val="single"/>
              </w:rPr>
              <w:t> </w:t>
            </w:r>
            <w:r>
              <w:rPr>
                <w:sz w:val="24"/>
                <w:u w:val="single"/>
              </w:rPr>
              <w:t>executadas</w:t>
              <w:tab/>
            </w:r>
          </w:p>
        </w:tc>
        <w:tc>
          <w:tcPr>
            <w:tcW w:w="706" w:type="dxa"/>
            <w:vMerge w:val="restart"/>
            <w:tcBorders>
              <w:left w:val="nil"/>
              <w:bottom w:val="single" w:sz="8" w:space="0" w:color="000000"/>
            </w:tcBorders>
          </w:tcPr>
          <w:p>
            <w:pPr>
              <w:pStyle w:val="TableParagraph"/>
              <w:rPr>
                <w:rFonts w:ascii="Calibri Light"/>
                <w:b w:val="0"/>
                <w:sz w:val="24"/>
              </w:rPr>
            </w:pPr>
          </w:p>
          <w:p>
            <w:pPr>
              <w:pStyle w:val="TableParagraph"/>
              <w:rPr>
                <w:rFonts w:ascii="Calibri Light"/>
                <w:b w:val="0"/>
                <w:sz w:val="24"/>
              </w:rPr>
            </w:pPr>
          </w:p>
          <w:p>
            <w:pPr>
              <w:pStyle w:val="TableParagraph"/>
              <w:spacing w:before="169"/>
              <w:ind w:left="71"/>
              <w:rPr>
                <w:sz w:val="24"/>
              </w:rPr>
            </w:pPr>
            <w:r>
              <w:rPr>
                <w:sz w:val="24"/>
              </w:rPr>
              <w:t>x 100</w:t>
            </w:r>
          </w:p>
        </w:tc>
        <w:tc>
          <w:tcPr>
            <w:tcW w:w="1788" w:type="dxa"/>
            <w:vMerge w:val="restart"/>
            <w:tcBorders>
              <w:bottom w:val="single" w:sz="8" w:space="0" w:color="000000"/>
            </w:tcBorders>
          </w:tcPr>
          <w:p>
            <w:pPr>
              <w:pStyle w:val="TableParagraph"/>
              <w:rPr>
                <w:rFonts w:ascii="Calibri Light"/>
                <w:b w:val="0"/>
                <w:sz w:val="24"/>
              </w:rPr>
            </w:pPr>
          </w:p>
          <w:p>
            <w:pPr>
              <w:pStyle w:val="TableParagraph"/>
              <w:spacing w:before="10"/>
              <w:rPr>
                <w:rFonts w:ascii="Calibri Light"/>
                <w:b w:val="0"/>
                <w:sz w:val="25"/>
              </w:rPr>
            </w:pPr>
          </w:p>
          <w:p>
            <w:pPr>
              <w:pStyle w:val="TableParagraph"/>
              <w:ind w:left="632" w:right="288" w:hanging="305"/>
              <w:rPr>
                <w:sz w:val="24"/>
              </w:rPr>
            </w:pPr>
            <w:r>
              <w:rPr>
                <w:sz w:val="24"/>
              </w:rPr>
              <w:t>Semestral e anual</w:t>
            </w:r>
          </w:p>
        </w:tc>
        <w:tc>
          <w:tcPr>
            <w:tcW w:w="2001" w:type="dxa"/>
            <w:vMerge w:val="restart"/>
            <w:tcBorders>
              <w:bottom w:val="single" w:sz="8" w:space="0" w:color="000000"/>
              <w:right w:val="single" w:sz="8" w:space="0" w:color="000000"/>
            </w:tcBorders>
          </w:tcPr>
          <w:p>
            <w:pPr>
              <w:pStyle w:val="TableParagraph"/>
              <w:rPr>
                <w:rFonts w:ascii="Calibri Light"/>
                <w:b w:val="0"/>
                <w:sz w:val="24"/>
              </w:rPr>
            </w:pPr>
          </w:p>
          <w:p>
            <w:pPr>
              <w:pStyle w:val="TableParagraph"/>
              <w:rPr>
                <w:rFonts w:ascii="Calibri Light"/>
                <w:b w:val="0"/>
                <w:sz w:val="24"/>
              </w:rPr>
            </w:pPr>
          </w:p>
          <w:p>
            <w:pPr>
              <w:pStyle w:val="TableParagraph"/>
              <w:spacing w:before="169"/>
              <w:ind w:left="801" w:right="777"/>
              <w:jc w:val="center"/>
              <w:rPr>
                <w:sz w:val="24"/>
              </w:rPr>
            </w:pPr>
            <w:r>
              <w:rPr>
                <w:sz w:val="24"/>
              </w:rPr>
              <w:t>CSC</w:t>
            </w:r>
          </w:p>
        </w:tc>
      </w:tr>
      <w:tr>
        <w:trPr>
          <w:trHeight w:val="870" w:hRule="atLeast"/>
        </w:trPr>
        <w:tc>
          <w:tcPr>
            <w:tcW w:w="5372" w:type="dxa"/>
            <w:vMerge/>
            <w:tcBorders>
              <w:top w:val="nil"/>
              <w:left w:val="single" w:sz="8" w:space="0" w:color="000000"/>
              <w:bottom w:val="single" w:sz="8" w:space="0" w:color="000000"/>
            </w:tcBorders>
          </w:tcPr>
          <w:p>
            <w:pPr>
              <w:rPr>
                <w:sz w:val="2"/>
                <w:szCs w:val="2"/>
              </w:rPr>
            </w:pPr>
          </w:p>
        </w:tc>
        <w:tc>
          <w:tcPr>
            <w:tcW w:w="5601" w:type="dxa"/>
            <w:tcBorders>
              <w:top w:val="nil"/>
              <w:bottom w:val="single" w:sz="8" w:space="0" w:color="000000"/>
              <w:right w:val="nil"/>
            </w:tcBorders>
          </w:tcPr>
          <w:p>
            <w:pPr>
              <w:pStyle w:val="TableParagraph"/>
              <w:spacing w:line="254" w:lineRule="exact"/>
              <w:ind w:right="42"/>
              <w:jc w:val="center"/>
              <w:rPr>
                <w:sz w:val="24"/>
              </w:rPr>
            </w:pPr>
            <w:r>
              <w:rPr>
                <w:sz w:val="24"/>
              </w:rPr>
              <w:t>número de atividades demandadas</w:t>
            </w:r>
          </w:p>
        </w:tc>
        <w:tc>
          <w:tcPr>
            <w:tcW w:w="706" w:type="dxa"/>
            <w:vMerge/>
            <w:tcBorders>
              <w:top w:val="nil"/>
              <w:left w:val="nil"/>
              <w:bottom w:val="single" w:sz="8" w:space="0" w:color="000000"/>
            </w:tcBorders>
          </w:tcPr>
          <w:p>
            <w:pPr>
              <w:rPr>
                <w:sz w:val="2"/>
                <w:szCs w:val="2"/>
              </w:rPr>
            </w:pPr>
          </w:p>
        </w:tc>
        <w:tc>
          <w:tcPr>
            <w:tcW w:w="1788" w:type="dxa"/>
            <w:vMerge/>
            <w:tcBorders>
              <w:top w:val="nil"/>
              <w:bottom w:val="single" w:sz="8" w:space="0" w:color="000000"/>
            </w:tcBorders>
          </w:tcPr>
          <w:p>
            <w:pPr>
              <w:rPr>
                <w:sz w:val="2"/>
                <w:szCs w:val="2"/>
              </w:rPr>
            </w:pPr>
          </w:p>
        </w:tc>
        <w:tc>
          <w:tcPr>
            <w:tcW w:w="2001" w:type="dxa"/>
            <w:vMerge/>
            <w:tcBorders>
              <w:top w:val="nil"/>
              <w:bottom w:val="single" w:sz="8" w:space="0" w:color="000000"/>
              <w:right w:val="single" w:sz="8" w:space="0" w:color="000000"/>
            </w:tcBorders>
          </w:tcPr>
          <w:p>
            <w:pPr>
              <w:rPr>
                <w:sz w:val="2"/>
                <w:szCs w:val="2"/>
              </w:rPr>
            </w:pPr>
          </w:p>
        </w:tc>
      </w:tr>
    </w:tbl>
    <w:p>
      <w:pPr>
        <w:spacing w:after="0"/>
        <w:rPr>
          <w:sz w:val="2"/>
          <w:szCs w:val="2"/>
        </w:rPr>
        <w:sectPr>
          <w:pgSz w:w="16840" w:h="11910" w:orient="landscape"/>
          <w:pgMar w:header="590" w:footer="618" w:top="1980" w:bottom="800" w:left="440" w:right="540"/>
        </w:sectPr>
      </w:pPr>
    </w:p>
    <w:p>
      <w:pPr>
        <w:pStyle w:val="BodyText"/>
        <w:rPr>
          <w:rFonts w:ascii="Calibri Light"/>
          <w:b w:val="0"/>
          <w:sz w:val="20"/>
        </w:rPr>
      </w:pPr>
      <w:r>
        <w:rPr/>
        <w:drawing>
          <wp:anchor distT="0" distB="0" distL="0" distR="0" allowOverlap="1" layoutInCell="1" locked="0" behindDoc="0" simplePos="0" relativeHeight="15736832">
            <wp:simplePos x="0" y="0"/>
            <wp:positionH relativeFrom="page">
              <wp:posOffset>0</wp:posOffset>
            </wp:positionH>
            <wp:positionV relativeFrom="page">
              <wp:posOffset>374395</wp:posOffset>
            </wp:positionV>
            <wp:extent cx="7558403" cy="561593"/>
            <wp:effectExtent l="0" t="0" r="0" b="0"/>
            <wp:wrapNone/>
            <wp:docPr id="59" name="image1.jpeg"/>
            <wp:cNvGraphicFramePr>
              <a:graphicFrameLocks noChangeAspect="1"/>
            </wp:cNvGraphicFramePr>
            <a:graphic>
              <a:graphicData uri="http://schemas.openxmlformats.org/drawingml/2006/picture">
                <pic:pic>
                  <pic:nvPicPr>
                    <pic:cNvPr id="60"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0"/>
        </w:rPr>
      </w:pPr>
    </w:p>
    <w:p>
      <w:pPr>
        <w:spacing w:line="259" w:lineRule="auto" w:before="11"/>
        <w:ind w:left="3785" w:right="1619" w:hanging="1595"/>
        <w:jc w:val="left"/>
        <w:rPr>
          <w:rFonts w:ascii="Calibri Light" w:hAnsi="Calibri Light"/>
          <w:b w:val="0"/>
          <w:sz w:val="44"/>
        </w:rPr>
      </w:pPr>
      <w:r>
        <w:rPr>
          <w:rFonts w:ascii="Calibri Light" w:hAnsi="Calibri Light"/>
          <w:b w:val="0"/>
          <w:color w:val="006666"/>
          <w:sz w:val="44"/>
        </w:rPr>
        <w:t>ANEXO III – CAU/UF – Posição de Arquitetos e Urbanistas, Empresas e RRT</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3"/>
        </w:rPr>
      </w:pPr>
      <w:r>
        <w:rPr/>
        <w:pict>
          <v:group style="position:absolute;margin-left:97.699997pt;margin-top:16.391407pt;width:431.25pt;height:5.05pt;mso-position-horizontal-relative:page;mso-position-vertical-relative:paragraph;z-index:-15720960;mso-wrap-distance-left:0;mso-wrap-distance-right:0" coordorigin="1954,328" coordsize="8625,101">
            <v:shape style="position:absolute;left:1961;top:335;width:8610;height:86" coordorigin="1961,335" coordsize="8610,86" path="m6266,335l1961,378,6266,421,10571,378,6266,335xe" filled="true" fillcolor="#bebebe" stroked="false">
              <v:path arrowok="t"/>
              <v:fill type="solid"/>
            </v:shape>
            <v:shape style="position:absolute;left:1961;top:335;width:8610;height:86" coordorigin="1961,335" coordsize="8610,86" path="m1961,378l6266,335,10571,378,6266,421,1961,378xe" filled="false" stroked="true" strokeweight=".75pt" strokecolor="#bebebe">
              <v:path arrowok="t"/>
              <v:stroke dashstyle="solid"/>
            </v:shape>
            <w10:wrap type="topAndBottom"/>
          </v:group>
        </w:pict>
      </w:r>
    </w:p>
    <w:p>
      <w:pPr>
        <w:spacing w:after="0"/>
        <w:rPr>
          <w:rFonts w:ascii="Calibri Light"/>
          <w:sz w:val="23"/>
        </w:rPr>
        <w:sectPr>
          <w:headerReference w:type="default" r:id="rId53"/>
          <w:footerReference w:type="default" r:id="rId54"/>
          <w:pgSz w:w="11910" w:h="16840"/>
          <w:pgMar w:header="0" w:footer="446" w:top="580" w:bottom="640" w:left="0" w:right="0"/>
        </w:sectPr>
      </w:pPr>
    </w:p>
    <w:p>
      <w:pPr>
        <w:pStyle w:val="BodyText"/>
        <w:rPr>
          <w:rFonts w:ascii="Calibri Light"/>
          <w:sz w:val="20"/>
        </w:rPr>
      </w:pPr>
      <w:r>
        <w:rPr>
          <w:rFonts w:ascii="Calibri Light"/>
          <w:sz w:val="20"/>
        </w:rPr>
        <w:drawing>
          <wp:inline distT="0" distB="0" distL="0" distR="0">
            <wp:extent cx="7153186" cy="558069"/>
            <wp:effectExtent l="0" t="0" r="0" b="0"/>
            <wp:docPr id="61" name="image16.jpeg"/>
            <wp:cNvGraphicFramePr>
              <a:graphicFrameLocks noChangeAspect="1"/>
            </wp:cNvGraphicFramePr>
            <a:graphic>
              <a:graphicData uri="http://schemas.openxmlformats.org/drawingml/2006/picture">
                <pic:pic>
                  <pic:nvPicPr>
                    <pic:cNvPr id="62" name="image16.jpeg"/>
                    <pic:cNvPicPr/>
                  </pic:nvPicPr>
                  <pic:blipFill>
                    <a:blip r:embed="rId57" cstate="print"/>
                    <a:stretch>
                      <a:fillRect/>
                    </a:stretch>
                  </pic:blipFill>
                  <pic:spPr>
                    <a:xfrm>
                      <a:off x="0" y="0"/>
                      <a:ext cx="7153186" cy="558069"/>
                    </a:xfrm>
                    <a:prstGeom prst="rect">
                      <a:avLst/>
                    </a:prstGeom>
                  </pic:spPr>
                </pic:pic>
              </a:graphicData>
            </a:graphic>
          </wp:inline>
        </w:drawing>
      </w:r>
      <w:r>
        <w:rPr>
          <w:rFonts w:ascii="Calibri Light"/>
          <w:sz w:val="20"/>
        </w:rPr>
      </w:r>
    </w:p>
    <w:p>
      <w:pPr>
        <w:pStyle w:val="BodyText"/>
        <w:spacing w:before="8"/>
        <w:rPr>
          <w:rFonts w:ascii="Calibri Light"/>
          <w:b w:val="0"/>
          <w:sz w:val="14"/>
        </w:rPr>
      </w:pPr>
    </w:p>
    <w:p>
      <w:pPr>
        <w:spacing w:before="57"/>
        <w:ind w:left="566" w:right="0" w:firstLine="0"/>
        <w:jc w:val="left"/>
        <w:rPr>
          <w:rFonts w:ascii="Calibri Light" w:hAnsi="Calibri Light"/>
          <w:b w:val="0"/>
          <w:sz w:val="22"/>
        </w:rPr>
      </w:pPr>
      <w:r>
        <w:rPr/>
        <w:drawing>
          <wp:anchor distT="0" distB="0" distL="0" distR="0" allowOverlap="1" layoutInCell="1" locked="0" behindDoc="0" simplePos="0" relativeHeight="17">
            <wp:simplePos x="0" y="0"/>
            <wp:positionH relativeFrom="page">
              <wp:posOffset>363806</wp:posOffset>
            </wp:positionH>
            <wp:positionV relativeFrom="paragraph">
              <wp:posOffset>226326</wp:posOffset>
            </wp:positionV>
            <wp:extent cx="9931900" cy="5524500"/>
            <wp:effectExtent l="0" t="0" r="0" b="0"/>
            <wp:wrapTopAndBottom/>
            <wp:docPr id="63" name="image17.jpeg"/>
            <wp:cNvGraphicFramePr>
              <a:graphicFrameLocks noChangeAspect="1"/>
            </wp:cNvGraphicFramePr>
            <a:graphic>
              <a:graphicData uri="http://schemas.openxmlformats.org/drawingml/2006/picture">
                <pic:pic>
                  <pic:nvPicPr>
                    <pic:cNvPr id="64" name="image17.jpeg"/>
                    <pic:cNvPicPr/>
                  </pic:nvPicPr>
                  <pic:blipFill>
                    <a:blip r:embed="rId58" cstate="print"/>
                    <a:stretch>
                      <a:fillRect/>
                    </a:stretch>
                  </pic:blipFill>
                  <pic:spPr>
                    <a:xfrm>
                      <a:off x="0" y="0"/>
                      <a:ext cx="9931900" cy="5524500"/>
                    </a:xfrm>
                    <a:prstGeom prst="rect">
                      <a:avLst/>
                    </a:prstGeom>
                  </pic:spPr>
                </pic:pic>
              </a:graphicData>
            </a:graphic>
          </wp:anchor>
        </w:drawing>
      </w:r>
      <w:r>
        <w:rPr/>
        <w:pict>
          <v:group style="position:absolute;margin-left:192.645004pt;margin-top:472.202637pt;width:431.25pt;height:5.05pt;mso-position-horizontal-relative:page;mso-position-vertical-relative:paragraph;z-index:-15719424;mso-wrap-distance-left:0;mso-wrap-distance-right:0" coordorigin="3853,9444" coordsize="8625,101">
            <v:shape style="position:absolute;left:3860;top:9451;width:8610;height:86" coordorigin="3860,9452" coordsize="8610,86" path="m8165,9452l3860,9495,8165,9538,12470,9495,8165,9452xe" filled="true" fillcolor="#bebebe" stroked="false">
              <v:path arrowok="t"/>
              <v:fill type="solid"/>
            </v:shape>
            <v:shape style="position:absolute;left:3860;top:9451;width:8610;height:86" coordorigin="3860,9452" coordsize="8610,86" path="m3860,9495l8165,9452,12470,9495,8165,9538,3860,9495xe" filled="false" stroked="true" strokeweight=".75pt" strokecolor="#bebebe">
              <v:path arrowok="t"/>
              <v:stroke dashstyle="solid"/>
            </v:shape>
            <w10:wrap type="topAndBottom"/>
          </v:group>
        </w:pict>
      </w:r>
      <w:bookmarkStart w:name="_bookmark38" w:id="60"/>
      <w:bookmarkEnd w:id="60"/>
      <w:r>
        <w:rPr/>
      </w:r>
      <w:r>
        <w:rPr>
          <w:rFonts w:ascii="Calibri Light" w:hAnsi="Calibri Light"/>
          <w:b w:val="0"/>
          <w:sz w:val="22"/>
        </w:rPr>
        <w:t>ANEXO III – CAU/UF – Posição de arquitetos e urbanistas, empresas e RRT</w:t>
      </w:r>
    </w:p>
    <w:p>
      <w:pPr>
        <w:pStyle w:val="BodyText"/>
        <w:spacing w:before="1"/>
        <w:rPr>
          <w:rFonts w:ascii="Calibri Light"/>
          <w:b w:val="0"/>
          <w:sz w:val="26"/>
        </w:rPr>
      </w:pPr>
    </w:p>
    <w:p>
      <w:pPr>
        <w:spacing w:after="0"/>
        <w:rPr>
          <w:rFonts w:ascii="Calibri Light"/>
          <w:sz w:val="26"/>
        </w:rPr>
        <w:sectPr>
          <w:headerReference w:type="default" r:id="rId55"/>
          <w:footerReference w:type="default" r:id="rId56"/>
          <w:pgSz w:w="16840" w:h="11910" w:orient="landscape"/>
          <w:pgMar w:header="0" w:footer="446" w:top="580" w:bottom="640" w:left="0" w:right="500"/>
        </w:sectPr>
      </w:pPr>
    </w:p>
    <w:p>
      <w:pPr>
        <w:pStyle w:val="BodyText"/>
        <w:rPr>
          <w:rFonts w:ascii="Calibri Light"/>
          <w:b w:val="0"/>
          <w:sz w:val="20"/>
        </w:rPr>
      </w:pPr>
      <w:r>
        <w:rPr/>
        <w:drawing>
          <wp:anchor distT="0" distB="0" distL="0" distR="0" allowOverlap="1" layoutInCell="1" locked="0" behindDoc="0" simplePos="0" relativeHeight="15738880">
            <wp:simplePos x="0" y="0"/>
            <wp:positionH relativeFrom="page">
              <wp:posOffset>0</wp:posOffset>
            </wp:positionH>
            <wp:positionV relativeFrom="page">
              <wp:posOffset>374395</wp:posOffset>
            </wp:positionV>
            <wp:extent cx="7558403" cy="561593"/>
            <wp:effectExtent l="0" t="0" r="0" b="0"/>
            <wp:wrapNone/>
            <wp:docPr id="65" name="image1.jpeg"/>
            <wp:cNvGraphicFramePr>
              <a:graphicFrameLocks noChangeAspect="1"/>
            </wp:cNvGraphicFramePr>
            <a:graphic>
              <a:graphicData uri="http://schemas.openxmlformats.org/drawingml/2006/picture">
                <pic:pic>
                  <pic:nvPicPr>
                    <pic:cNvPr id="66"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8"/>
        <w:rPr>
          <w:rFonts w:ascii="Calibri Light"/>
          <w:b w:val="0"/>
          <w:sz w:val="28"/>
        </w:rPr>
      </w:pPr>
    </w:p>
    <w:p>
      <w:pPr>
        <w:pStyle w:val="Heading1"/>
        <w:spacing w:line="259" w:lineRule="auto"/>
        <w:ind w:left="2978" w:right="1273" w:hanging="1133"/>
        <w:jc w:val="left"/>
        <w:rPr>
          <w:b w:val="0"/>
        </w:rPr>
      </w:pPr>
      <w:r>
        <w:rPr>
          <w:b w:val="0"/>
          <w:color w:val="006666"/>
        </w:rPr>
        <w:t>Anexo IV – Projeção da Quantidade de Pagantes x Receita Total do CAU- Exercício 2021</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15"/>
        </w:rPr>
      </w:pPr>
      <w:r>
        <w:rPr/>
        <w:pict>
          <v:group style="position:absolute;margin-left:97.699997pt;margin-top:11.508594pt;width:431.25pt;height:5.05pt;mso-position-horizontal-relative:page;mso-position-vertical-relative:paragraph;z-index:-15718912;mso-wrap-distance-left:0;mso-wrap-distance-right:0" coordorigin="1954,230" coordsize="8625,101">
            <v:shape style="position:absolute;left:1961;top:237;width:8610;height:86" coordorigin="1961,238" coordsize="8610,86" path="m6266,238l1961,281,6266,324,10571,281,6266,238xe" filled="true" fillcolor="#bebebe" stroked="false">
              <v:path arrowok="t"/>
              <v:fill type="solid"/>
            </v:shape>
            <v:shape style="position:absolute;left:1961;top:237;width:8610;height:86" coordorigin="1961,238" coordsize="8610,86" path="m1961,281l6266,238,10571,281,6266,324,1961,281xe" filled="false" stroked="true" strokeweight=".75pt" strokecolor="#bebebe">
              <v:path arrowok="t"/>
              <v:stroke dashstyle="solid"/>
            </v:shape>
            <w10:wrap type="topAndBottom"/>
          </v:group>
        </w:pict>
      </w:r>
    </w:p>
    <w:p>
      <w:pPr>
        <w:spacing w:after="0"/>
        <w:rPr>
          <w:rFonts w:ascii="Calibri Light"/>
          <w:sz w:val="15"/>
        </w:rPr>
        <w:sectPr>
          <w:headerReference w:type="default" r:id="rId59"/>
          <w:footerReference w:type="default" r:id="rId60"/>
          <w:pgSz w:w="11910" w:h="16840"/>
          <w:pgMar w:header="0" w:footer="446" w:top="580" w:bottom="640" w:left="0" w:right="0"/>
        </w:sectPr>
      </w:pPr>
    </w:p>
    <w:p>
      <w:pPr>
        <w:pStyle w:val="BodyText"/>
        <w:rPr>
          <w:rFonts w:ascii="Calibri Light"/>
          <w:sz w:val="20"/>
        </w:rPr>
      </w:pPr>
      <w:r>
        <w:rPr>
          <w:rFonts w:ascii="Calibri Light"/>
          <w:sz w:val="20"/>
        </w:rPr>
        <w:drawing>
          <wp:inline distT="0" distB="0" distL="0" distR="0">
            <wp:extent cx="7153186" cy="558069"/>
            <wp:effectExtent l="0" t="0" r="0" b="0"/>
            <wp:docPr id="67" name="image16.jpeg"/>
            <wp:cNvGraphicFramePr>
              <a:graphicFrameLocks noChangeAspect="1"/>
            </wp:cNvGraphicFramePr>
            <a:graphic>
              <a:graphicData uri="http://schemas.openxmlformats.org/drawingml/2006/picture">
                <pic:pic>
                  <pic:nvPicPr>
                    <pic:cNvPr id="68" name="image16.jpeg"/>
                    <pic:cNvPicPr/>
                  </pic:nvPicPr>
                  <pic:blipFill>
                    <a:blip r:embed="rId57" cstate="print"/>
                    <a:stretch>
                      <a:fillRect/>
                    </a:stretch>
                  </pic:blipFill>
                  <pic:spPr>
                    <a:xfrm>
                      <a:off x="0" y="0"/>
                      <a:ext cx="7153186" cy="558069"/>
                    </a:xfrm>
                    <a:prstGeom prst="rect">
                      <a:avLst/>
                    </a:prstGeom>
                  </pic:spPr>
                </pic:pic>
              </a:graphicData>
            </a:graphic>
          </wp:inline>
        </w:drawing>
      </w:r>
      <w:r>
        <w:rPr>
          <w:rFonts w:ascii="Calibri Light"/>
          <w:sz w:val="20"/>
        </w:rPr>
      </w:r>
    </w:p>
    <w:p>
      <w:pPr>
        <w:pStyle w:val="BodyText"/>
        <w:spacing w:before="1"/>
        <w:rPr>
          <w:rFonts w:ascii="Calibri Light"/>
          <w:b w:val="0"/>
          <w:sz w:val="15"/>
        </w:rPr>
      </w:pPr>
    </w:p>
    <w:p>
      <w:pPr>
        <w:spacing w:before="52"/>
        <w:ind w:left="566" w:right="0" w:firstLine="0"/>
        <w:jc w:val="left"/>
        <w:rPr>
          <w:rFonts w:ascii="Calibri Light" w:hAnsi="Calibri Light"/>
          <w:b w:val="0"/>
          <w:sz w:val="24"/>
        </w:rPr>
      </w:pPr>
      <w:r>
        <w:rPr/>
        <w:drawing>
          <wp:anchor distT="0" distB="0" distL="0" distR="0" allowOverlap="1" layoutInCell="1" locked="0" behindDoc="0" simplePos="0" relativeHeight="21">
            <wp:simplePos x="0" y="0"/>
            <wp:positionH relativeFrom="page">
              <wp:posOffset>364114</wp:posOffset>
            </wp:positionH>
            <wp:positionV relativeFrom="paragraph">
              <wp:posOffset>237151</wp:posOffset>
            </wp:positionV>
            <wp:extent cx="9870494" cy="5483542"/>
            <wp:effectExtent l="0" t="0" r="0" b="0"/>
            <wp:wrapTopAndBottom/>
            <wp:docPr id="69" name="image18.jpeg"/>
            <wp:cNvGraphicFramePr>
              <a:graphicFrameLocks noChangeAspect="1"/>
            </wp:cNvGraphicFramePr>
            <a:graphic>
              <a:graphicData uri="http://schemas.openxmlformats.org/drawingml/2006/picture">
                <pic:pic>
                  <pic:nvPicPr>
                    <pic:cNvPr id="70" name="image18.jpeg"/>
                    <pic:cNvPicPr/>
                  </pic:nvPicPr>
                  <pic:blipFill>
                    <a:blip r:embed="rId63" cstate="print"/>
                    <a:stretch>
                      <a:fillRect/>
                    </a:stretch>
                  </pic:blipFill>
                  <pic:spPr>
                    <a:xfrm>
                      <a:off x="0" y="0"/>
                      <a:ext cx="9870494" cy="5483542"/>
                    </a:xfrm>
                    <a:prstGeom prst="rect">
                      <a:avLst/>
                    </a:prstGeom>
                  </pic:spPr>
                </pic:pic>
              </a:graphicData>
            </a:graphic>
          </wp:anchor>
        </w:drawing>
      </w:r>
      <w:r>
        <w:rPr/>
        <w:pict>
          <v:group style="position:absolute;margin-left:192.645004pt;margin-top:471.944794pt;width:431.25pt;height:5.05pt;mso-position-horizontal-relative:page;mso-position-vertical-relative:paragraph;z-index:-15717376;mso-wrap-distance-left:0;mso-wrap-distance-right:0" coordorigin="3853,9439" coordsize="8625,101">
            <v:shape style="position:absolute;left:3860;top:9446;width:8610;height:86" coordorigin="3860,9446" coordsize="8610,86" path="m8165,9446l3860,9489,8165,9532,12470,9489,8165,9446xe" filled="true" fillcolor="#bebebe" stroked="false">
              <v:path arrowok="t"/>
              <v:fill type="solid"/>
            </v:shape>
            <v:shape style="position:absolute;left:3860;top:9446;width:8610;height:86" coordorigin="3860,9446" coordsize="8610,86" path="m3860,9489l8165,9446,12470,9489,8165,9532,3860,9489xe" filled="false" stroked="true" strokeweight=".75pt" strokecolor="#bebebe">
              <v:path arrowok="t"/>
              <v:stroke dashstyle="solid"/>
            </v:shape>
            <w10:wrap type="topAndBottom"/>
          </v:group>
        </w:pict>
      </w:r>
      <w:bookmarkStart w:name="_bookmark39" w:id="61"/>
      <w:bookmarkEnd w:id="61"/>
      <w:r>
        <w:rPr/>
      </w:r>
      <w:r>
        <w:rPr>
          <w:rFonts w:ascii="Calibri Light" w:hAnsi="Calibri Light"/>
          <w:b w:val="0"/>
          <w:sz w:val="22"/>
        </w:rPr>
        <w:t>ANEXO IV – Projeção da Quantidade de Pagantes x Receita Total do CAU - </w:t>
      </w:r>
      <w:r>
        <w:rPr>
          <w:rFonts w:ascii="Calibri Light" w:hAnsi="Calibri Light"/>
          <w:b w:val="0"/>
          <w:sz w:val="24"/>
        </w:rPr>
        <w:t>Exercício 2021 (100%)</w:t>
      </w:r>
    </w:p>
    <w:p>
      <w:pPr>
        <w:pStyle w:val="BodyText"/>
        <w:spacing w:before="7"/>
        <w:rPr>
          <w:rFonts w:ascii="Calibri Light"/>
          <w:b w:val="0"/>
          <w:sz w:val="29"/>
        </w:rPr>
      </w:pPr>
    </w:p>
    <w:p>
      <w:pPr>
        <w:spacing w:after="0"/>
        <w:rPr>
          <w:rFonts w:ascii="Calibri Light"/>
          <w:sz w:val="29"/>
        </w:rPr>
        <w:sectPr>
          <w:headerReference w:type="default" r:id="rId61"/>
          <w:footerReference w:type="default" r:id="rId62"/>
          <w:pgSz w:w="16840" w:h="11910" w:orient="landscape"/>
          <w:pgMar w:header="0" w:footer="446" w:top="580" w:bottom="640" w:left="0" w:right="480"/>
        </w:sectPr>
      </w:pPr>
    </w:p>
    <w:p>
      <w:pPr>
        <w:pStyle w:val="BodyText"/>
        <w:rPr>
          <w:rFonts w:ascii="Calibri Light"/>
          <w:b w:val="0"/>
          <w:sz w:val="20"/>
        </w:rPr>
      </w:pPr>
      <w:r>
        <w:rPr/>
        <w:drawing>
          <wp:anchor distT="0" distB="0" distL="0" distR="0" allowOverlap="1" layoutInCell="1" locked="0" behindDoc="0" simplePos="0" relativeHeight="15740928">
            <wp:simplePos x="0" y="0"/>
            <wp:positionH relativeFrom="page">
              <wp:posOffset>0</wp:posOffset>
            </wp:positionH>
            <wp:positionV relativeFrom="page">
              <wp:posOffset>374395</wp:posOffset>
            </wp:positionV>
            <wp:extent cx="7558403" cy="561593"/>
            <wp:effectExtent l="0" t="0" r="0" b="0"/>
            <wp:wrapNone/>
            <wp:docPr id="71" name="image1.jpeg"/>
            <wp:cNvGraphicFramePr>
              <a:graphicFrameLocks noChangeAspect="1"/>
            </wp:cNvGraphicFramePr>
            <a:graphic>
              <a:graphicData uri="http://schemas.openxmlformats.org/drawingml/2006/picture">
                <pic:pic>
                  <pic:nvPicPr>
                    <pic:cNvPr id="72"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5"/>
        <w:rPr>
          <w:rFonts w:ascii="Calibri Light"/>
          <w:b w:val="0"/>
          <w:sz w:val="25"/>
        </w:rPr>
      </w:pPr>
    </w:p>
    <w:p>
      <w:pPr>
        <w:pStyle w:val="Heading1"/>
        <w:ind w:left="1513" w:right="944"/>
        <w:jc w:val="center"/>
        <w:rPr>
          <w:b w:val="0"/>
        </w:rPr>
      </w:pPr>
      <w:r>
        <w:rPr>
          <w:b w:val="0"/>
          <w:color w:val="006666"/>
        </w:rPr>
        <w:t>ANEXO V – Projeção da Receita dos CAU/UF –</w:t>
      </w:r>
    </w:p>
    <w:p>
      <w:pPr>
        <w:spacing w:before="44"/>
        <w:ind w:left="1513" w:right="945" w:firstLine="0"/>
        <w:jc w:val="center"/>
        <w:rPr>
          <w:rFonts w:ascii="Calibri Light" w:hAnsi="Calibri Light"/>
          <w:b w:val="0"/>
          <w:sz w:val="44"/>
        </w:rPr>
      </w:pPr>
      <w:r>
        <w:rPr>
          <w:rFonts w:ascii="Calibri Light" w:hAnsi="Calibri Light"/>
          <w:b w:val="0"/>
          <w:color w:val="006666"/>
          <w:sz w:val="44"/>
        </w:rPr>
        <w:t>Exercício 2021</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3"/>
        <w:rPr>
          <w:rFonts w:ascii="Calibri Light"/>
          <w:b w:val="0"/>
          <w:sz w:val="22"/>
        </w:rPr>
      </w:pPr>
      <w:r>
        <w:rPr/>
        <w:pict>
          <v:group style="position:absolute;margin-left:97.699997pt;margin-top:15.586523pt;width:431.25pt;height:5.05pt;mso-position-horizontal-relative:page;mso-position-vertical-relative:paragraph;z-index:-15716864;mso-wrap-distance-left:0;mso-wrap-distance-right:0" coordorigin="1954,312" coordsize="8625,101">
            <v:shape style="position:absolute;left:1961;top:319;width:8610;height:86" coordorigin="1961,319" coordsize="8610,86" path="m6266,319l1961,362,6266,405,10571,362,6266,319xe" filled="true" fillcolor="#bebebe" stroked="false">
              <v:path arrowok="t"/>
              <v:fill type="solid"/>
            </v:shape>
            <v:shape style="position:absolute;left:1961;top:319;width:8610;height:86" coordorigin="1961,319" coordsize="8610,86" path="m1961,362l6266,319,10571,362,6266,405,1961,362xe" filled="false" stroked="true" strokeweight=".75pt" strokecolor="#bebebe">
              <v:path arrowok="t"/>
              <v:stroke dashstyle="solid"/>
            </v:shape>
            <w10:wrap type="topAndBottom"/>
          </v:group>
        </w:pict>
      </w:r>
    </w:p>
    <w:p>
      <w:pPr>
        <w:spacing w:after="0"/>
        <w:rPr>
          <w:rFonts w:ascii="Calibri Light"/>
          <w:sz w:val="22"/>
        </w:rPr>
        <w:sectPr>
          <w:headerReference w:type="default" r:id="rId64"/>
          <w:footerReference w:type="default" r:id="rId65"/>
          <w:pgSz w:w="11910" w:h="16840"/>
          <w:pgMar w:header="0" w:footer="446" w:top="580" w:bottom="640" w:left="0" w:right="0"/>
        </w:sectPr>
      </w:pPr>
    </w:p>
    <w:p>
      <w:pPr>
        <w:pStyle w:val="BodyText"/>
        <w:rPr>
          <w:rFonts w:ascii="Calibri Light"/>
          <w:sz w:val="20"/>
        </w:rPr>
      </w:pPr>
      <w:r>
        <w:rPr>
          <w:rFonts w:ascii="Calibri Light"/>
          <w:sz w:val="20"/>
        </w:rPr>
        <w:drawing>
          <wp:inline distT="0" distB="0" distL="0" distR="0">
            <wp:extent cx="7332395" cy="558069"/>
            <wp:effectExtent l="0" t="0" r="0" b="0"/>
            <wp:docPr id="73" name="image19.jpeg"/>
            <wp:cNvGraphicFramePr>
              <a:graphicFrameLocks noChangeAspect="1"/>
            </wp:cNvGraphicFramePr>
            <a:graphic>
              <a:graphicData uri="http://schemas.openxmlformats.org/drawingml/2006/picture">
                <pic:pic>
                  <pic:nvPicPr>
                    <pic:cNvPr id="74" name="image19.jpeg"/>
                    <pic:cNvPicPr/>
                  </pic:nvPicPr>
                  <pic:blipFill>
                    <a:blip r:embed="rId68" cstate="print"/>
                    <a:stretch>
                      <a:fillRect/>
                    </a:stretch>
                  </pic:blipFill>
                  <pic:spPr>
                    <a:xfrm>
                      <a:off x="0" y="0"/>
                      <a:ext cx="7332395" cy="558069"/>
                    </a:xfrm>
                    <a:prstGeom prst="rect">
                      <a:avLst/>
                    </a:prstGeom>
                  </pic:spPr>
                </pic:pic>
              </a:graphicData>
            </a:graphic>
          </wp:inline>
        </w:drawing>
      </w:r>
      <w:r>
        <w:rPr>
          <w:rFonts w:ascii="Calibri Light"/>
          <w:sz w:val="20"/>
        </w:rPr>
      </w:r>
    </w:p>
    <w:p>
      <w:pPr>
        <w:pStyle w:val="BodyText"/>
        <w:spacing w:before="8"/>
        <w:rPr>
          <w:rFonts w:ascii="Calibri Light"/>
          <w:b w:val="0"/>
          <w:sz w:val="14"/>
        </w:rPr>
      </w:pPr>
    </w:p>
    <w:p>
      <w:pPr>
        <w:spacing w:before="57"/>
        <w:ind w:left="566" w:right="0" w:firstLine="0"/>
        <w:jc w:val="left"/>
        <w:rPr>
          <w:rFonts w:ascii="Calibri Light" w:hAnsi="Calibri Light"/>
          <w:b w:val="0"/>
          <w:sz w:val="22"/>
        </w:rPr>
      </w:pPr>
      <w:r>
        <w:rPr/>
        <w:drawing>
          <wp:anchor distT="0" distB="0" distL="0" distR="0" allowOverlap="1" layoutInCell="1" locked="0" behindDoc="0" simplePos="0" relativeHeight="25">
            <wp:simplePos x="0" y="0"/>
            <wp:positionH relativeFrom="page">
              <wp:posOffset>360045</wp:posOffset>
            </wp:positionH>
            <wp:positionV relativeFrom="paragraph">
              <wp:posOffset>224168</wp:posOffset>
            </wp:positionV>
            <wp:extent cx="9939321" cy="5458968"/>
            <wp:effectExtent l="0" t="0" r="0" b="0"/>
            <wp:wrapTopAndBottom/>
            <wp:docPr id="75" name="image20.jpeg"/>
            <wp:cNvGraphicFramePr>
              <a:graphicFrameLocks noChangeAspect="1"/>
            </wp:cNvGraphicFramePr>
            <a:graphic>
              <a:graphicData uri="http://schemas.openxmlformats.org/drawingml/2006/picture">
                <pic:pic>
                  <pic:nvPicPr>
                    <pic:cNvPr id="76" name="image20.jpeg"/>
                    <pic:cNvPicPr/>
                  </pic:nvPicPr>
                  <pic:blipFill>
                    <a:blip r:embed="rId69" cstate="print"/>
                    <a:stretch>
                      <a:fillRect/>
                    </a:stretch>
                  </pic:blipFill>
                  <pic:spPr>
                    <a:xfrm>
                      <a:off x="0" y="0"/>
                      <a:ext cx="9939321" cy="5458968"/>
                    </a:xfrm>
                    <a:prstGeom prst="rect">
                      <a:avLst/>
                    </a:prstGeom>
                  </pic:spPr>
                </pic:pic>
              </a:graphicData>
            </a:graphic>
          </wp:anchor>
        </w:drawing>
      </w:r>
      <w:bookmarkStart w:name="_bookmark40" w:id="62"/>
      <w:bookmarkEnd w:id="62"/>
      <w:r>
        <w:rPr/>
      </w:r>
      <w:r>
        <w:rPr>
          <w:rFonts w:ascii="Calibri Light" w:hAnsi="Calibri Light"/>
          <w:b w:val="0"/>
          <w:sz w:val="22"/>
        </w:rPr>
        <w:t>ANEXO V – Projeção da Receita dos CAU/UF – Exercício 2021 (80%)</w:t>
      </w:r>
    </w:p>
    <w:p>
      <w:pPr>
        <w:pStyle w:val="BodyText"/>
        <w:rPr>
          <w:rFonts w:ascii="Calibri Light"/>
          <w:b w:val="0"/>
          <w:sz w:val="20"/>
        </w:rPr>
      </w:pPr>
    </w:p>
    <w:p>
      <w:pPr>
        <w:pStyle w:val="BodyText"/>
        <w:spacing w:before="10"/>
        <w:rPr>
          <w:rFonts w:ascii="Calibri Light"/>
          <w:b w:val="0"/>
          <w:sz w:val="14"/>
        </w:rPr>
      </w:pPr>
      <w:r>
        <w:rPr/>
        <w:pict>
          <v:group style="position:absolute;margin-left:199.755005pt;margin-top:11.054514pt;width:431.25pt;height:5.05pt;mso-position-horizontal-relative:page;mso-position-vertical-relative:paragraph;z-index:-15715328;mso-wrap-distance-left:0;mso-wrap-distance-right:0" coordorigin="3995,221" coordsize="8625,101">
            <v:shape style="position:absolute;left:4002;top:228;width:8610;height:86" coordorigin="4003,229" coordsize="8610,86" path="m8308,229l4003,272,8308,315,12613,272,8308,229xe" filled="true" fillcolor="#bebebe" stroked="false">
              <v:path arrowok="t"/>
              <v:fill type="solid"/>
            </v:shape>
            <v:shape style="position:absolute;left:4002;top:228;width:8610;height:86" coordorigin="4003,229" coordsize="8610,86" path="m4003,272l8308,229,12613,272,8308,315,4003,272xe" filled="false" stroked="true" strokeweight=".75pt" strokecolor="#bebebe">
              <v:path arrowok="t"/>
              <v:stroke dashstyle="solid"/>
            </v:shape>
            <w10:wrap type="topAndBottom"/>
          </v:group>
        </w:pict>
      </w:r>
    </w:p>
    <w:p>
      <w:pPr>
        <w:spacing w:after="0"/>
        <w:rPr>
          <w:rFonts w:ascii="Calibri Light"/>
          <w:sz w:val="14"/>
        </w:rPr>
        <w:sectPr>
          <w:headerReference w:type="default" r:id="rId66"/>
          <w:footerReference w:type="default" r:id="rId67"/>
          <w:pgSz w:w="16840" w:h="11910" w:orient="landscape"/>
          <w:pgMar w:header="0" w:footer="446" w:top="580" w:bottom="640" w:left="0" w:right="420"/>
        </w:sectPr>
      </w:pPr>
    </w:p>
    <w:p>
      <w:pPr>
        <w:pStyle w:val="BodyText"/>
        <w:rPr>
          <w:rFonts w:ascii="Calibri Light"/>
          <w:b w:val="0"/>
          <w:sz w:val="20"/>
        </w:rPr>
      </w:pPr>
      <w:r>
        <w:rPr/>
        <w:drawing>
          <wp:anchor distT="0" distB="0" distL="0" distR="0" allowOverlap="1" layoutInCell="1" locked="0" behindDoc="0" simplePos="0" relativeHeight="15742976">
            <wp:simplePos x="0" y="0"/>
            <wp:positionH relativeFrom="page">
              <wp:posOffset>0</wp:posOffset>
            </wp:positionH>
            <wp:positionV relativeFrom="page">
              <wp:posOffset>374395</wp:posOffset>
            </wp:positionV>
            <wp:extent cx="7558403" cy="561593"/>
            <wp:effectExtent l="0" t="0" r="0" b="0"/>
            <wp:wrapNone/>
            <wp:docPr id="77" name="image1.jpeg"/>
            <wp:cNvGraphicFramePr>
              <a:graphicFrameLocks noChangeAspect="1"/>
            </wp:cNvGraphicFramePr>
            <a:graphic>
              <a:graphicData uri="http://schemas.openxmlformats.org/drawingml/2006/picture">
                <pic:pic>
                  <pic:nvPicPr>
                    <pic:cNvPr id="78" name="image1.jpeg"/>
                    <pic:cNvPicPr/>
                  </pic:nvPicPr>
                  <pic:blipFill>
                    <a:blip r:embed="rId5" cstate="print"/>
                    <a:stretch>
                      <a:fillRect/>
                    </a:stretch>
                  </pic:blipFill>
                  <pic:spPr>
                    <a:xfrm>
                      <a:off x="0" y="0"/>
                      <a:ext cx="7558403" cy="561593"/>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6"/>
        <w:rPr>
          <w:rFonts w:ascii="Calibri Light"/>
          <w:b w:val="0"/>
          <w:sz w:val="22"/>
        </w:rPr>
      </w:pPr>
    </w:p>
    <w:p>
      <w:pPr>
        <w:pStyle w:val="Heading1"/>
        <w:ind w:left="1702" w:right="0"/>
        <w:rPr>
          <w:b w:val="0"/>
        </w:rPr>
      </w:pPr>
      <w:r>
        <w:rPr>
          <w:b w:val="0"/>
          <w:color w:val="006666"/>
        </w:rPr>
        <w:t>ANEXO VI – Fundo de Apoio Financeiro aos CAU/UF</w:t>
      </w:r>
    </w:p>
    <w:p>
      <w:pPr>
        <w:spacing w:line="259" w:lineRule="auto" w:before="42"/>
        <w:ind w:left="1702" w:right="1131" w:firstLine="0"/>
        <w:jc w:val="both"/>
        <w:rPr>
          <w:rFonts w:ascii="Calibri Light" w:hAnsi="Calibri Light"/>
          <w:b w:val="0"/>
          <w:sz w:val="44"/>
        </w:rPr>
      </w:pPr>
      <w:r>
        <w:rPr>
          <w:rFonts w:ascii="Calibri Light" w:hAnsi="Calibri Light"/>
          <w:b w:val="0"/>
          <w:color w:val="006666"/>
          <w:sz w:val="44"/>
        </w:rPr>
        <w:t>– Exercício 2021 – Destinação dos Recursos por CAU/Básico</w:t>
      </w:r>
    </w:p>
    <w:p>
      <w:pPr>
        <w:pStyle w:val="BodyText"/>
        <w:spacing w:before="1"/>
        <w:rPr>
          <w:rFonts w:ascii="Calibri Light"/>
          <w:b w:val="0"/>
          <w:sz w:val="49"/>
        </w:rPr>
      </w:pPr>
    </w:p>
    <w:p>
      <w:pPr>
        <w:pStyle w:val="Heading1"/>
        <w:spacing w:line="259" w:lineRule="auto" w:before="0"/>
        <w:ind w:left="1702" w:right="1127"/>
        <w:rPr>
          <w:b w:val="0"/>
        </w:rPr>
      </w:pPr>
      <w:r>
        <w:rPr>
          <w:b w:val="0"/>
          <w:color w:val="006666"/>
        </w:rPr>
        <w:t>ANEXO VI.I – Fundo de Apoio Financeiro aos CAU/UF</w:t>
      </w:r>
      <w:r>
        <w:rPr>
          <w:b w:val="0"/>
          <w:color w:val="006666"/>
          <w:spacing w:val="-18"/>
        </w:rPr>
        <w:t> </w:t>
      </w:r>
      <w:r>
        <w:rPr>
          <w:b w:val="0"/>
          <w:color w:val="006666"/>
        </w:rPr>
        <w:t>–</w:t>
      </w:r>
      <w:r>
        <w:rPr>
          <w:b w:val="0"/>
          <w:color w:val="006666"/>
          <w:spacing w:val="-19"/>
        </w:rPr>
        <w:t> </w:t>
      </w:r>
      <w:r>
        <w:rPr>
          <w:b w:val="0"/>
          <w:color w:val="006666"/>
        </w:rPr>
        <w:t>Exercício</w:t>
      </w:r>
      <w:r>
        <w:rPr>
          <w:b w:val="0"/>
          <w:color w:val="006666"/>
          <w:spacing w:val="-21"/>
        </w:rPr>
        <w:t> </w:t>
      </w:r>
      <w:r>
        <w:rPr>
          <w:b w:val="0"/>
          <w:color w:val="006666"/>
        </w:rPr>
        <w:t>2021</w:t>
      </w:r>
      <w:r>
        <w:rPr>
          <w:b w:val="0"/>
          <w:color w:val="006666"/>
          <w:spacing w:val="-21"/>
        </w:rPr>
        <w:t> </w:t>
      </w:r>
      <w:r>
        <w:rPr>
          <w:b w:val="0"/>
          <w:color w:val="006666"/>
        </w:rPr>
        <w:t>–</w:t>
      </w:r>
      <w:r>
        <w:rPr>
          <w:b w:val="0"/>
          <w:color w:val="006666"/>
          <w:spacing w:val="-20"/>
        </w:rPr>
        <w:t> </w:t>
      </w:r>
      <w:r>
        <w:rPr>
          <w:b w:val="0"/>
          <w:color w:val="006666"/>
        </w:rPr>
        <w:t>Participação</w:t>
      </w:r>
      <w:r>
        <w:rPr>
          <w:b w:val="0"/>
          <w:color w:val="006666"/>
          <w:spacing w:val="-20"/>
        </w:rPr>
        <w:t> </w:t>
      </w:r>
      <w:r>
        <w:rPr>
          <w:b w:val="0"/>
          <w:color w:val="006666"/>
        </w:rPr>
        <w:t>dos</w:t>
      </w:r>
      <w:r>
        <w:rPr>
          <w:b w:val="0"/>
          <w:color w:val="006666"/>
          <w:spacing w:val="-20"/>
        </w:rPr>
        <w:t> </w:t>
      </w:r>
      <w:r>
        <w:rPr>
          <w:b w:val="0"/>
          <w:color w:val="006666"/>
        </w:rPr>
        <w:t>CAU/UF e</w:t>
      </w:r>
      <w:r>
        <w:rPr>
          <w:b w:val="0"/>
          <w:color w:val="006666"/>
          <w:spacing w:val="-1"/>
        </w:rPr>
        <w:t> </w:t>
      </w:r>
      <w:r>
        <w:rPr>
          <w:b w:val="0"/>
          <w:color w:val="006666"/>
        </w:rPr>
        <w:t>CAU/BR</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8"/>
        <w:rPr>
          <w:rFonts w:ascii="Calibri Light"/>
          <w:b w:val="0"/>
          <w:sz w:val="22"/>
        </w:rPr>
      </w:pPr>
      <w:r>
        <w:rPr/>
        <w:pict>
          <v:group style="position:absolute;margin-left:97.699997pt;margin-top:15.830664pt;width:431.25pt;height:5.05pt;mso-position-horizontal-relative:page;mso-position-vertical-relative:paragraph;z-index:-15714816;mso-wrap-distance-left:0;mso-wrap-distance-right:0" coordorigin="1954,317" coordsize="8625,101">
            <v:shape style="position:absolute;left:1961;top:324;width:8610;height:86" coordorigin="1961,324" coordsize="8610,86" path="m6266,324l1961,367,6266,410,10571,367,6266,324xe" filled="true" fillcolor="#bebebe" stroked="false">
              <v:path arrowok="t"/>
              <v:fill type="solid"/>
            </v:shape>
            <v:shape style="position:absolute;left:1961;top:324;width:8610;height:86" coordorigin="1961,324" coordsize="8610,86" path="m1961,367l6266,324,10571,367,6266,410,1961,367xe" filled="false" stroked="true" strokeweight=".75pt" strokecolor="#bebebe">
              <v:path arrowok="t"/>
              <v:stroke dashstyle="solid"/>
            </v:shape>
            <w10:wrap type="topAndBottom"/>
          </v:group>
        </w:pict>
      </w:r>
    </w:p>
    <w:p>
      <w:pPr>
        <w:spacing w:after="0"/>
        <w:rPr>
          <w:rFonts w:ascii="Calibri Light"/>
          <w:sz w:val="22"/>
        </w:rPr>
        <w:sectPr>
          <w:headerReference w:type="default" r:id="rId70"/>
          <w:footerReference w:type="default" r:id="rId71"/>
          <w:pgSz w:w="11910" w:h="16840"/>
          <w:pgMar w:header="0" w:footer="446" w:top="580" w:bottom="640" w:left="0" w:right="0"/>
        </w:sectPr>
      </w:pPr>
    </w:p>
    <w:p>
      <w:pPr>
        <w:pStyle w:val="BodyText"/>
        <w:rPr>
          <w:rFonts w:ascii="Calibri Light"/>
          <w:sz w:val="20"/>
        </w:rPr>
      </w:pPr>
      <w:r>
        <w:rPr>
          <w:rFonts w:ascii="Calibri Light"/>
          <w:sz w:val="20"/>
        </w:rPr>
        <w:drawing>
          <wp:inline distT="0" distB="0" distL="0" distR="0">
            <wp:extent cx="7153186" cy="558069"/>
            <wp:effectExtent l="0" t="0" r="0" b="0"/>
            <wp:docPr id="79" name="image16.jpeg"/>
            <wp:cNvGraphicFramePr>
              <a:graphicFrameLocks noChangeAspect="1"/>
            </wp:cNvGraphicFramePr>
            <a:graphic>
              <a:graphicData uri="http://schemas.openxmlformats.org/drawingml/2006/picture">
                <pic:pic>
                  <pic:nvPicPr>
                    <pic:cNvPr id="80" name="image16.jpeg"/>
                    <pic:cNvPicPr/>
                  </pic:nvPicPr>
                  <pic:blipFill>
                    <a:blip r:embed="rId57" cstate="print"/>
                    <a:stretch>
                      <a:fillRect/>
                    </a:stretch>
                  </pic:blipFill>
                  <pic:spPr>
                    <a:xfrm>
                      <a:off x="0" y="0"/>
                      <a:ext cx="7153186" cy="558069"/>
                    </a:xfrm>
                    <a:prstGeom prst="rect">
                      <a:avLst/>
                    </a:prstGeom>
                  </pic:spPr>
                </pic:pic>
              </a:graphicData>
            </a:graphic>
          </wp:inline>
        </w:drawing>
      </w:r>
      <w:r>
        <w:rPr>
          <w:rFonts w:ascii="Calibri Light"/>
          <w:sz w:val="20"/>
        </w:rPr>
      </w:r>
    </w:p>
    <w:p>
      <w:pPr>
        <w:pStyle w:val="BodyText"/>
        <w:spacing w:before="8"/>
        <w:rPr>
          <w:rFonts w:ascii="Calibri Light"/>
          <w:b w:val="0"/>
          <w:sz w:val="14"/>
        </w:rPr>
      </w:pPr>
    </w:p>
    <w:p>
      <w:pPr>
        <w:spacing w:before="57"/>
        <w:ind w:left="566" w:right="0" w:firstLine="0"/>
        <w:jc w:val="left"/>
        <w:rPr>
          <w:rFonts w:ascii="Calibri Light" w:hAnsi="Calibri Light"/>
          <w:b w:val="0"/>
          <w:sz w:val="22"/>
        </w:rPr>
      </w:pPr>
      <w:r>
        <w:rPr/>
        <w:drawing>
          <wp:anchor distT="0" distB="0" distL="0" distR="0" allowOverlap="1" layoutInCell="1" locked="0" behindDoc="0" simplePos="0" relativeHeight="29">
            <wp:simplePos x="0" y="0"/>
            <wp:positionH relativeFrom="page">
              <wp:posOffset>366795</wp:posOffset>
            </wp:positionH>
            <wp:positionV relativeFrom="paragraph">
              <wp:posOffset>227257</wp:posOffset>
            </wp:positionV>
            <wp:extent cx="9815133" cy="4501514"/>
            <wp:effectExtent l="0" t="0" r="0" b="0"/>
            <wp:wrapTopAndBottom/>
            <wp:docPr id="81" name="image21.jpeg"/>
            <wp:cNvGraphicFramePr>
              <a:graphicFrameLocks noChangeAspect="1"/>
            </wp:cNvGraphicFramePr>
            <a:graphic>
              <a:graphicData uri="http://schemas.openxmlformats.org/drawingml/2006/picture">
                <pic:pic>
                  <pic:nvPicPr>
                    <pic:cNvPr id="82" name="image21.jpeg"/>
                    <pic:cNvPicPr/>
                  </pic:nvPicPr>
                  <pic:blipFill>
                    <a:blip r:embed="rId74" cstate="print"/>
                    <a:stretch>
                      <a:fillRect/>
                    </a:stretch>
                  </pic:blipFill>
                  <pic:spPr>
                    <a:xfrm>
                      <a:off x="0" y="0"/>
                      <a:ext cx="9815133" cy="4501514"/>
                    </a:xfrm>
                    <a:prstGeom prst="rect">
                      <a:avLst/>
                    </a:prstGeom>
                  </pic:spPr>
                </pic:pic>
              </a:graphicData>
            </a:graphic>
          </wp:anchor>
        </w:drawing>
      </w:r>
      <w:bookmarkStart w:name="_bookmark41" w:id="63"/>
      <w:bookmarkEnd w:id="63"/>
      <w:r>
        <w:rPr/>
      </w:r>
      <w:r>
        <w:rPr>
          <w:rFonts w:ascii="Calibri Light" w:hAnsi="Calibri Light"/>
          <w:b w:val="0"/>
          <w:sz w:val="22"/>
        </w:rPr>
        <w:t>ANEXO VI – Fundo de Apoio Financeiro aos CAU/UF – Exercício 2021 – Destinação dos Recursos por CAU/Básico (Repasse)</w:t>
      </w:r>
    </w:p>
    <w:p>
      <w:pPr>
        <w:spacing w:before="164"/>
        <w:ind w:left="566" w:right="2187" w:firstLine="0"/>
        <w:jc w:val="left"/>
        <w:rPr>
          <w:sz w:val="16"/>
        </w:rPr>
      </w:pPr>
      <w:r>
        <w:rPr>
          <w:sz w:val="16"/>
        </w:rPr>
        <w:t>¹ Está incluso o valor por UF do CSC essencial e do Serviço Telefônico de Teleatendimento 0800 e 4007, em conformidade com a Res. 126, 2°, § 1°, inciso III, alínea “b”, alterada pela Res. 183/19). ²Participação nas Plenárias Ampliadas - custo da participação do Presidente do CAU Básico nas Plenárias Ampliadas (4 eventos de 1 dia cada). Foram mantidos os valores e quantidades de 2020.</w:t>
      </w:r>
    </w:p>
    <w:p>
      <w:pPr>
        <w:spacing w:line="194" w:lineRule="exact" w:before="0"/>
        <w:ind w:left="566" w:right="0" w:firstLine="0"/>
        <w:jc w:val="left"/>
        <w:rPr>
          <w:sz w:val="16"/>
        </w:rPr>
      </w:pPr>
      <w:r>
        <w:rPr>
          <w:sz w:val="16"/>
        </w:rPr>
        <w:t>³ O Saldo do Fundo de Apoio no valor de R$ 235,85 mil foi projetado pela Gerfin-CAU/BR, mantidos o 5% do total do fundo de apoio de 2021, conforme a proposta nº 03/2019 – CGFA.</w:t>
      </w:r>
    </w:p>
    <w:p>
      <w:pPr>
        <w:spacing w:before="1"/>
        <w:ind w:left="566" w:right="373" w:firstLine="0"/>
        <w:jc w:val="left"/>
        <w:rPr>
          <w:sz w:val="16"/>
        </w:rPr>
      </w:pPr>
      <w:r>
        <w:rPr>
          <w:sz w:val="16"/>
          <w:vertAlign w:val="superscript"/>
        </w:rPr>
        <w:t>4</w:t>
      </w:r>
      <w:r>
        <w:rPr>
          <w:sz w:val="16"/>
          <w:vertAlign w:val="baseline"/>
        </w:rPr>
        <w:t>Gestão do Fundo de Apoio (10%): percentual aplicado sobre o repasse total excluindo o custeio das atividades de gestão do próprio Fundo (participação das Plenárias Ampliadas)m conforme Resolução n° 119, art. 7°, inciso II, de 19 de agosto de 2016.</w:t>
      </w:r>
    </w:p>
    <w:p>
      <w:pPr>
        <w:pStyle w:val="BodyText"/>
        <w:rPr>
          <w:sz w:val="20"/>
        </w:rPr>
      </w:pPr>
    </w:p>
    <w:p>
      <w:pPr>
        <w:pStyle w:val="BodyText"/>
        <w:rPr>
          <w:sz w:val="20"/>
        </w:rPr>
      </w:pPr>
    </w:p>
    <w:p>
      <w:pPr>
        <w:pStyle w:val="BodyText"/>
        <w:spacing w:before="7"/>
      </w:pPr>
      <w:r>
        <w:rPr/>
        <w:pict>
          <v:group style="position:absolute;margin-left:214.675003pt;margin-top:16.987389pt;width:431.25pt;height:5.05pt;mso-position-horizontal-relative:page;mso-position-vertical-relative:paragraph;z-index:-15713280;mso-wrap-distance-left:0;mso-wrap-distance-right:0" coordorigin="4294,340" coordsize="8625,101">
            <v:shape style="position:absolute;left:4301;top:347;width:8610;height:86" coordorigin="4301,347" coordsize="8610,86" path="m8606,347l4301,390,8606,433,12911,390,8606,347xe" filled="true" fillcolor="#bebebe" stroked="false">
              <v:path arrowok="t"/>
              <v:fill type="solid"/>
            </v:shape>
            <v:shape style="position:absolute;left:4301;top:347;width:8610;height:86" coordorigin="4301,347" coordsize="8610,86" path="m4301,390l8606,347,12911,390,8606,433,4301,390xe" filled="false" stroked="true" strokeweight=".75pt" strokecolor="#bebebe">
              <v:path arrowok="t"/>
              <v:stroke dashstyle="solid"/>
            </v:shape>
            <w10:wrap type="topAndBottom"/>
          </v:group>
        </w:pict>
      </w:r>
    </w:p>
    <w:p>
      <w:pPr>
        <w:spacing w:after="0"/>
        <w:sectPr>
          <w:headerReference w:type="default" r:id="rId72"/>
          <w:footerReference w:type="default" r:id="rId73"/>
          <w:pgSz w:w="16840" w:h="11910" w:orient="landscape"/>
          <w:pgMar w:header="0" w:footer="446" w:top="580" w:bottom="640" w:left="0" w:right="680"/>
        </w:sectPr>
      </w:pPr>
    </w:p>
    <w:p>
      <w:pPr>
        <w:spacing w:before="87"/>
        <w:ind w:left="293" w:right="0" w:firstLine="0"/>
        <w:jc w:val="left"/>
        <w:rPr>
          <w:rFonts w:ascii="Calibri Light" w:hAnsi="Calibri Light"/>
          <w:b w:val="0"/>
          <w:sz w:val="22"/>
        </w:rPr>
      </w:pPr>
      <w:bookmarkStart w:name="_bookmark42" w:id="64"/>
      <w:bookmarkEnd w:id="64"/>
      <w:r>
        <w:rPr/>
      </w:r>
      <w:r>
        <w:rPr>
          <w:rFonts w:ascii="Calibri Light" w:hAnsi="Calibri Light"/>
          <w:b w:val="0"/>
          <w:sz w:val="22"/>
        </w:rPr>
        <w:t>ANEXO VI.I – Fundo de Apoio Financeiro aos CAU/UF – Exercício 2021 – Participação dos CAU/UF e CAU/BR</w:t>
      </w:r>
    </w:p>
    <w:p>
      <w:pPr>
        <w:spacing w:before="19"/>
        <w:ind w:left="0" w:right="170" w:firstLine="0"/>
        <w:jc w:val="right"/>
        <w:rPr>
          <w:rFonts w:ascii="Calibri Light"/>
          <w:b w:val="0"/>
          <w:sz w:val="22"/>
        </w:rPr>
      </w:pPr>
      <w:r>
        <w:rPr/>
        <w:drawing>
          <wp:anchor distT="0" distB="0" distL="0" distR="0" allowOverlap="1" layoutInCell="1" locked="0" behindDoc="0" simplePos="0" relativeHeight="31">
            <wp:simplePos x="0" y="0"/>
            <wp:positionH relativeFrom="page">
              <wp:posOffset>728895</wp:posOffset>
            </wp:positionH>
            <wp:positionV relativeFrom="paragraph">
              <wp:posOffset>205448</wp:posOffset>
            </wp:positionV>
            <wp:extent cx="6072588" cy="6914007"/>
            <wp:effectExtent l="0" t="0" r="0" b="0"/>
            <wp:wrapTopAndBottom/>
            <wp:docPr id="85" name="image22.png"/>
            <wp:cNvGraphicFramePr>
              <a:graphicFrameLocks noChangeAspect="1"/>
            </wp:cNvGraphicFramePr>
            <a:graphic>
              <a:graphicData uri="http://schemas.openxmlformats.org/drawingml/2006/picture">
                <pic:pic>
                  <pic:nvPicPr>
                    <pic:cNvPr id="86" name="image22.png"/>
                    <pic:cNvPicPr/>
                  </pic:nvPicPr>
                  <pic:blipFill>
                    <a:blip r:embed="rId77" cstate="print"/>
                    <a:stretch>
                      <a:fillRect/>
                    </a:stretch>
                  </pic:blipFill>
                  <pic:spPr>
                    <a:xfrm>
                      <a:off x="0" y="0"/>
                      <a:ext cx="6072588" cy="6914007"/>
                    </a:xfrm>
                    <a:prstGeom prst="rect">
                      <a:avLst/>
                    </a:prstGeom>
                  </pic:spPr>
                </pic:pic>
              </a:graphicData>
            </a:graphic>
          </wp:anchor>
        </w:drawing>
      </w:r>
      <w:r>
        <w:rPr>
          <w:rFonts w:ascii="Calibri Light"/>
          <w:b w:val="0"/>
          <w:sz w:val="22"/>
        </w:rPr>
        <w:t>(Aporte)</w:t>
      </w:r>
    </w:p>
    <w:p>
      <w:pPr>
        <w:spacing w:after="0"/>
        <w:jc w:val="right"/>
        <w:rPr>
          <w:rFonts w:ascii="Calibri Light"/>
          <w:sz w:val="22"/>
        </w:rPr>
        <w:sectPr>
          <w:headerReference w:type="default" r:id="rId75"/>
          <w:footerReference w:type="default" r:id="rId76"/>
          <w:pgSz w:w="11910" w:h="16840"/>
          <w:pgMar w:header="590" w:footer="538" w:top="1640" w:bottom="720" w:left="1020" w:right="960"/>
          <w:pgNumType w:start="76"/>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Heading1"/>
        <w:spacing w:line="259" w:lineRule="auto" w:before="190"/>
        <w:ind w:right="170"/>
        <w:rPr>
          <w:b w:val="0"/>
        </w:rPr>
      </w:pPr>
      <w:r>
        <w:rPr>
          <w:b w:val="0"/>
          <w:color w:val="006666"/>
        </w:rPr>
        <w:t>ANEXO VII – Demonstrativo da Participação dos CAU/UF e do CAU/BR nas Despesas do Centro de Serviços Compartilhados (Serviços Totais)</w:t>
      </w:r>
    </w:p>
    <w:p>
      <w:pPr>
        <w:pStyle w:val="BodyText"/>
        <w:spacing w:before="1"/>
        <w:rPr>
          <w:rFonts w:ascii="Calibri Light"/>
          <w:b w:val="0"/>
          <w:sz w:val="49"/>
        </w:rPr>
      </w:pPr>
    </w:p>
    <w:p>
      <w:pPr>
        <w:spacing w:line="259" w:lineRule="auto" w:before="0"/>
        <w:ind w:left="113" w:right="174" w:firstLine="0"/>
        <w:jc w:val="both"/>
        <w:rPr>
          <w:rFonts w:ascii="Calibri Light" w:hAnsi="Calibri Light"/>
          <w:b w:val="0"/>
          <w:sz w:val="44"/>
        </w:rPr>
      </w:pPr>
      <w:r>
        <w:rPr>
          <w:rFonts w:ascii="Calibri Light" w:hAnsi="Calibri Light"/>
          <w:b w:val="0"/>
          <w:color w:val="006666"/>
          <w:sz w:val="44"/>
        </w:rPr>
        <w:t>ANEXO VII.I – Demonstrativo da Participação dos CAU/UF e do CAU/BR nas Despesas do Centro de Serviços Compartilhados (Serviço Telefônico de Teleatendimento 0800 e 4007)</w:t>
      </w:r>
    </w:p>
    <w:p>
      <w:pPr>
        <w:pStyle w:val="BodyText"/>
        <w:spacing w:before="10"/>
        <w:rPr>
          <w:rFonts w:ascii="Calibri Light"/>
          <w:b w:val="0"/>
          <w:sz w:val="48"/>
        </w:rPr>
      </w:pPr>
    </w:p>
    <w:p>
      <w:pPr>
        <w:pStyle w:val="Heading1"/>
        <w:spacing w:line="259" w:lineRule="auto" w:before="1"/>
        <w:rPr>
          <w:b w:val="0"/>
        </w:rPr>
      </w:pPr>
      <w:r>
        <w:rPr>
          <w:b w:val="0"/>
          <w:color w:val="006666"/>
        </w:rPr>
        <w:t>ANEXO VII.II – Demonstrativo da Participação dos CAU/UF e do CAU/BR nas Despesas do Centro de Serviços Compartilhados (Demais serviços essenciais)</w:t>
      </w:r>
    </w:p>
    <w:p>
      <w:pPr>
        <w:pStyle w:val="BodyText"/>
        <w:spacing w:before="11"/>
        <w:rPr>
          <w:rFonts w:ascii="Calibri Light"/>
          <w:b w:val="0"/>
          <w:sz w:val="38"/>
        </w:rPr>
      </w:pPr>
    </w:p>
    <w:p>
      <w:pPr>
        <w:spacing w:line="259" w:lineRule="auto" w:before="0"/>
        <w:ind w:left="113" w:right="178" w:firstLine="0"/>
        <w:jc w:val="both"/>
        <w:rPr>
          <w:rFonts w:ascii="Calibri Light" w:hAnsi="Calibri Light"/>
          <w:b w:val="0"/>
          <w:sz w:val="44"/>
        </w:rPr>
      </w:pPr>
      <w:r>
        <w:rPr>
          <w:rFonts w:ascii="Calibri Light" w:hAnsi="Calibri Light"/>
          <w:b w:val="0"/>
          <w:color w:val="006666"/>
          <w:sz w:val="44"/>
        </w:rPr>
        <w:t>ANEXO VII.III – Despesas do Centro de Serviços Compartilhados (Serviços por Adesão – SISCAF)</w:t>
      </w:r>
    </w:p>
    <w:p>
      <w:pPr>
        <w:spacing w:after="0" w:line="259" w:lineRule="auto"/>
        <w:jc w:val="both"/>
        <w:rPr>
          <w:rFonts w:ascii="Calibri Light" w:hAnsi="Calibri Light"/>
          <w:sz w:val="44"/>
        </w:rPr>
        <w:sectPr>
          <w:pgSz w:w="11910" w:h="16840"/>
          <w:pgMar w:header="590" w:footer="538" w:top="1640" w:bottom="720" w:left="1020" w:right="960"/>
        </w:sectPr>
      </w:pPr>
    </w:p>
    <w:p>
      <w:pPr>
        <w:spacing w:before="87"/>
        <w:ind w:left="0" w:right="179" w:firstLine="0"/>
        <w:jc w:val="right"/>
        <w:rPr>
          <w:rFonts w:ascii="Calibri Light" w:hAnsi="Calibri Light"/>
          <w:b w:val="0"/>
          <w:sz w:val="22"/>
        </w:rPr>
      </w:pPr>
      <w:bookmarkStart w:name="_bookmark43" w:id="65"/>
      <w:bookmarkEnd w:id="65"/>
      <w:r>
        <w:rPr/>
      </w:r>
      <w:r>
        <w:rPr>
          <w:rFonts w:ascii="Calibri Light" w:hAnsi="Calibri Light"/>
          <w:b w:val="0"/>
          <w:sz w:val="22"/>
        </w:rPr>
        <w:t>ANEXO VII – Demonstrativo da Participação dos CAU/UF e do CAU/BR nas Despesas do Centro de</w:t>
      </w:r>
      <w:r>
        <w:rPr>
          <w:rFonts w:ascii="Calibri Light" w:hAnsi="Calibri Light"/>
          <w:b w:val="0"/>
          <w:spacing w:val="-35"/>
          <w:sz w:val="22"/>
        </w:rPr>
        <w:t> </w:t>
      </w:r>
      <w:r>
        <w:rPr>
          <w:rFonts w:ascii="Calibri Light" w:hAnsi="Calibri Light"/>
          <w:b w:val="0"/>
          <w:sz w:val="22"/>
        </w:rPr>
        <w:t>Serviços</w:t>
      </w:r>
    </w:p>
    <w:p>
      <w:pPr>
        <w:spacing w:before="19"/>
        <w:ind w:left="0" w:right="169" w:firstLine="0"/>
        <w:jc w:val="right"/>
        <w:rPr>
          <w:rFonts w:ascii="Calibri Light" w:hAnsi="Calibri Light"/>
          <w:b w:val="0"/>
          <w:sz w:val="22"/>
        </w:rPr>
      </w:pPr>
      <w:r>
        <w:rPr/>
        <w:drawing>
          <wp:anchor distT="0" distB="0" distL="0" distR="0" allowOverlap="1" layoutInCell="1" locked="0" behindDoc="0" simplePos="0" relativeHeight="32">
            <wp:simplePos x="0" y="0"/>
            <wp:positionH relativeFrom="page">
              <wp:posOffset>729653</wp:posOffset>
            </wp:positionH>
            <wp:positionV relativeFrom="paragraph">
              <wp:posOffset>203641</wp:posOffset>
            </wp:positionV>
            <wp:extent cx="6061198" cy="7766780"/>
            <wp:effectExtent l="0" t="0" r="0" b="0"/>
            <wp:wrapTopAndBottom/>
            <wp:docPr id="87" name="image23.png"/>
            <wp:cNvGraphicFramePr>
              <a:graphicFrameLocks noChangeAspect="1"/>
            </wp:cNvGraphicFramePr>
            <a:graphic>
              <a:graphicData uri="http://schemas.openxmlformats.org/drawingml/2006/picture">
                <pic:pic>
                  <pic:nvPicPr>
                    <pic:cNvPr id="88" name="image23.png"/>
                    <pic:cNvPicPr/>
                  </pic:nvPicPr>
                  <pic:blipFill>
                    <a:blip r:embed="rId78" cstate="print"/>
                    <a:stretch>
                      <a:fillRect/>
                    </a:stretch>
                  </pic:blipFill>
                  <pic:spPr>
                    <a:xfrm>
                      <a:off x="0" y="0"/>
                      <a:ext cx="6061198" cy="7766780"/>
                    </a:xfrm>
                    <a:prstGeom prst="rect">
                      <a:avLst/>
                    </a:prstGeom>
                  </pic:spPr>
                </pic:pic>
              </a:graphicData>
            </a:graphic>
          </wp:anchor>
        </w:drawing>
      </w:r>
      <w:r>
        <w:rPr>
          <w:rFonts w:ascii="Calibri Light" w:hAnsi="Calibri Light"/>
          <w:b w:val="0"/>
          <w:sz w:val="22"/>
        </w:rPr>
        <w:t>Compartilhados (Serviços</w:t>
      </w:r>
      <w:r>
        <w:rPr>
          <w:rFonts w:ascii="Calibri Light" w:hAnsi="Calibri Light"/>
          <w:b w:val="0"/>
          <w:spacing w:val="-13"/>
          <w:sz w:val="22"/>
        </w:rPr>
        <w:t> </w:t>
      </w:r>
      <w:r>
        <w:rPr>
          <w:rFonts w:ascii="Calibri Light" w:hAnsi="Calibri Light"/>
          <w:b w:val="0"/>
          <w:sz w:val="22"/>
        </w:rPr>
        <w:t>Totais)</w:t>
      </w:r>
    </w:p>
    <w:p>
      <w:pPr>
        <w:pStyle w:val="BodyText"/>
        <w:spacing w:before="4"/>
        <w:rPr>
          <w:rFonts w:ascii="Calibri Light"/>
          <w:b w:val="0"/>
          <w:sz w:val="20"/>
        </w:rPr>
      </w:pPr>
    </w:p>
    <w:p>
      <w:pPr>
        <w:spacing w:line="259" w:lineRule="auto" w:before="0"/>
        <w:ind w:left="113" w:right="176" w:firstLine="0"/>
        <w:jc w:val="both"/>
        <w:rPr>
          <w:sz w:val="20"/>
        </w:rPr>
      </w:pPr>
      <w:r>
        <w:rPr>
          <w:sz w:val="20"/>
          <w:vertAlign w:val="superscript"/>
        </w:rPr>
        <w:t>1</w:t>
      </w:r>
      <w:r>
        <w:rPr>
          <w:sz w:val="20"/>
          <w:vertAlign w:val="baseline"/>
        </w:rPr>
        <w:t>Está incluso o valor por UF do CSC essencial (CSC = R$ 15,933 milhões) e do Serviço Telefônico de Teleatendimento 0800</w:t>
      </w:r>
      <w:r>
        <w:rPr>
          <w:spacing w:val="-8"/>
          <w:sz w:val="20"/>
          <w:vertAlign w:val="baseline"/>
        </w:rPr>
        <w:t> </w:t>
      </w:r>
      <w:r>
        <w:rPr>
          <w:sz w:val="20"/>
          <w:vertAlign w:val="baseline"/>
        </w:rPr>
        <w:t>e</w:t>
      </w:r>
      <w:r>
        <w:rPr>
          <w:spacing w:val="-7"/>
          <w:sz w:val="20"/>
          <w:vertAlign w:val="baseline"/>
        </w:rPr>
        <w:t> </w:t>
      </w:r>
      <w:r>
        <w:rPr>
          <w:sz w:val="20"/>
          <w:vertAlign w:val="baseline"/>
        </w:rPr>
        <w:t>4007</w:t>
      </w:r>
      <w:r>
        <w:rPr>
          <w:spacing w:val="-6"/>
          <w:sz w:val="20"/>
          <w:vertAlign w:val="baseline"/>
        </w:rPr>
        <w:t> </w:t>
      </w:r>
      <w:r>
        <w:rPr>
          <w:sz w:val="20"/>
          <w:vertAlign w:val="baseline"/>
        </w:rPr>
        <w:t>(R$</w:t>
      </w:r>
      <w:r>
        <w:rPr>
          <w:spacing w:val="-6"/>
          <w:sz w:val="20"/>
          <w:vertAlign w:val="baseline"/>
        </w:rPr>
        <w:t> </w:t>
      </w:r>
      <w:r>
        <w:rPr>
          <w:sz w:val="20"/>
          <w:vertAlign w:val="baseline"/>
        </w:rPr>
        <w:t>60,964</w:t>
      </w:r>
      <w:r>
        <w:rPr>
          <w:spacing w:val="-6"/>
          <w:sz w:val="20"/>
          <w:vertAlign w:val="baseline"/>
        </w:rPr>
        <w:t> </w:t>
      </w:r>
      <w:r>
        <w:rPr>
          <w:sz w:val="20"/>
          <w:vertAlign w:val="baseline"/>
        </w:rPr>
        <w:t>mil),</w:t>
      </w:r>
      <w:r>
        <w:rPr>
          <w:spacing w:val="-7"/>
          <w:sz w:val="20"/>
          <w:vertAlign w:val="baseline"/>
        </w:rPr>
        <w:t> </w:t>
      </w:r>
      <w:r>
        <w:rPr>
          <w:sz w:val="20"/>
          <w:vertAlign w:val="baseline"/>
        </w:rPr>
        <w:t>em</w:t>
      </w:r>
      <w:r>
        <w:rPr>
          <w:spacing w:val="-7"/>
          <w:sz w:val="20"/>
          <w:vertAlign w:val="baseline"/>
        </w:rPr>
        <w:t> </w:t>
      </w:r>
      <w:r>
        <w:rPr>
          <w:sz w:val="20"/>
          <w:vertAlign w:val="baseline"/>
        </w:rPr>
        <w:t>conformidade</w:t>
      </w:r>
      <w:r>
        <w:rPr>
          <w:spacing w:val="-7"/>
          <w:sz w:val="20"/>
          <w:vertAlign w:val="baseline"/>
        </w:rPr>
        <w:t> </w:t>
      </w:r>
      <w:r>
        <w:rPr>
          <w:sz w:val="20"/>
          <w:vertAlign w:val="baseline"/>
        </w:rPr>
        <w:t>com</w:t>
      </w:r>
      <w:r>
        <w:rPr>
          <w:spacing w:val="-6"/>
          <w:sz w:val="20"/>
          <w:vertAlign w:val="baseline"/>
        </w:rPr>
        <w:t> </w:t>
      </w:r>
      <w:r>
        <w:rPr>
          <w:sz w:val="20"/>
          <w:vertAlign w:val="baseline"/>
        </w:rPr>
        <w:t>a</w:t>
      </w:r>
      <w:r>
        <w:rPr>
          <w:spacing w:val="-5"/>
          <w:sz w:val="20"/>
          <w:vertAlign w:val="baseline"/>
        </w:rPr>
        <w:t> </w:t>
      </w:r>
      <w:r>
        <w:rPr>
          <w:sz w:val="20"/>
          <w:vertAlign w:val="baseline"/>
        </w:rPr>
        <w:t>Res.</w:t>
      </w:r>
      <w:r>
        <w:rPr>
          <w:spacing w:val="-7"/>
          <w:sz w:val="20"/>
          <w:vertAlign w:val="baseline"/>
        </w:rPr>
        <w:t> </w:t>
      </w:r>
      <w:r>
        <w:rPr>
          <w:sz w:val="20"/>
          <w:vertAlign w:val="baseline"/>
        </w:rPr>
        <w:t>126,</w:t>
      </w:r>
      <w:r>
        <w:rPr>
          <w:spacing w:val="34"/>
          <w:sz w:val="20"/>
          <w:vertAlign w:val="baseline"/>
        </w:rPr>
        <w:t> </w:t>
      </w:r>
      <w:r>
        <w:rPr>
          <w:sz w:val="20"/>
          <w:vertAlign w:val="baseline"/>
        </w:rPr>
        <w:t>2°,</w:t>
      </w:r>
      <w:r>
        <w:rPr>
          <w:spacing w:val="-6"/>
          <w:sz w:val="20"/>
          <w:vertAlign w:val="baseline"/>
        </w:rPr>
        <w:t> </w:t>
      </w:r>
      <w:r>
        <w:rPr>
          <w:sz w:val="20"/>
          <w:vertAlign w:val="baseline"/>
        </w:rPr>
        <w:t>§</w:t>
      </w:r>
      <w:r>
        <w:rPr>
          <w:spacing w:val="-7"/>
          <w:sz w:val="20"/>
          <w:vertAlign w:val="baseline"/>
        </w:rPr>
        <w:t> </w:t>
      </w:r>
      <w:r>
        <w:rPr>
          <w:sz w:val="20"/>
          <w:vertAlign w:val="baseline"/>
        </w:rPr>
        <w:t>1°,</w:t>
      </w:r>
      <w:r>
        <w:rPr>
          <w:spacing w:val="-6"/>
          <w:sz w:val="20"/>
          <w:vertAlign w:val="baseline"/>
        </w:rPr>
        <w:t> </w:t>
      </w:r>
      <w:r>
        <w:rPr>
          <w:sz w:val="20"/>
          <w:vertAlign w:val="baseline"/>
        </w:rPr>
        <w:t>inciso</w:t>
      </w:r>
      <w:r>
        <w:rPr>
          <w:spacing w:val="-7"/>
          <w:sz w:val="20"/>
          <w:vertAlign w:val="baseline"/>
        </w:rPr>
        <w:t> </w:t>
      </w:r>
      <w:r>
        <w:rPr>
          <w:sz w:val="20"/>
          <w:vertAlign w:val="baseline"/>
        </w:rPr>
        <w:t>III,</w:t>
      </w:r>
      <w:r>
        <w:rPr>
          <w:spacing w:val="-5"/>
          <w:sz w:val="20"/>
          <w:vertAlign w:val="baseline"/>
        </w:rPr>
        <w:t> </w:t>
      </w:r>
      <w:r>
        <w:rPr>
          <w:sz w:val="20"/>
          <w:vertAlign w:val="baseline"/>
        </w:rPr>
        <w:t>alínea</w:t>
      </w:r>
      <w:r>
        <w:rPr>
          <w:spacing w:val="-5"/>
          <w:sz w:val="20"/>
          <w:vertAlign w:val="baseline"/>
        </w:rPr>
        <w:t> </w:t>
      </w:r>
      <w:r>
        <w:rPr>
          <w:sz w:val="20"/>
          <w:vertAlign w:val="baseline"/>
        </w:rPr>
        <w:t>“b”,</w:t>
      </w:r>
      <w:r>
        <w:rPr>
          <w:spacing w:val="-5"/>
          <w:sz w:val="20"/>
          <w:vertAlign w:val="baseline"/>
        </w:rPr>
        <w:t> </w:t>
      </w:r>
      <w:r>
        <w:rPr>
          <w:sz w:val="20"/>
          <w:vertAlign w:val="baseline"/>
        </w:rPr>
        <w:t>alterada</w:t>
      </w:r>
      <w:r>
        <w:rPr>
          <w:spacing w:val="-6"/>
          <w:sz w:val="20"/>
          <w:vertAlign w:val="baseline"/>
        </w:rPr>
        <w:t> </w:t>
      </w:r>
      <w:r>
        <w:rPr>
          <w:sz w:val="20"/>
          <w:vertAlign w:val="baseline"/>
        </w:rPr>
        <w:t>pela</w:t>
      </w:r>
      <w:r>
        <w:rPr>
          <w:spacing w:val="-5"/>
          <w:sz w:val="20"/>
          <w:vertAlign w:val="baseline"/>
        </w:rPr>
        <w:t> </w:t>
      </w:r>
      <w:r>
        <w:rPr>
          <w:sz w:val="20"/>
          <w:vertAlign w:val="baseline"/>
        </w:rPr>
        <w:t>Res.</w:t>
      </w:r>
      <w:r>
        <w:rPr>
          <w:spacing w:val="-6"/>
          <w:sz w:val="20"/>
          <w:vertAlign w:val="baseline"/>
        </w:rPr>
        <w:t> </w:t>
      </w:r>
      <w:r>
        <w:rPr>
          <w:sz w:val="20"/>
          <w:vertAlign w:val="baseline"/>
        </w:rPr>
        <w:t>183/19), totalizando R$ 15,994</w:t>
      </w:r>
      <w:r>
        <w:rPr>
          <w:spacing w:val="-2"/>
          <w:sz w:val="20"/>
          <w:vertAlign w:val="baseline"/>
        </w:rPr>
        <w:t> </w:t>
      </w:r>
      <w:r>
        <w:rPr>
          <w:sz w:val="20"/>
          <w:vertAlign w:val="baseline"/>
        </w:rPr>
        <w:t>milhões.</w:t>
      </w:r>
    </w:p>
    <w:p>
      <w:pPr>
        <w:spacing w:after="0" w:line="259" w:lineRule="auto"/>
        <w:jc w:val="both"/>
        <w:rPr>
          <w:sz w:val="20"/>
        </w:rPr>
        <w:sectPr>
          <w:pgSz w:w="11910" w:h="16840"/>
          <w:pgMar w:header="590" w:footer="538" w:top="1640" w:bottom="720" w:left="1020" w:right="960"/>
        </w:sectPr>
      </w:pPr>
    </w:p>
    <w:p>
      <w:pPr>
        <w:spacing w:before="46"/>
        <w:ind w:left="0" w:right="173" w:firstLine="0"/>
        <w:jc w:val="right"/>
        <w:rPr>
          <w:rFonts w:ascii="Calibri Light" w:hAnsi="Calibri Light"/>
          <w:b w:val="0"/>
          <w:sz w:val="22"/>
        </w:rPr>
      </w:pPr>
      <w:bookmarkStart w:name="_bookmark44" w:id="66"/>
      <w:bookmarkEnd w:id="66"/>
      <w:r>
        <w:rPr/>
      </w:r>
      <w:r>
        <w:rPr>
          <w:rFonts w:ascii="Calibri Light" w:hAnsi="Calibri Light"/>
          <w:b w:val="0"/>
          <w:sz w:val="22"/>
        </w:rPr>
        <w:t>ANEXO VII.I – Demonstrativo da Participação dos CAU/UF e do CAU/BR nas Despesas do Centro de</w:t>
      </w:r>
      <w:r>
        <w:rPr>
          <w:rFonts w:ascii="Calibri Light" w:hAnsi="Calibri Light"/>
          <w:b w:val="0"/>
          <w:spacing w:val="-30"/>
          <w:sz w:val="22"/>
        </w:rPr>
        <w:t> </w:t>
      </w:r>
      <w:r>
        <w:rPr>
          <w:rFonts w:ascii="Calibri Light" w:hAnsi="Calibri Light"/>
          <w:b w:val="0"/>
          <w:sz w:val="22"/>
        </w:rPr>
        <w:t>Serviços</w:t>
      </w:r>
    </w:p>
    <w:p>
      <w:pPr>
        <w:spacing w:before="19"/>
        <w:ind w:left="0" w:right="172" w:firstLine="0"/>
        <w:jc w:val="right"/>
        <w:rPr>
          <w:rFonts w:ascii="Calibri Light" w:hAnsi="Calibri Light"/>
          <w:b w:val="0"/>
          <w:sz w:val="22"/>
        </w:rPr>
      </w:pPr>
      <w:r>
        <w:rPr/>
        <w:drawing>
          <wp:anchor distT="0" distB="0" distL="0" distR="0" allowOverlap="1" layoutInCell="1" locked="0" behindDoc="0" simplePos="0" relativeHeight="33">
            <wp:simplePos x="0" y="0"/>
            <wp:positionH relativeFrom="page">
              <wp:posOffset>732257</wp:posOffset>
            </wp:positionH>
            <wp:positionV relativeFrom="paragraph">
              <wp:posOffset>205023</wp:posOffset>
            </wp:positionV>
            <wp:extent cx="6042123" cy="7966709"/>
            <wp:effectExtent l="0" t="0" r="0" b="0"/>
            <wp:wrapTopAndBottom/>
            <wp:docPr id="89" name="image24.png"/>
            <wp:cNvGraphicFramePr>
              <a:graphicFrameLocks noChangeAspect="1"/>
            </wp:cNvGraphicFramePr>
            <a:graphic>
              <a:graphicData uri="http://schemas.openxmlformats.org/drawingml/2006/picture">
                <pic:pic>
                  <pic:nvPicPr>
                    <pic:cNvPr id="90" name="image24.png"/>
                    <pic:cNvPicPr/>
                  </pic:nvPicPr>
                  <pic:blipFill>
                    <a:blip r:embed="rId79" cstate="print"/>
                    <a:stretch>
                      <a:fillRect/>
                    </a:stretch>
                  </pic:blipFill>
                  <pic:spPr>
                    <a:xfrm>
                      <a:off x="0" y="0"/>
                      <a:ext cx="6042123" cy="7966709"/>
                    </a:xfrm>
                    <a:prstGeom prst="rect">
                      <a:avLst/>
                    </a:prstGeom>
                  </pic:spPr>
                </pic:pic>
              </a:graphicData>
            </a:graphic>
          </wp:anchor>
        </w:drawing>
      </w:r>
      <w:r>
        <w:rPr>
          <w:rFonts w:ascii="Calibri Light" w:hAnsi="Calibri Light"/>
          <w:b w:val="0"/>
          <w:sz w:val="22"/>
        </w:rPr>
        <w:t>Compartilhados (Serviço Telefônico de Teleatendimento 0800 e</w:t>
      </w:r>
      <w:r>
        <w:rPr>
          <w:rFonts w:ascii="Calibri Light" w:hAnsi="Calibri Light"/>
          <w:b w:val="0"/>
          <w:spacing w:val="-20"/>
          <w:sz w:val="22"/>
        </w:rPr>
        <w:t> </w:t>
      </w:r>
      <w:r>
        <w:rPr>
          <w:rFonts w:ascii="Calibri Light" w:hAnsi="Calibri Light"/>
          <w:b w:val="0"/>
          <w:sz w:val="22"/>
        </w:rPr>
        <w:t>4007)</w:t>
      </w:r>
    </w:p>
    <w:p>
      <w:pPr>
        <w:spacing w:after="0"/>
        <w:jc w:val="right"/>
        <w:rPr>
          <w:rFonts w:ascii="Calibri Light" w:hAnsi="Calibri Light"/>
          <w:sz w:val="22"/>
        </w:rPr>
        <w:sectPr>
          <w:pgSz w:w="11910" w:h="16840"/>
          <w:pgMar w:header="590" w:footer="538" w:top="1640" w:bottom="720" w:left="1020" w:right="960"/>
        </w:sectPr>
      </w:pPr>
    </w:p>
    <w:p>
      <w:pPr>
        <w:spacing w:before="46"/>
        <w:ind w:left="0" w:right="175" w:firstLine="0"/>
        <w:jc w:val="right"/>
        <w:rPr>
          <w:rFonts w:ascii="Calibri Light" w:hAnsi="Calibri Light"/>
          <w:b w:val="0"/>
          <w:sz w:val="22"/>
        </w:rPr>
      </w:pPr>
      <w:bookmarkStart w:name="_bookmark45" w:id="67"/>
      <w:bookmarkEnd w:id="67"/>
      <w:r>
        <w:rPr/>
      </w:r>
      <w:r>
        <w:rPr>
          <w:rFonts w:ascii="Calibri Light" w:hAnsi="Calibri Light"/>
          <w:b w:val="0"/>
          <w:sz w:val="22"/>
        </w:rPr>
        <w:t>ANEXO VII.II – Demonstrativo da Participação dos CAU/UF e do CAU/BR nas Despesas do Centro de</w:t>
      </w:r>
      <w:r>
        <w:rPr>
          <w:rFonts w:ascii="Calibri Light" w:hAnsi="Calibri Light"/>
          <w:b w:val="0"/>
          <w:spacing w:val="-33"/>
          <w:sz w:val="22"/>
        </w:rPr>
        <w:t> </w:t>
      </w:r>
      <w:r>
        <w:rPr>
          <w:rFonts w:ascii="Calibri Light" w:hAnsi="Calibri Light"/>
          <w:b w:val="0"/>
          <w:sz w:val="22"/>
        </w:rPr>
        <w:t>Serviços</w:t>
      </w:r>
    </w:p>
    <w:p>
      <w:pPr>
        <w:spacing w:before="19"/>
        <w:ind w:left="0" w:right="172" w:firstLine="0"/>
        <w:jc w:val="right"/>
        <w:rPr>
          <w:rFonts w:ascii="Calibri Light" w:hAnsi="Calibri Light"/>
          <w:b w:val="0"/>
          <w:sz w:val="22"/>
        </w:rPr>
      </w:pPr>
      <w:r>
        <w:rPr/>
        <w:drawing>
          <wp:anchor distT="0" distB="0" distL="0" distR="0" allowOverlap="1" layoutInCell="1" locked="0" behindDoc="0" simplePos="0" relativeHeight="34">
            <wp:simplePos x="0" y="0"/>
            <wp:positionH relativeFrom="page">
              <wp:posOffset>728609</wp:posOffset>
            </wp:positionH>
            <wp:positionV relativeFrom="paragraph">
              <wp:posOffset>204130</wp:posOffset>
            </wp:positionV>
            <wp:extent cx="6054602" cy="8324850"/>
            <wp:effectExtent l="0" t="0" r="0" b="0"/>
            <wp:wrapTopAndBottom/>
            <wp:docPr id="91" name="image25.png"/>
            <wp:cNvGraphicFramePr>
              <a:graphicFrameLocks noChangeAspect="1"/>
            </wp:cNvGraphicFramePr>
            <a:graphic>
              <a:graphicData uri="http://schemas.openxmlformats.org/drawingml/2006/picture">
                <pic:pic>
                  <pic:nvPicPr>
                    <pic:cNvPr id="92" name="image25.png"/>
                    <pic:cNvPicPr/>
                  </pic:nvPicPr>
                  <pic:blipFill>
                    <a:blip r:embed="rId80" cstate="print"/>
                    <a:stretch>
                      <a:fillRect/>
                    </a:stretch>
                  </pic:blipFill>
                  <pic:spPr>
                    <a:xfrm>
                      <a:off x="0" y="0"/>
                      <a:ext cx="6054602" cy="8324850"/>
                    </a:xfrm>
                    <a:prstGeom prst="rect">
                      <a:avLst/>
                    </a:prstGeom>
                  </pic:spPr>
                </pic:pic>
              </a:graphicData>
            </a:graphic>
          </wp:anchor>
        </w:drawing>
      </w:r>
      <w:r>
        <w:rPr>
          <w:rFonts w:ascii="Calibri Light" w:hAnsi="Calibri Light"/>
          <w:b w:val="0"/>
          <w:sz w:val="22"/>
        </w:rPr>
        <w:t>Compartilhados (Demais serviços</w:t>
      </w:r>
      <w:r>
        <w:rPr>
          <w:rFonts w:ascii="Calibri Light" w:hAnsi="Calibri Light"/>
          <w:b w:val="0"/>
          <w:spacing w:val="-17"/>
          <w:sz w:val="22"/>
        </w:rPr>
        <w:t> </w:t>
      </w:r>
      <w:r>
        <w:rPr>
          <w:rFonts w:ascii="Calibri Light" w:hAnsi="Calibri Light"/>
          <w:b w:val="0"/>
          <w:sz w:val="22"/>
        </w:rPr>
        <w:t>essenciais)</w:t>
      </w:r>
    </w:p>
    <w:p>
      <w:pPr>
        <w:spacing w:after="0"/>
        <w:jc w:val="right"/>
        <w:rPr>
          <w:rFonts w:ascii="Calibri Light" w:hAnsi="Calibri Light"/>
          <w:sz w:val="22"/>
        </w:rPr>
        <w:sectPr>
          <w:pgSz w:w="11910" w:h="16840"/>
          <w:pgMar w:header="590" w:footer="538" w:top="1640" w:bottom="720" w:left="1020" w:right="960"/>
        </w:sectPr>
      </w:pPr>
    </w:p>
    <w:p>
      <w:pPr>
        <w:spacing w:before="46"/>
        <w:ind w:left="113" w:right="0" w:firstLine="0"/>
        <w:jc w:val="left"/>
        <w:rPr>
          <w:rFonts w:ascii="Calibri Light" w:hAnsi="Calibri Light"/>
          <w:b w:val="0"/>
          <w:sz w:val="22"/>
        </w:rPr>
      </w:pPr>
      <w:bookmarkStart w:name="_bookmark46" w:id="68"/>
      <w:bookmarkEnd w:id="68"/>
      <w:r>
        <w:rPr/>
      </w:r>
      <w:r>
        <w:rPr>
          <w:rFonts w:ascii="Calibri Light" w:hAnsi="Calibri Light"/>
          <w:b w:val="0"/>
          <w:sz w:val="22"/>
        </w:rPr>
        <w:t>ANEXO VII.III – Despesas do Centro de Serviços Compartilhados (Serviços por Adesão – SISCAF)</w:t>
      </w:r>
    </w:p>
    <w:p>
      <w:pPr>
        <w:pStyle w:val="BodyText"/>
        <w:rPr>
          <w:rFonts w:ascii="Calibri Light"/>
          <w:b w:val="0"/>
          <w:sz w:val="20"/>
        </w:rPr>
      </w:pPr>
    </w:p>
    <w:p>
      <w:pPr>
        <w:pStyle w:val="BodyText"/>
        <w:spacing w:before="7"/>
        <w:rPr>
          <w:rFonts w:ascii="Calibri Light"/>
          <w:b w:val="0"/>
          <w:sz w:val="16"/>
        </w:rPr>
      </w:pPr>
      <w:r>
        <w:rPr/>
        <w:drawing>
          <wp:anchor distT="0" distB="0" distL="0" distR="0" allowOverlap="1" layoutInCell="1" locked="0" behindDoc="0" simplePos="0" relativeHeight="35">
            <wp:simplePos x="0" y="0"/>
            <wp:positionH relativeFrom="page">
              <wp:posOffset>1403983</wp:posOffset>
            </wp:positionH>
            <wp:positionV relativeFrom="paragraph">
              <wp:posOffset>153607</wp:posOffset>
            </wp:positionV>
            <wp:extent cx="4705759" cy="4384833"/>
            <wp:effectExtent l="0" t="0" r="0" b="0"/>
            <wp:wrapTopAndBottom/>
            <wp:docPr id="93" name="image26.png"/>
            <wp:cNvGraphicFramePr>
              <a:graphicFrameLocks noChangeAspect="1"/>
            </wp:cNvGraphicFramePr>
            <a:graphic>
              <a:graphicData uri="http://schemas.openxmlformats.org/drawingml/2006/picture">
                <pic:pic>
                  <pic:nvPicPr>
                    <pic:cNvPr id="94" name="image26.png"/>
                    <pic:cNvPicPr/>
                  </pic:nvPicPr>
                  <pic:blipFill>
                    <a:blip r:embed="rId81" cstate="print"/>
                    <a:stretch>
                      <a:fillRect/>
                    </a:stretch>
                  </pic:blipFill>
                  <pic:spPr>
                    <a:xfrm>
                      <a:off x="0" y="0"/>
                      <a:ext cx="4705759" cy="4384833"/>
                    </a:xfrm>
                    <a:prstGeom prst="rect">
                      <a:avLst/>
                    </a:prstGeom>
                  </pic:spPr>
                </pic:pic>
              </a:graphicData>
            </a:graphic>
          </wp:anchor>
        </w:drawing>
      </w:r>
    </w:p>
    <w:p>
      <w:pPr>
        <w:spacing w:after="0"/>
        <w:rPr>
          <w:rFonts w:ascii="Calibri Light"/>
          <w:sz w:val="16"/>
        </w:rPr>
        <w:sectPr>
          <w:pgSz w:w="11910" w:h="16840"/>
          <w:pgMar w:header="590" w:footer="538" w:top="1640" w:bottom="720" w:left="1020" w:right="96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19"/>
        </w:rPr>
      </w:pPr>
    </w:p>
    <w:p>
      <w:pPr>
        <w:pStyle w:val="Heading1"/>
        <w:spacing w:line="259" w:lineRule="auto" w:before="11"/>
        <w:ind w:left="3025" w:right="946" w:hanging="1571"/>
        <w:jc w:val="left"/>
        <w:rPr>
          <w:b w:val="0"/>
          <w:i/>
        </w:rPr>
      </w:pPr>
      <w:bookmarkStart w:name="_bookmark47" w:id="69"/>
      <w:bookmarkEnd w:id="69"/>
      <w:r>
        <w:rPr/>
      </w:r>
      <w:r>
        <w:rPr>
          <w:b w:val="0"/>
          <w:color w:val="006666"/>
        </w:rPr>
        <w:t>ANEXO VIII – RESSARCIMENTO DE TARIFAS BANCÁRIAS AOS CAU/UF</w:t>
      </w:r>
      <w:r>
        <w:rPr>
          <w:b w:val="0"/>
          <w:i/>
          <w:color w:val="006666"/>
        </w:rPr>
        <w:t> </w:t>
      </w:r>
    </w:p>
    <w:p>
      <w:pPr>
        <w:spacing w:after="0" w:line="259" w:lineRule="auto"/>
        <w:jc w:val="left"/>
        <w:sectPr>
          <w:pgSz w:w="11910" w:h="16840"/>
          <w:pgMar w:header="590" w:footer="538" w:top="1640" w:bottom="720" w:left="1020" w:right="960"/>
        </w:sectPr>
      </w:pPr>
    </w:p>
    <w:p>
      <w:pPr>
        <w:spacing w:before="46"/>
        <w:ind w:left="540" w:right="0" w:firstLine="0"/>
        <w:jc w:val="left"/>
        <w:rPr>
          <w:rFonts w:ascii="Calibri Light" w:hAnsi="Calibri Light"/>
          <w:b w:val="0"/>
          <w:sz w:val="22"/>
        </w:rPr>
      </w:pPr>
      <w:r>
        <w:rPr/>
        <w:drawing>
          <wp:anchor distT="0" distB="0" distL="0" distR="0" allowOverlap="1" layoutInCell="1" locked="0" behindDoc="0" simplePos="0" relativeHeight="36">
            <wp:simplePos x="0" y="0"/>
            <wp:positionH relativeFrom="page">
              <wp:posOffset>910964</wp:posOffset>
            </wp:positionH>
            <wp:positionV relativeFrom="paragraph">
              <wp:posOffset>223344</wp:posOffset>
            </wp:positionV>
            <wp:extent cx="5880842" cy="8455342"/>
            <wp:effectExtent l="0" t="0" r="0" b="0"/>
            <wp:wrapTopAndBottom/>
            <wp:docPr id="95" name="image27.png"/>
            <wp:cNvGraphicFramePr>
              <a:graphicFrameLocks noChangeAspect="1"/>
            </wp:cNvGraphicFramePr>
            <a:graphic>
              <a:graphicData uri="http://schemas.openxmlformats.org/drawingml/2006/picture">
                <pic:pic>
                  <pic:nvPicPr>
                    <pic:cNvPr id="96" name="image27.png"/>
                    <pic:cNvPicPr/>
                  </pic:nvPicPr>
                  <pic:blipFill>
                    <a:blip r:embed="rId82" cstate="print"/>
                    <a:stretch>
                      <a:fillRect/>
                    </a:stretch>
                  </pic:blipFill>
                  <pic:spPr>
                    <a:xfrm>
                      <a:off x="0" y="0"/>
                      <a:ext cx="5880842" cy="8455342"/>
                    </a:xfrm>
                    <a:prstGeom prst="rect">
                      <a:avLst/>
                    </a:prstGeom>
                  </pic:spPr>
                </pic:pic>
              </a:graphicData>
            </a:graphic>
          </wp:anchor>
        </w:drawing>
      </w:r>
      <w:bookmarkStart w:name="_bookmark48" w:id="70"/>
      <w:bookmarkEnd w:id="70"/>
      <w:r>
        <w:rPr/>
      </w:r>
      <w:r>
        <w:rPr>
          <w:rFonts w:ascii="Calibri Light" w:hAnsi="Calibri Light"/>
          <w:b w:val="0"/>
          <w:sz w:val="22"/>
        </w:rPr>
        <w:t>ANEXO VIII – RESSARCIMENTO DE TARIFAS BANCÁRIAS AOS CAU/UF</w:t>
      </w:r>
    </w:p>
    <w:p>
      <w:pPr>
        <w:spacing w:after="0"/>
        <w:jc w:val="left"/>
        <w:rPr>
          <w:rFonts w:ascii="Calibri Light" w:hAnsi="Calibri Light"/>
          <w:sz w:val="22"/>
        </w:rPr>
        <w:sectPr>
          <w:pgSz w:w="11910" w:h="16840"/>
          <w:pgMar w:header="590" w:footer="538" w:top="1640" w:bottom="720" w:left="1020" w:right="96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2"/>
        <w:rPr>
          <w:rFonts w:ascii="Calibri Light"/>
          <w:b w:val="0"/>
        </w:rPr>
      </w:pPr>
    </w:p>
    <w:p>
      <w:pPr>
        <w:pStyle w:val="Heading1"/>
        <w:spacing w:line="259" w:lineRule="auto"/>
        <w:ind w:left="1087" w:right="580" w:hanging="6"/>
        <w:jc w:val="center"/>
        <w:rPr>
          <w:b w:val="0"/>
        </w:rPr>
      </w:pPr>
      <w:r>
        <w:rPr>
          <w:b w:val="0"/>
          <w:color w:val="006666"/>
        </w:rPr>
        <w:t>ANEXO IX – Modelo para Elaboração da Programação do Plano de Ação e Orçamento – Exercício 2021</w:t>
      </w:r>
    </w:p>
    <w:p>
      <w:pPr>
        <w:spacing w:after="0" w:line="259" w:lineRule="auto"/>
        <w:jc w:val="center"/>
        <w:sectPr>
          <w:pgSz w:w="11910" w:h="16840"/>
          <w:pgMar w:header="590" w:footer="538" w:top="1640" w:bottom="720" w:left="1020" w:right="960"/>
        </w:sectPr>
      </w:pPr>
    </w:p>
    <w:p>
      <w:pPr>
        <w:spacing w:before="87"/>
        <w:ind w:left="113" w:right="0" w:firstLine="0"/>
        <w:jc w:val="left"/>
        <w:rPr>
          <w:rFonts w:ascii="Calibri Light" w:hAnsi="Calibri Light"/>
          <w:b w:val="0"/>
          <w:sz w:val="22"/>
        </w:rPr>
      </w:pPr>
      <w:bookmarkStart w:name="_bookmark49" w:id="71"/>
      <w:bookmarkEnd w:id="71"/>
      <w:r>
        <w:rPr/>
      </w:r>
      <w:r>
        <w:rPr>
          <w:rFonts w:ascii="Calibri Light" w:hAnsi="Calibri Light"/>
          <w:b w:val="0"/>
          <w:sz w:val="22"/>
        </w:rPr>
        <w:t>ANEXO IX – Modelo para Elaboração da Programação do Plano de Ação e Orçamento – Exercício 2021</w:t>
      </w:r>
    </w:p>
    <w:p>
      <w:pPr>
        <w:pStyle w:val="BodyText"/>
        <w:spacing w:before="4"/>
        <w:rPr>
          <w:rFonts w:ascii="Calibri Light"/>
          <w:b w:val="0"/>
          <w:sz w:val="25"/>
        </w:rPr>
      </w:pPr>
    </w:p>
    <w:p>
      <w:pPr>
        <w:spacing w:line="259" w:lineRule="auto" w:before="0"/>
        <w:ind w:left="113" w:right="884" w:firstLine="0"/>
        <w:jc w:val="left"/>
        <w:rPr>
          <w:sz w:val="22"/>
        </w:rPr>
      </w:pPr>
      <w:r>
        <w:rPr>
          <w:sz w:val="22"/>
        </w:rPr>
        <w:t>Orientações para o preenchimento do </w:t>
      </w:r>
      <w:r>
        <w:rPr>
          <w:color w:val="0462C1"/>
          <w:sz w:val="22"/>
          <w:u w:val="single" w:color="0462C1"/>
        </w:rPr>
        <w:t>Modelo para Elaboração da Programação do Plano de Ação e</w:t>
      </w:r>
      <w:r>
        <w:rPr>
          <w:color w:val="0462C1"/>
          <w:sz w:val="22"/>
        </w:rPr>
        <w:t> </w:t>
      </w:r>
      <w:r>
        <w:rPr>
          <w:color w:val="0462C1"/>
          <w:sz w:val="22"/>
          <w:u w:val="single" w:color="0462C1"/>
        </w:rPr>
        <w:t>Orçamento – Exercício 2021.</w:t>
      </w:r>
    </w:p>
    <w:p>
      <w:pPr>
        <w:pStyle w:val="Heading5"/>
        <w:numPr>
          <w:ilvl w:val="0"/>
          <w:numId w:val="21"/>
        </w:numPr>
        <w:tabs>
          <w:tab w:pos="1532" w:val="left" w:leader="none"/>
        </w:tabs>
        <w:spacing w:line="240" w:lineRule="auto" w:before="160" w:after="0"/>
        <w:ind w:left="1531" w:right="0" w:hanging="567"/>
        <w:jc w:val="both"/>
      </w:pPr>
      <w:r>
        <w:rPr/>
        <w:t>DADOS</w:t>
      </w:r>
      <w:r>
        <w:rPr>
          <w:spacing w:val="-1"/>
        </w:rPr>
        <w:t> </w:t>
      </w:r>
      <w:r>
        <w:rPr/>
        <w:t>TÉCNICOS</w:t>
      </w:r>
    </w:p>
    <w:p>
      <w:pPr>
        <w:pStyle w:val="BodyText"/>
        <w:spacing w:before="1"/>
        <w:rPr>
          <w:b/>
          <w:sz w:val="25"/>
        </w:rPr>
      </w:pPr>
    </w:p>
    <w:p>
      <w:pPr>
        <w:pStyle w:val="ListParagraph"/>
        <w:numPr>
          <w:ilvl w:val="1"/>
          <w:numId w:val="21"/>
        </w:numPr>
        <w:tabs>
          <w:tab w:pos="1532" w:val="left" w:leader="none"/>
        </w:tabs>
        <w:spacing w:line="360" w:lineRule="auto" w:before="0" w:after="0"/>
        <w:ind w:left="113" w:right="171" w:firstLine="852"/>
        <w:jc w:val="both"/>
        <w:rPr>
          <w:sz w:val="24"/>
        </w:rPr>
      </w:pPr>
      <w:r>
        <w:rPr>
          <w:b/>
          <w:sz w:val="24"/>
        </w:rPr>
        <w:t>Unidade Responsável</w:t>
      </w:r>
      <w:r>
        <w:rPr>
          <w:sz w:val="24"/>
        </w:rPr>
        <w:t>: nome da Unidade Organizacional, na forma do organograma, Colegiado e o nome das Comissões Permanentes e Especiais que serão responsáveis pelo projeto/atividade.</w:t>
      </w:r>
    </w:p>
    <w:p>
      <w:pPr>
        <w:pStyle w:val="ListParagraph"/>
        <w:numPr>
          <w:ilvl w:val="1"/>
          <w:numId w:val="21"/>
        </w:numPr>
        <w:tabs>
          <w:tab w:pos="1532" w:val="left" w:leader="none"/>
        </w:tabs>
        <w:spacing w:line="240" w:lineRule="auto" w:before="161" w:after="0"/>
        <w:ind w:left="1531" w:right="0" w:hanging="567"/>
        <w:jc w:val="both"/>
        <w:rPr>
          <w:sz w:val="24"/>
        </w:rPr>
      </w:pPr>
      <w:r>
        <w:rPr>
          <w:b/>
          <w:sz w:val="24"/>
        </w:rPr>
        <w:t>Tipo </w:t>
      </w:r>
      <w:r>
        <w:rPr>
          <w:sz w:val="24"/>
        </w:rPr>
        <w:t>(Projeto / Atividade/ Projeto</w:t>
      </w:r>
      <w:r>
        <w:rPr>
          <w:spacing w:val="-3"/>
          <w:sz w:val="24"/>
        </w:rPr>
        <w:t> </w:t>
      </w:r>
      <w:r>
        <w:rPr>
          <w:sz w:val="24"/>
        </w:rPr>
        <w:t>Específico):</w:t>
      </w:r>
    </w:p>
    <w:p>
      <w:pPr>
        <w:pStyle w:val="BodyText"/>
        <w:spacing w:before="2"/>
        <w:rPr>
          <w:sz w:val="25"/>
        </w:rPr>
      </w:pPr>
    </w:p>
    <w:p>
      <w:pPr>
        <w:pStyle w:val="ListParagraph"/>
        <w:numPr>
          <w:ilvl w:val="0"/>
          <w:numId w:val="22"/>
        </w:numPr>
        <w:tabs>
          <w:tab w:pos="1532" w:val="left" w:leader="none"/>
        </w:tabs>
        <w:spacing w:line="360" w:lineRule="auto" w:before="0" w:after="0"/>
        <w:ind w:left="113" w:right="169" w:firstLine="852"/>
        <w:jc w:val="both"/>
        <w:rPr>
          <w:sz w:val="24"/>
        </w:rPr>
      </w:pPr>
      <w:r>
        <w:rPr>
          <w:b/>
          <w:sz w:val="24"/>
        </w:rPr>
        <w:t>Projeto (P)</w:t>
      </w:r>
      <w:r>
        <w:rPr>
          <w:sz w:val="24"/>
        </w:rPr>
        <w:t>: nome do Projeto. O Projeto compreende um conjunto de ações inter- relacionadas, coordenadas e orientadas para o alcance de resultados, com prazo e recursos definidos.</w:t>
      </w:r>
    </w:p>
    <w:p>
      <w:pPr>
        <w:pStyle w:val="ListParagraph"/>
        <w:numPr>
          <w:ilvl w:val="1"/>
          <w:numId w:val="22"/>
        </w:numPr>
        <w:tabs>
          <w:tab w:pos="1686" w:val="left" w:leader="none"/>
        </w:tabs>
        <w:spacing w:line="357" w:lineRule="auto" w:before="162" w:after="0"/>
        <w:ind w:left="1685" w:right="166" w:hanging="360"/>
        <w:jc w:val="both"/>
        <w:rPr>
          <w:i/>
          <w:sz w:val="24"/>
        </w:rPr>
      </w:pPr>
      <w:r>
        <w:rPr>
          <w:b/>
          <w:sz w:val="24"/>
        </w:rPr>
        <w:t>Projeto Específico(PE)</w:t>
      </w:r>
      <w:r>
        <w:rPr>
          <w:sz w:val="24"/>
        </w:rPr>
        <w:t>: projeto planejado para incorporação dos recursos oriundos de </w:t>
      </w:r>
      <w:r>
        <w:rPr>
          <w:b/>
          <w:sz w:val="24"/>
        </w:rPr>
        <w:t>Saldos de Exercícios Anteriores</w:t>
      </w:r>
      <w:r>
        <w:rPr>
          <w:sz w:val="24"/>
        </w:rPr>
        <w:t>, de acordo com a deliberação plenária nº 84- 03/2019, que prevê “a</w:t>
      </w:r>
      <w:r>
        <w:rPr>
          <w:i/>
          <w:sz w:val="24"/>
        </w:rPr>
        <w:t>utorizar a utilização de superávit financeiro, apurado no </w:t>
      </w:r>
      <w:r>
        <w:rPr>
          <w:i/>
          <w:sz w:val="24"/>
        </w:rPr>
        <w:t>balanço patrimonial do exercício imediatamente anterior, em despesas de capital e em</w:t>
      </w:r>
      <w:r>
        <w:rPr>
          <w:i/>
          <w:spacing w:val="-11"/>
          <w:sz w:val="24"/>
        </w:rPr>
        <w:t> </w:t>
      </w:r>
      <w:r>
        <w:rPr>
          <w:i/>
          <w:sz w:val="24"/>
        </w:rPr>
        <w:t>projetos</w:t>
      </w:r>
      <w:r>
        <w:rPr>
          <w:i/>
          <w:spacing w:val="-11"/>
          <w:sz w:val="24"/>
        </w:rPr>
        <w:t> </w:t>
      </w:r>
      <w:r>
        <w:rPr>
          <w:i/>
          <w:sz w:val="24"/>
        </w:rPr>
        <w:t>específicos</w:t>
      </w:r>
      <w:r>
        <w:rPr>
          <w:i/>
          <w:spacing w:val="-11"/>
          <w:sz w:val="24"/>
        </w:rPr>
        <w:t> </w:t>
      </w:r>
      <w:r>
        <w:rPr>
          <w:i/>
          <w:sz w:val="24"/>
        </w:rPr>
        <w:t>com</w:t>
      </w:r>
      <w:r>
        <w:rPr>
          <w:i/>
          <w:spacing w:val="-10"/>
          <w:sz w:val="24"/>
        </w:rPr>
        <w:t> </w:t>
      </w:r>
      <w:r>
        <w:rPr>
          <w:i/>
          <w:sz w:val="24"/>
        </w:rPr>
        <w:t>seus</w:t>
      </w:r>
      <w:r>
        <w:rPr>
          <w:i/>
          <w:spacing w:val="-11"/>
          <w:sz w:val="24"/>
        </w:rPr>
        <w:t> </w:t>
      </w:r>
      <w:r>
        <w:rPr>
          <w:i/>
          <w:sz w:val="24"/>
        </w:rPr>
        <w:t>respectivos</w:t>
      </w:r>
      <w:r>
        <w:rPr>
          <w:i/>
          <w:spacing w:val="-11"/>
          <w:sz w:val="24"/>
        </w:rPr>
        <w:t> </w:t>
      </w:r>
      <w:r>
        <w:rPr>
          <w:i/>
          <w:sz w:val="24"/>
        </w:rPr>
        <w:t>Planos</w:t>
      </w:r>
      <w:r>
        <w:rPr>
          <w:i/>
          <w:spacing w:val="-10"/>
          <w:sz w:val="24"/>
        </w:rPr>
        <w:t> </w:t>
      </w:r>
      <w:r>
        <w:rPr>
          <w:i/>
          <w:sz w:val="24"/>
        </w:rPr>
        <w:t>de</w:t>
      </w:r>
      <w:r>
        <w:rPr>
          <w:i/>
          <w:spacing w:val="-10"/>
          <w:sz w:val="24"/>
        </w:rPr>
        <w:t> </w:t>
      </w:r>
      <w:r>
        <w:rPr>
          <w:i/>
          <w:sz w:val="24"/>
        </w:rPr>
        <w:t>Trabalho</w:t>
      </w:r>
      <w:r>
        <w:rPr>
          <w:i/>
          <w:spacing w:val="-12"/>
          <w:sz w:val="24"/>
        </w:rPr>
        <w:t> </w:t>
      </w:r>
      <w:r>
        <w:rPr>
          <w:i/>
          <w:sz w:val="24"/>
        </w:rPr>
        <w:t>e</w:t>
      </w:r>
      <w:r>
        <w:rPr>
          <w:i/>
          <w:spacing w:val="-10"/>
          <w:sz w:val="24"/>
        </w:rPr>
        <w:t> </w:t>
      </w:r>
      <w:r>
        <w:rPr>
          <w:i/>
          <w:sz w:val="24"/>
        </w:rPr>
        <w:t>com</w:t>
      </w:r>
      <w:r>
        <w:rPr>
          <w:i/>
          <w:spacing w:val="-10"/>
          <w:sz w:val="24"/>
        </w:rPr>
        <w:t> </w:t>
      </w:r>
      <w:r>
        <w:rPr>
          <w:i/>
          <w:sz w:val="24"/>
        </w:rPr>
        <w:t>duração</w:t>
      </w:r>
      <w:r>
        <w:rPr>
          <w:i/>
          <w:spacing w:val="-12"/>
          <w:sz w:val="24"/>
        </w:rPr>
        <w:t> </w:t>
      </w:r>
      <w:r>
        <w:rPr>
          <w:i/>
          <w:sz w:val="24"/>
        </w:rPr>
        <w:t>não superior a um exercício, de caráter não continuado, em ações cuja realização seja suportada por despesas de natureza</w:t>
      </w:r>
      <w:r>
        <w:rPr>
          <w:i/>
          <w:spacing w:val="1"/>
          <w:sz w:val="24"/>
        </w:rPr>
        <w:t> </w:t>
      </w:r>
      <w:r>
        <w:rPr>
          <w:i/>
          <w:sz w:val="24"/>
        </w:rPr>
        <w:t>corrente”.</w:t>
      </w:r>
    </w:p>
    <w:p>
      <w:pPr>
        <w:pStyle w:val="BodyText"/>
        <w:spacing w:before="10"/>
        <w:rPr>
          <w:i/>
          <w:sz w:val="17"/>
        </w:rPr>
      </w:pPr>
    </w:p>
    <w:p>
      <w:pPr>
        <w:pStyle w:val="ListParagraph"/>
        <w:numPr>
          <w:ilvl w:val="0"/>
          <w:numId w:val="22"/>
        </w:numPr>
        <w:tabs>
          <w:tab w:pos="1532" w:val="left" w:leader="none"/>
        </w:tabs>
        <w:spacing w:line="360" w:lineRule="auto" w:before="0" w:after="0"/>
        <w:ind w:left="113" w:right="173" w:firstLine="852"/>
        <w:jc w:val="both"/>
        <w:rPr>
          <w:sz w:val="24"/>
        </w:rPr>
      </w:pPr>
      <w:r>
        <w:rPr>
          <w:b/>
          <w:sz w:val="24"/>
        </w:rPr>
        <w:t>Atividade (A)</w:t>
      </w:r>
      <w:r>
        <w:rPr>
          <w:sz w:val="24"/>
        </w:rPr>
        <w:t>: nome da Atividade. A Atividade compreende um conjunto de ações permanentes e rotineiras relacionadas à gestão do CAU/BR, que contribuem para a melhoria do desempenho da</w:t>
      </w:r>
      <w:r>
        <w:rPr>
          <w:spacing w:val="-2"/>
          <w:sz w:val="24"/>
        </w:rPr>
        <w:t> </w:t>
      </w:r>
      <w:r>
        <w:rPr>
          <w:sz w:val="24"/>
        </w:rPr>
        <w:t>Entidade.</w:t>
      </w:r>
    </w:p>
    <w:p>
      <w:pPr>
        <w:pStyle w:val="ListParagraph"/>
        <w:numPr>
          <w:ilvl w:val="1"/>
          <w:numId w:val="21"/>
        </w:numPr>
        <w:tabs>
          <w:tab w:pos="1532" w:val="left" w:leader="none"/>
        </w:tabs>
        <w:spacing w:line="360" w:lineRule="auto" w:before="161" w:after="0"/>
        <w:ind w:left="113" w:right="170" w:firstLine="852"/>
        <w:jc w:val="both"/>
        <w:rPr>
          <w:sz w:val="24"/>
        </w:rPr>
      </w:pPr>
      <w:r>
        <w:rPr>
          <w:b/>
          <w:sz w:val="24"/>
        </w:rPr>
        <w:t>FA: </w:t>
      </w:r>
      <w:r>
        <w:rPr>
          <w:sz w:val="24"/>
        </w:rPr>
        <w:t>fundo de apoio. Informar se o projeto ou atividade será financiada por recursos oriundos do fundo de apoio dos CAU/UF, apenas para os</w:t>
      </w:r>
      <w:r>
        <w:rPr>
          <w:spacing w:val="-8"/>
          <w:sz w:val="24"/>
        </w:rPr>
        <w:t> </w:t>
      </w:r>
      <w:r>
        <w:rPr>
          <w:sz w:val="24"/>
        </w:rPr>
        <w:t>CAU/Básicos.</w:t>
      </w:r>
    </w:p>
    <w:p>
      <w:pPr>
        <w:pStyle w:val="ListParagraph"/>
        <w:numPr>
          <w:ilvl w:val="1"/>
          <w:numId w:val="21"/>
        </w:numPr>
        <w:tabs>
          <w:tab w:pos="1532" w:val="left" w:leader="none"/>
        </w:tabs>
        <w:spacing w:line="240" w:lineRule="auto" w:before="160" w:after="0"/>
        <w:ind w:left="1531" w:right="0" w:hanging="567"/>
        <w:jc w:val="both"/>
        <w:rPr>
          <w:sz w:val="24"/>
        </w:rPr>
      </w:pPr>
      <w:r>
        <w:rPr>
          <w:b/>
          <w:sz w:val="24"/>
        </w:rPr>
        <w:t>Denominação: </w:t>
      </w:r>
      <w:r>
        <w:rPr>
          <w:sz w:val="24"/>
        </w:rPr>
        <w:t>nome do Projeto ou</w:t>
      </w:r>
      <w:r>
        <w:rPr>
          <w:spacing w:val="-5"/>
          <w:sz w:val="24"/>
        </w:rPr>
        <w:t> </w:t>
      </w:r>
      <w:r>
        <w:rPr>
          <w:sz w:val="24"/>
        </w:rPr>
        <w:t>Atividade.</w:t>
      </w:r>
    </w:p>
    <w:p>
      <w:pPr>
        <w:pStyle w:val="BodyText"/>
        <w:spacing w:before="2"/>
        <w:rPr>
          <w:sz w:val="25"/>
        </w:rPr>
      </w:pPr>
    </w:p>
    <w:p>
      <w:pPr>
        <w:pStyle w:val="ListParagraph"/>
        <w:numPr>
          <w:ilvl w:val="1"/>
          <w:numId w:val="21"/>
        </w:numPr>
        <w:tabs>
          <w:tab w:pos="1532" w:val="left" w:leader="none"/>
        </w:tabs>
        <w:spacing w:line="360" w:lineRule="auto" w:before="0" w:after="0"/>
        <w:ind w:left="113" w:right="171" w:firstLine="852"/>
        <w:jc w:val="both"/>
        <w:rPr>
          <w:b/>
          <w:sz w:val="24"/>
        </w:rPr>
      </w:pPr>
      <w:r>
        <w:rPr>
          <w:b/>
          <w:sz w:val="24"/>
        </w:rPr>
        <w:t>Objetivo Geral </w:t>
      </w:r>
      <w:r>
        <w:rPr>
          <w:sz w:val="24"/>
        </w:rPr>
        <w:t>(Projeto / Atividade): é a motivação geral e a síntese dos efeitos que se</w:t>
      </w:r>
      <w:r>
        <w:rPr>
          <w:spacing w:val="9"/>
          <w:sz w:val="24"/>
        </w:rPr>
        <w:t> </w:t>
      </w:r>
      <w:r>
        <w:rPr>
          <w:sz w:val="24"/>
        </w:rPr>
        <w:t>deseja</w:t>
      </w:r>
      <w:r>
        <w:rPr>
          <w:spacing w:val="8"/>
          <w:sz w:val="24"/>
        </w:rPr>
        <w:t> </w:t>
      </w:r>
      <w:r>
        <w:rPr>
          <w:sz w:val="24"/>
        </w:rPr>
        <w:t>produzir,</w:t>
      </w:r>
      <w:r>
        <w:rPr>
          <w:spacing w:val="8"/>
          <w:sz w:val="24"/>
        </w:rPr>
        <w:t> </w:t>
      </w:r>
      <w:r>
        <w:rPr>
          <w:sz w:val="24"/>
        </w:rPr>
        <w:t>no</w:t>
      </w:r>
      <w:r>
        <w:rPr>
          <w:spacing w:val="8"/>
          <w:sz w:val="24"/>
        </w:rPr>
        <w:t> </w:t>
      </w:r>
      <w:r>
        <w:rPr>
          <w:sz w:val="24"/>
        </w:rPr>
        <w:t>horizonte</w:t>
      </w:r>
      <w:r>
        <w:rPr>
          <w:spacing w:val="8"/>
          <w:sz w:val="24"/>
        </w:rPr>
        <w:t> </w:t>
      </w:r>
      <w:r>
        <w:rPr>
          <w:sz w:val="24"/>
        </w:rPr>
        <w:t>de</w:t>
      </w:r>
      <w:r>
        <w:rPr>
          <w:spacing w:val="9"/>
          <w:sz w:val="24"/>
        </w:rPr>
        <w:t> </w:t>
      </w:r>
      <w:r>
        <w:rPr>
          <w:sz w:val="24"/>
        </w:rPr>
        <w:t>tempo</w:t>
      </w:r>
      <w:r>
        <w:rPr>
          <w:spacing w:val="8"/>
          <w:sz w:val="24"/>
        </w:rPr>
        <w:t> </w:t>
      </w:r>
      <w:r>
        <w:rPr>
          <w:sz w:val="24"/>
        </w:rPr>
        <w:t>do</w:t>
      </w:r>
      <w:r>
        <w:rPr>
          <w:spacing w:val="8"/>
          <w:sz w:val="24"/>
        </w:rPr>
        <w:t> </w:t>
      </w:r>
      <w:r>
        <w:rPr>
          <w:sz w:val="24"/>
        </w:rPr>
        <w:t>projeto.</w:t>
      </w:r>
      <w:r>
        <w:rPr>
          <w:spacing w:val="8"/>
          <w:sz w:val="24"/>
        </w:rPr>
        <w:t> </w:t>
      </w:r>
      <w:r>
        <w:rPr>
          <w:sz w:val="24"/>
        </w:rPr>
        <w:t>Deve</w:t>
      </w:r>
      <w:r>
        <w:rPr>
          <w:spacing w:val="8"/>
          <w:sz w:val="24"/>
        </w:rPr>
        <w:t> </w:t>
      </w:r>
      <w:r>
        <w:rPr>
          <w:sz w:val="24"/>
        </w:rPr>
        <w:t>ser</w:t>
      </w:r>
      <w:r>
        <w:rPr>
          <w:spacing w:val="8"/>
          <w:sz w:val="24"/>
        </w:rPr>
        <w:t> </w:t>
      </w:r>
      <w:r>
        <w:rPr>
          <w:sz w:val="24"/>
        </w:rPr>
        <w:t>desafiador</w:t>
      </w:r>
      <w:r>
        <w:rPr>
          <w:spacing w:val="11"/>
          <w:sz w:val="24"/>
        </w:rPr>
        <w:t> </w:t>
      </w:r>
      <w:r>
        <w:rPr>
          <w:sz w:val="24"/>
        </w:rPr>
        <w:t>e</w:t>
      </w:r>
      <w:r>
        <w:rPr>
          <w:spacing w:val="12"/>
          <w:sz w:val="24"/>
        </w:rPr>
        <w:t> </w:t>
      </w:r>
      <w:r>
        <w:rPr>
          <w:b/>
          <w:sz w:val="24"/>
        </w:rPr>
        <w:t>possuir</w:t>
      </w:r>
      <w:r>
        <w:rPr>
          <w:b/>
          <w:spacing w:val="9"/>
          <w:sz w:val="24"/>
        </w:rPr>
        <w:t> </w:t>
      </w:r>
      <w:r>
        <w:rPr>
          <w:b/>
          <w:sz w:val="24"/>
        </w:rPr>
        <w:t>uma</w:t>
      </w:r>
      <w:r>
        <w:rPr>
          <w:b/>
          <w:spacing w:val="9"/>
          <w:sz w:val="24"/>
        </w:rPr>
        <w:t> </w:t>
      </w:r>
      <w:r>
        <w:rPr>
          <w:b/>
          <w:sz w:val="24"/>
        </w:rPr>
        <w:t>ligação</w:t>
      </w:r>
    </w:p>
    <w:p>
      <w:pPr>
        <w:spacing w:after="0" w:line="360" w:lineRule="auto"/>
        <w:jc w:val="both"/>
        <w:rPr>
          <w:sz w:val="24"/>
        </w:rPr>
        <w:sectPr>
          <w:pgSz w:w="11910" w:h="16840"/>
          <w:pgMar w:header="590" w:footer="538" w:top="1640" w:bottom="720" w:left="1020" w:right="960"/>
        </w:sectPr>
      </w:pPr>
    </w:p>
    <w:p>
      <w:pPr>
        <w:spacing w:line="360" w:lineRule="auto" w:before="46"/>
        <w:ind w:left="113" w:right="0" w:firstLine="0"/>
        <w:jc w:val="left"/>
        <w:rPr>
          <w:sz w:val="24"/>
        </w:rPr>
      </w:pPr>
      <w:r>
        <w:rPr>
          <w:b/>
          <w:sz w:val="24"/>
        </w:rPr>
        <w:t>direta com as necessidades do público-alvo </w:t>
      </w:r>
      <w:r>
        <w:rPr>
          <w:sz w:val="24"/>
        </w:rPr>
        <w:t>(interno e externo). Por isso, sua formulação está associada à transformação desejada, traduzida pelos resultados do projeto.</w:t>
      </w:r>
    </w:p>
    <w:p>
      <w:pPr>
        <w:pStyle w:val="BodyText"/>
        <w:spacing w:before="160"/>
        <w:ind w:left="965"/>
        <w:jc w:val="both"/>
      </w:pPr>
      <w:r>
        <w:rPr/>
        <w:t>As perguntas a serem respondidas com esta formulação são:</w:t>
      </w:r>
    </w:p>
    <w:p>
      <w:pPr>
        <w:pStyle w:val="BodyText"/>
        <w:rPr>
          <w:sz w:val="25"/>
        </w:rPr>
      </w:pPr>
    </w:p>
    <w:p>
      <w:pPr>
        <w:pStyle w:val="ListParagraph"/>
        <w:numPr>
          <w:ilvl w:val="0"/>
          <w:numId w:val="22"/>
        </w:numPr>
        <w:tabs>
          <w:tab w:pos="1531" w:val="left" w:leader="none"/>
          <w:tab w:pos="1532" w:val="left" w:leader="none"/>
        </w:tabs>
        <w:spacing w:line="240" w:lineRule="auto" w:before="0" w:after="0"/>
        <w:ind w:left="1531" w:right="0" w:hanging="567"/>
        <w:jc w:val="left"/>
        <w:rPr>
          <w:sz w:val="24"/>
        </w:rPr>
      </w:pPr>
      <w:r>
        <w:rPr>
          <w:sz w:val="24"/>
        </w:rPr>
        <w:t>O que se quer agregar com este</w:t>
      </w:r>
      <w:r>
        <w:rPr>
          <w:spacing w:val="-7"/>
          <w:sz w:val="24"/>
        </w:rPr>
        <w:t> </w:t>
      </w:r>
      <w:r>
        <w:rPr>
          <w:sz w:val="24"/>
        </w:rPr>
        <w:t>projeto?</w:t>
      </w:r>
    </w:p>
    <w:p>
      <w:pPr>
        <w:pStyle w:val="BodyText"/>
        <w:spacing w:before="1"/>
        <w:rPr>
          <w:sz w:val="25"/>
        </w:rPr>
      </w:pPr>
    </w:p>
    <w:p>
      <w:pPr>
        <w:pStyle w:val="ListParagraph"/>
        <w:numPr>
          <w:ilvl w:val="0"/>
          <w:numId w:val="22"/>
        </w:numPr>
        <w:tabs>
          <w:tab w:pos="1531" w:val="left" w:leader="none"/>
          <w:tab w:pos="1532" w:val="left" w:leader="none"/>
        </w:tabs>
        <w:spacing w:line="240" w:lineRule="auto" w:before="1" w:after="0"/>
        <w:ind w:left="1531" w:right="0" w:hanging="567"/>
        <w:jc w:val="left"/>
        <w:rPr>
          <w:sz w:val="24"/>
        </w:rPr>
      </w:pPr>
      <w:r>
        <w:rPr>
          <w:sz w:val="24"/>
        </w:rPr>
        <w:t>Quais os ganhos a serem</w:t>
      </w:r>
      <w:r>
        <w:rPr>
          <w:spacing w:val="-3"/>
          <w:sz w:val="24"/>
        </w:rPr>
        <w:t> </w:t>
      </w:r>
      <w:r>
        <w:rPr>
          <w:sz w:val="24"/>
        </w:rPr>
        <w:t>perseguidos?</w:t>
      </w:r>
    </w:p>
    <w:p>
      <w:pPr>
        <w:pStyle w:val="BodyText"/>
        <w:spacing w:before="2"/>
        <w:rPr>
          <w:sz w:val="25"/>
        </w:rPr>
      </w:pPr>
    </w:p>
    <w:p>
      <w:pPr>
        <w:pStyle w:val="ListParagraph"/>
        <w:numPr>
          <w:ilvl w:val="0"/>
          <w:numId w:val="22"/>
        </w:numPr>
        <w:tabs>
          <w:tab w:pos="1531" w:val="left" w:leader="none"/>
          <w:tab w:pos="1532" w:val="left" w:leader="none"/>
        </w:tabs>
        <w:spacing w:line="240" w:lineRule="auto" w:before="0" w:after="0"/>
        <w:ind w:left="1531" w:right="0" w:hanging="567"/>
        <w:jc w:val="left"/>
        <w:rPr>
          <w:sz w:val="24"/>
        </w:rPr>
      </w:pPr>
      <w:r>
        <w:rPr>
          <w:sz w:val="24"/>
        </w:rPr>
        <w:t>Quais as mudanças a serem alcançadas, na situação atual, ao final do</w:t>
      </w:r>
      <w:r>
        <w:rPr>
          <w:spacing w:val="-17"/>
          <w:sz w:val="24"/>
        </w:rPr>
        <w:t> </w:t>
      </w:r>
      <w:r>
        <w:rPr>
          <w:sz w:val="24"/>
        </w:rPr>
        <w:t>projeto?</w:t>
      </w:r>
    </w:p>
    <w:p>
      <w:pPr>
        <w:pStyle w:val="BodyText"/>
        <w:spacing w:before="2"/>
        <w:rPr>
          <w:sz w:val="25"/>
        </w:rPr>
      </w:pPr>
    </w:p>
    <w:p>
      <w:pPr>
        <w:spacing w:line="360" w:lineRule="auto" w:before="0"/>
        <w:ind w:left="113" w:right="0" w:firstLine="852"/>
        <w:jc w:val="left"/>
        <w:rPr>
          <w:sz w:val="24"/>
        </w:rPr>
      </w:pPr>
      <w:r>
        <w:rPr>
          <w:sz w:val="24"/>
        </w:rPr>
        <w:t>Nas </w:t>
      </w:r>
      <w:r>
        <w:rPr>
          <w:b/>
          <w:sz w:val="24"/>
        </w:rPr>
        <w:t>Atividades</w:t>
      </w:r>
      <w:r>
        <w:rPr>
          <w:sz w:val="24"/>
        </w:rPr>
        <w:t>, o </w:t>
      </w:r>
      <w:r>
        <w:rPr>
          <w:b/>
          <w:sz w:val="24"/>
        </w:rPr>
        <w:t>Objetivo Geral </w:t>
      </w:r>
      <w:r>
        <w:rPr>
          <w:sz w:val="24"/>
        </w:rPr>
        <w:t>deve descrever a finalidade da atividade, com concisão e precisão.</w:t>
      </w:r>
    </w:p>
    <w:p>
      <w:pPr>
        <w:pStyle w:val="Heading5"/>
        <w:numPr>
          <w:ilvl w:val="0"/>
          <w:numId w:val="21"/>
        </w:numPr>
        <w:tabs>
          <w:tab w:pos="1531" w:val="left" w:leader="none"/>
          <w:tab w:pos="1532" w:val="left" w:leader="none"/>
        </w:tabs>
        <w:spacing w:line="240" w:lineRule="auto" w:before="158" w:after="0"/>
        <w:ind w:left="1531" w:right="0" w:hanging="567"/>
        <w:jc w:val="left"/>
      </w:pPr>
      <w:r>
        <w:rPr/>
        <w:t>DADOS</w:t>
      </w:r>
      <w:r>
        <w:rPr>
          <w:spacing w:val="-1"/>
        </w:rPr>
        <w:t> </w:t>
      </w:r>
      <w:r>
        <w:rPr/>
        <w:t>ESTRATÉGICOS</w:t>
      </w:r>
    </w:p>
    <w:p>
      <w:pPr>
        <w:pStyle w:val="BodyText"/>
        <w:spacing w:before="1"/>
        <w:rPr>
          <w:b/>
          <w:sz w:val="25"/>
        </w:rPr>
      </w:pPr>
    </w:p>
    <w:p>
      <w:pPr>
        <w:pStyle w:val="ListParagraph"/>
        <w:numPr>
          <w:ilvl w:val="1"/>
          <w:numId w:val="21"/>
        </w:numPr>
        <w:tabs>
          <w:tab w:pos="1323" w:val="left" w:leader="none"/>
        </w:tabs>
        <w:spacing w:line="360" w:lineRule="auto" w:before="1" w:after="0"/>
        <w:ind w:left="113" w:right="169" w:firstLine="852"/>
        <w:jc w:val="both"/>
        <w:rPr>
          <w:sz w:val="24"/>
        </w:rPr>
      </w:pPr>
      <w:r>
        <w:rPr>
          <w:b/>
          <w:sz w:val="24"/>
        </w:rPr>
        <w:t>Objetivos</w:t>
      </w:r>
      <w:r>
        <w:rPr>
          <w:b/>
          <w:spacing w:val="-9"/>
          <w:sz w:val="24"/>
        </w:rPr>
        <w:t> </w:t>
      </w:r>
      <w:r>
        <w:rPr>
          <w:b/>
          <w:sz w:val="24"/>
        </w:rPr>
        <w:t>Estratégicos</w:t>
      </w:r>
      <w:r>
        <w:rPr>
          <w:sz w:val="24"/>
        </w:rPr>
        <w:t>:</w:t>
      </w:r>
      <w:r>
        <w:rPr>
          <w:spacing w:val="-9"/>
          <w:sz w:val="24"/>
        </w:rPr>
        <w:t> </w:t>
      </w:r>
      <w:r>
        <w:rPr>
          <w:sz w:val="24"/>
        </w:rPr>
        <w:t>neste</w:t>
      </w:r>
      <w:r>
        <w:rPr>
          <w:spacing w:val="-6"/>
          <w:sz w:val="24"/>
        </w:rPr>
        <w:t> </w:t>
      </w:r>
      <w:r>
        <w:rPr>
          <w:sz w:val="24"/>
        </w:rPr>
        <w:t>campo</w:t>
      </w:r>
      <w:r>
        <w:rPr>
          <w:spacing w:val="-8"/>
          <w:sz w:val="24"/>
        </w:rPr>
        <w:t> </w:t>
      </w:r>
      <w:r>
        <w:rPr>
          <w:sz w:val="24"/>
        </w:rPr>
        <w:t>deve</w:t>
      </w:r>
      <w:r>
        <w:rPr>
          <w:spacing w:val="-8"/>
          <w:sz w:val="24"/>
        </w:rPr>
        <w:t> </w:t>
      </w:r>
      <w:r>
        <w:rPr>
          <w:sz w:val="24"/>
        </w:rPr>
        <w:t>ser</w:t>
      </w:r>
      <w:r>
        <w:rPr>
          <w:spacing w:val="-8"/>
          <w:sz w:val="24"/>
        </w:rPr>
        <w:t> </w:t>
      </w:r>
      <w:r>
        <w:rPr>
          <w:sz w:val="24"/>
        </w:rPr>
        <w:t>informado</w:t>
      </w:r>
      <w:r>
        <w:rPr>
          <w:spacing w:val="-8"/>
          <w:sz w:val="24"/>
        </w:rPr>
        <w:t> </w:t>
      </w:r>
      <w:r>
        <w:rPr>
          <w:sz w:val="24"/>
        </w:rPr>
        <w:t>o</w:t>
      </w:r>
      <w:r>
        <w:rPr>
          <w:spacing w:val="-6"/>
          <w:sz w:val="24"/>
        </w:rPr>
        <w:t> </w:t>
      </w:r>
      <w:r>
        <w:rPr>
          <w:sz w:val="24"/>
        </w:rPr>
        <w:t>objetivo</w:t>
      </w:r>
      <w:r>
        <w:rPr>
          <w:spacing w:val="-8"/>
          <w:sz w:val="24"/>
        </w:rPr>
        <w:t> </w:t>
      </w:r>
      <w:r>
        <w:rPr>
          <w:sz w:val="24"/>
        </w:rPr>
        <w:t>estratégico</w:t>
      </w:r>
      <w:r>
        <w:rPr>
          <w:spacing w:val="-8"/>
          <w:sz w:val="24"/>
        </w:rPr>
        <w:t> </w:t>
      </w:r>
      <w:r>
        <w:rPr>
          <w:sz w:val="24"/>
        </w:rPr>
        <w:t>ao</w:t>
      </w:r>
      <w:r>
        <w:rPr>
          <w:spacing w:val="-8"/>
          <w:sz w:val="24"/>
        </w:rPr>
        <w:t> </w:t>
      </w:r>
      <w:r>
        <w:rPr>
          <w:sz w:val="24"/>
        </w:rPr>
        <w:t>qual o</w:t>
      </w:r>
      <w:r>
        <w:rPr>
          <w:spacing w:val="-4"/>
          <w:sz w:val="24"/>
        </w:rPr>
        <w:t> </w:t>
      </w:r>
      <w:r>
        <w:rPr>
          <w:sz w:val="24"/>
        </w:rPr>
        <w:t>projeto</w:t>
      </w:r>
      <w:r>
        <w:rPr>
          <w:spacing w:val="-7"/>
          <w:sz w:val="24"/>
        </w:rPr>
        <w:t> </w:t>
      </w:r>
      <w:r>
        <w:rPr>
          <w:sz w:val="24"/>
        </w:rPr>
        <w:t>ou</w:t>
      </w:r>
      <w:r>
        <w:rPr>
          <w:spacing w:val="-5"/>
          <w:sz w:val="24"/>
        </w:rPr>
        <w:t> </w:t>
      </w:r>
      <w:r>
        <w:rPr>
          <w:sz w:val="24"/>
        </w:rPr>
        <w:t>atividade</w:t>
      </w:r>
      <w:r>
        <w:rPr>
          <w:spacing w:val="-7"/>
          <w:sz w:val="24"/>
        </w:rPr>
        <w:t> </w:t>
      </w:r>
      <w:r>
        <w:rPr>
          <w:sz w:val="24"/>
        </w:rPr>
        <w:t>está</w:t>
      </w:r>
      <w:r>
        <w:rPr>
          <w:spacing w:val="-3"/>
          <w:sz w:val="24"/>
        </w:rPr>
        <w:t> </w:t>
      </w:r>
      <w:r>
        <w:rPr>
          <w:sz w:val="24"/>
        </w:rPr>
        <w:t>diretamente</w:t>
      </w:r>
      <w:r>
        <w:rPr>
          <w:spacing w:val="-3"/>
          <w:sz w:val="24"/>
        </w:rPr>
        <w:t> </w:t>
      </w:r>
      <w:r>
        <w:rPr>
          <w:sz w:val="24"/>
        </w:rPr>
        <w:t>relacionado</w:t>
      </w:r>
      <w:r>
        <w:rPr>
          <w:spacing w:val="-3"/>
          <w:sz w:val="24"/>
        </w:rPr>
        <w:t> </w:t>
      </w:r>
      <w:r>
        <w:rPr>
          <w:sz w:val="24"/>
        </w:rPr>
        <w:t>(principal).</w:t>
      </w:r>
      <w:r>
        <w:rPr>
          <w:spacing w:val="-6"/>
          <w:sz w:val="24"/>
        </w:rPr>
        <w:t> </w:t>
      </w:r>
      <w:r>
        <w:rPr>
          <w:sz w:val="24"/>
        </w:rPr>
        <w:t>Foram</w:t>
      </w:r>
      <w:r>
        <w:rPr>
          <w:spacing w:val="-6"/>
          <w:sz w:val="24"/>
        </w:rPr>
        <w:t> </w:t>
      </w:r>
      <w:r>
        <w:rPr>
          <w:sz w:val="24"/>
        </w:rPr>
        <w:t>estabelecidos</w:t>
      </w:r>
      <w:r>
        <w:rPr>
          <w:spacing w:val="-5"/>
          <w:sz w:val="24"/>
        </w:rPr>
        <w:t> </w:t>
      </w:r>
      <w:r>
        <w:rPr>
          <w:sz w:val="24"/>
        </w:rPr>
        <w:t>14</w:t>
      </w:r>
      <w:r>
        <w:rPr>
          <w:spacing w:val="-3"/>
          <w:sz w:val="24"/>
        </w:rPr>
        <w:t> </w:t>
      </w:r>
      <w:r>
        <w:rPr>
          <w:sz w:val="24"/>
        </w:rPr>
        <w:t>(</w:t>
      </w:r>
      <w:r>
        <w:rPr>
          <w:b/>
          <w:sz w:val="24"/>
        </w:rPr>
        <w:t>quatorze</w:t>
      </w:r>
      <w:r>
        <w:rPr>
          <w:sz w:val="24"/>
        </w:rPr>
        <w:t>) objetivos</w:t>
      </w:r>
      <w:r>
        <w:rPr>
          <w:spacing w:val="-1"/>
          <w:sz w:val="24"/>
        </w:rPr>
        <w:t> </w:t>
      </w:r>
      <w:r>
        <w:rPr>
          <w:sz w:val="24"/>
        </w:rPr>
        <w:t>estratégicos:</w:t>
      </w:r>
    </w:p>
    <w:p>
      <w:pPr>
        <w:pStyle w:val="Heading5"/>
        <w:spacing w:before="160"/>
        <w:ind w:left="965"/>
        <w:jc w:val="both"/>
      </w:pPr>
      <w:r>
        <w:rPr/>
        <w:t>Processos Internos (Excelência Organizacional)</w:t>
      </w:r>
    </w:p>
    <w:p>
      <w:pPr>
        <w:pStyle w:val="BodyText"/>
        <w:spacing w:before="2"/>
        <w:rPr>
          <w:b/>
          <w:sz w:val="25"/>
        </w:rPr>
      </w:pPr>
    </w:p>
    <w:p>
      <w:pPr>
        <w:pStyle w:val="ListParagraph"/>
        <w:numPr>
          <w:ilvl w:val="2"/>
          <w:numId w:val="21"/>
        </w:numPr>
        <w:tabs>
          <w:tab w:pos="1685" w:val="left" w:leader="none"/>
          <w:tab w:pos="1686" w:val="left" w:leader="none"/>
        </w:tabs>
        <w:spacing w:line="240" w:lineRule="auto" w:before="0" w:after="0"/>
        <w:ind w:left="1685" w:right="0" w:hanging="484"/>
        <w:jc w:val="left"/>
        <w:rPr>
          <w:sz w:val="24"/>
        </w:rPr>
      </w:pPr>
      <w:r>
        <w:rPr>
          <w:sz w:val="24"/>
        </w:rPr>
        <w:t>Tornar</w:t>
      </w:r>
      <w:r>
        <w:rPr>
          <w:spacing w:val="-10"/>
          <w:sz w:val="24"/>
        </w:rPr>
        <w:t> </w:t>
      </w:r>
      <w:r>
        <w:rPr>
          <w:sz w:val="24"/>
        </w:rPr>
        <w:t>a</w:t>
      </w:r>
      <w:r>
        <w:rPr>
          <w:spacing w:val="-10"/>
          <w:sz w:val="24"/>
        </w:rPr>
        <w:t> </w:t>
      </w:r>
      <w:r>
        <w:rPr>
          <w:sz w:val="24"/>
        </w:rPr>
        <w:t>fiscalização</w:t>
      </w:r>
      <w:r>
        <w:rPr>
          <w:spacing w:val="-10"/>
          <w:sz w:val="24"/>
        </w:rPr>
        <w:t> </w:t>
      </w:r>
      <w:r>
        <w:rPr>
          <w:sz w:val="24"/>
        </w:rPr>
        <w:t>um</w:t>
      </w:r>
      <w:r>
        <w:rPr>
          <w:spacing w:val="-10"/>
          <w:sz w:val="24"/>
        </w:rPr>
        <w:t> </w:t>
      </w:r>
      <w:r>
        <w:rPr>
          <w:sz w:val="24"/>
        </w:rPr>
        <w:t>vetor</w:t>
      </w:r>
      <w:r>
        <w:rPr>
          <w:spacing w:val="-9"/>
          <w:sz w:val="24"/>
        </w:rPr>
        <w:t> </w:t>
      </w:r>
      <w:r>
        <w:rPr>
          <w:sz w:val="24"/>
        </w:rPr>
        <w:t>de</w:t>
      </w:r>
      <w:r>
        <w:rPr>
          <w:spacing w:val="-10"/>
          <w:sz w:val="24"/>
        </w:rPr>
        <w:t> </w:t>
      </w:r>
      <w:r>
        <w:rPr>
          <w:sz w:val="24"/>
        </w:rPr>
        <w:t>melhoria</w:t>
      </w:r>
      <w:r>
        <w:rPr>
          <w:spacing w:val="-10"/>
          <w:sz w:val="24"/>
        </w:rPr>
        <w:t> </w:t>
      </w:r>
      <w:r>
        <w:rPr>
          <w:sz w:val="24"/>
        </w:rPr>
        <w:t>do</w:t>
      </w:r>
      <w:r>
        <w:rPr>
          <w:spacing w:val="-7"/>
          <w:sz w:val="24"/>
        </w:rPr>
        <w:t> </w:t>
      </w:r>
      <w:r>
        <w:rPr>
          <w:sz w:val="24"/>
        </w:rPr>
        <w:t>exercício</w:t>
      </w:r>
      <w:r>
        <w:rPr>
          <w:spacing w:val="-7"/>
          <w:sz w:val="24"/>
        </w:rPr>
        <w:t> </w:t>
      </w:r>
      <w:r>
        <w:rPr>
          <w:sz w:val="24"/>
        </w:rPr>
        <w:t>da</w:t>
      </w:r>
      <w:r>
        <w:rPr>
          <w:spacing w:val="-10"/>
          <w:sz w:val="24"/>
        </w:rPr>
        <w:t> </w:t>
      </w:r>
      <w:r>
        <w:rPr>
          <w:sz w:val="24"/>
        </w:rPr>
        <w:t>Arquitetura</w:t>
      </w:r>
      <w:r>
        <w:rPr>
          <w:spacing w:val="-10"/>
          <w:sz w:val="24"/>
        </w:rPr>
        <w:t> </w:t>
      </w:r>
      <w:r>
        <w:rPr>
          <w:sz w:val="24"/>
        </w:rPr>
        <w:t>e</w:t>
      </w:r>
      <w:r>
        <w:rPr>
          <w:spacing w:val="-7"/>
          <w:sz w:val="24"/>
        </w:rPr>
        <w:t> </w:t>
      </w:r>
      <w:r>
        <w:rPr>
          <w:sz w:val="24"/>
        </w:rPr>
        <w:t>Urbanismo</w:t>
      </w:r>
    </w:p>
    <w:p>
      <w:pPr>
        <w:pStyle w:val="ListParagraph"/>
        <w:numPr>
          <w:ilvl w:val="2"/>
          <w:numId w:val="21"/>
        </w:numPr>
        <w:tabs>
          <w:tab w:pos="1685" w:val="left" w:leader="none"/>
          <w:tab w:pos="1686" w:val="left" w:leader="none"/>
        </w:tabs>
        <w:spacing w:line="360" w:lineRule="auto" w:before="146" w:after="0"/>
        <w:ind w:left="1685" w:right="175" w:hanging="543"/>
        <w:jc w:val="left"/>
        <w:rPr>
          <w:sz w:val="24"/>
        </w:rPr>
      </w:pPr>
      <w:r>
        <w:rPr>
          <w:sz w:val="24"/>
        </w:rPr>
        <w:t>Assegurar a eficácia no atendimento e no relacionamento com os arquitetos e urbanistas e a</w:t>
      </w:r>
      <w:r>
        <w:rPr>
          <w:spacing w:val="-4"/>
          <w:sz w:val="24"/>
        </w:rPr>
        <w:t> </w:t>
      </w:r>
      <w:r>
        <w:rPr>
          <w:sz w:val="24"/>
        </w:rPr>
        <w:t>sociedade</w:t>
      </w:r>
    </w:p>
    <w:p>
      <w:pPr>
        <w:pStyle w:val="ListParagraph"/>
        <w:numPr>
          <w:ilvl w:val="2"/>
          <w:numId w:val="21"/>
        </w:numPr>
        <w:tabs>
          <w:tab w:pos="1685" w:val="left" w:leader="none"/>
          <w:tab w:pos="1686" w:val="left" w:leader="none"/>
        </w:tabs>
        <w:spacing w:line="360" w:lineRule="auto" w:before="0" w:after="0"/>
        <w:ind w:left="1685" w:right="173" w:hanging="603"/>
        <w:jc w:val="left"/>
        <w:rPr>
          <w:sz w:val="24"/>
        </w:rPr>
      </w:pPr>
      <w:r>
        <w:rPr>
          <w:sz w:val="24"/>
        </w:rPr>
        <w:t>Estimular o conhecimento, o uso de processos criativos e a difusão das melhores práticas em Arquitetura e</w:t>
      </w:r>
      <w:r>
        <w:rPr>
          <w:spacing w:val="-5"/>
          <w:sz w:val="24"/>
        </w:rPr>
        <w:t> </w:t>
      </w:r>
      <w:r>
        <w:rPr>
          <w:sz w:val="24"/>
        </w:rPr>
        <w:t>Urbanismo</w:t>
      </w:r>
    </w:p>
    <w:p>
      <w:pPr>
        <w:pStyle w:val="Heading5"/>
        <w:spacing w:before="201"/>
        <w:ind w:left="965"/>
      </w:pPr>
      <w:r>
        <w:rPr/>
        <w:t>Processos Internos (Relações Institucionais)</w:t>
      </w:r>
    </w:p>
    <w:p>
      <w:pPr>
        <w:pStyle w:val="BodyText"/>
        <w:spacing w:before="2"/>
        <w:rPr>
          <w:b/>
          <w:sz w:val="25"/>
        </w:rPr>
      </w:pPr>
    </w:p>
    <w:p>
      <w:pPr>
        <w:pStyle w:val="ListParagraph"/>
        <w:numPr>
          <w:ilvl w:val="2"/>
          <w:numId w:val="21"/>
        </w:numPr>
        <w:tabs>
          <w:tab w:pos="1685" w:val="left" w:leader="none"/>
          <w:tab w:pos="1686" w:val="left" w:leader="none"/>
        </w:tabs>
        <w:spacing w:line="360" w:lineRule="auto" w:before="0" w:after="0"/>
        <w:ind w:left="1685" w:right="175" w:hanging="620"/>
        <w:jc w:val="left"/>
        <w:rPr>
          <w:sz w:val="24"/>
        </w:rPr>
      </w:pPr>
      <w:r>
        <w:rPr>
          <w:sz w:val="24"/>
        </w:rPr>
        <w:t>Influenciar as diretrizes do ensino de Arquitetura e Urbanismo e sua formação continuada</w:t>
      </w:r>
    </w:p>
    <w:p>
      <w:pPr>
        <w:pStyle w:val="ListParagraph"/>
        <w:numPr>
          <w:ilvl w:val="2"/>
          <w:numId w:val="21"/>
        </w:numPr>
        <w:tabs>
          <w:tab w:pos="1685" w:val="left" w:leader="none"/>
          <w:tab w:pos="1686" w:val="left" w:leader="none"/>
        </w:tabs>
        <w:spacing w:line="360" w:lineRule="auto" w:before="0" w:after="0"/>
        <w:ind w:left="1685" w:right="171" w:hanging="557"/>
        <w:jc w:val="left"/>
        <w:rPr>
          <w:sz w:val="24"/>
        </w:rPr>
      </w:pPr>
      <w:r>
        <w:rPr>
          <w:sz w:val="24"/>
        </w:rPr>
        <w:t>Garantir</w:t>
      </w:r>
      <w:r>
        <w:rPr>
          <w:spacing w:val="-8"/>
          <w:sz w:val="24"/>
        </w:rPr>
        <w:t> </w:t>
      </w:r>
      <w:r>
        <w:rPr>
          <w:sz w:val="24"/>
        </w:rPr>
        <w:t>a</w:t>
      </w:r>
      <w:r>
        <w:rPr>
          <w:spacing w:val="-9"/>
          <w:sz w:val="24"/>
        </w:rPr>
        <w:t> </w:t>
      </w:r>
      <w:r>
        <w:rPr>
          <w:sz w:val="24"/>
        </w:rPr>
        <w:t>participação</w:t>
      </w:r>
      <w:r>
        <w:rPr>
          <w:spacing w:val="-8"/>
          <w:sz w:val="24"/>
        </w:rPr>
        <w:t> </w:t>
      </w:r>
      <w:r>
        <w:rPr>
          <w:sz w:val="24"/>
        </w:rPr>
        <w:t>dos</w:t>
      </w:r>
      <w:r>
        <w:rPr>
          <w:spacing w:val="-5"/>
          <w:sz w:val="24"/>
        </w:rPr>
        <w:t> </w:t>
      </w:r>
      <w:r>
        <w:rPr>
          <w:sz w:val="24"/>
        </w:rPr>
        <w:t>arquitetos</w:t>
      </w:r>
      <w:r>
        <w:rPr>
          <w:spacing w:val="-8"/>
          <w:sz w:val="24"/>
        </w:rPr>
        <w:t> </w:t>
      </w:r>
      <w:r>
        <w:rPr>
          <w:sz w:val="24"/>
        </w:rPr>
        <w:t>e</w:t>
      </w:r>
      <w:r>
        <w:rPr>
          <w:spacing w:val="-8"/>
          <w:sz w:val="24"/>
        </w:rPr>
        <w:t> </w:t>
      </w:r>
      <w:r>
        <w:rPr>
          <w:sz w:val="24"/>
        </w:rPr>
        <w:t>urbanistas</w:t>
      </w:r>
      <w:r>
        <w:rPr>
          <w:spacing w:val="-6"/>
          <w:sz w:val="24"/>
        </w:rPr>
        <w:t> </w:t>
      </w:r>
      <w:r>
        <w:rPr>
          <w:sz w:val="24"/>
        </w:rPr>
        <w:t>no</w:t>
      </w:r>
      <w:r>
        <w:rPr>
          <w:spacing w:val="-8"/>
          <w:sz w:val="24"/>
        </w:rPr>
        <w:t> </w:t>
      </w:r>
      <w:r>
        <w:rPr>
          <w:sz w:val="24"/>
        </w:rPr>
        <w:t>planejamento</w:t>
      </w:r>
      <w:r>
        <w:rPr>
          <w:spacing w:val="-8"/>
          <w:sz w:val="24"/>
        </w:rPr>
        <w:t> </w:t>
      </w:r>
      <w:r>
        <w:rPr>
          <w:sz w:val="24"/>
        </w:rPr>
        <w:t>territorial</w:t>
      </w:r>
      <w:r>
        <w:rPr>
          <w:spacing w:val="-6"/>
          <w:sz w:val="24"/>
        </w:rPr>
        <w:t> </w:t>
      </w:r>
      <w:r>
        <w:rPr>
          <w:sz w:val="24"/>
        </w:rPr>
        <w:t>e</w:t>
      </w:r>
      <w:r>
        <w:rPr>
          <w:spacing w:val="-7"/>
          <w:sz w:val="24"/>
        </w:rPr>
        <w:t> </w:t>
      </w:r>
      <w:r>
        <w:rPr>
          <w:sz w:val="24"/>
        </w:rPr>
        <w:t>na gestão</w:t>
      </w:r>
      <w:r>
        <w:rPr>
          <w:spacing w:val="-1"/>
          <w:sz w:val="24"/>
        </w:rPr>
        <w:t> </w:t>
      </w:r>
      <w:r>
        <w:rPr>
          <w:sz w:val="24"/>
        </w:rPr>
        <w:t>urbana</w:t>
      </w:r>
    </w:p>
    <w:p>
      <w:pPr>
        <w:pStyle w:val="ListParagraph"/>
        <w:numPr>
          <w:ilvl w:val="2"/>
          <w:numId w:val="21"/>
        </w:numPr>
        <w:tabs>
          <w:tab w:pos="1685" w:val="left" w:leader="none"/>
          <w:tab w:pos="1686" w:val="left" w:leader="none"/>
        </w:tabs>
        <w:spacing w:line="240" w:lineRule="auto" w:before="0" w:after="0"/>
        <w:ind w:left="1685" w:right="0" w:hanging="620"/>
        <w:jc w:val="left"/>
        <w:rPr>
          <w:sz w:val="24"/>
        </w:rPr>
      </w:pPr>
      <w:r>
        <w:rPr>
          <w:sz w:val="24"/>
        </w:rPr>
        <w:t>Estimular a produção da arquitetura e urbanismo como política de</w:t>
      </w:r>
      <w:r>
        <w:rPr>
          <w:spacing w:val="-15"/>
          <w:sz w:val="24"/>
        </w:rPr>
        <w:t> </w:t>
      </w:r>
      <w:r>
        <w:rPr>
          <w:sz w:val="24"/>
        </w:rPr>
        <w:t>Estado</w:t>
      </w:r>
    </w:p>
    <w:p>
      <w:pPr>
        <w:pStyle w:val="BodyText"/>
        <w:spacing w:before="3"/>
        <w:rPr>
          <w:sz w:val="28"/>
        </w:rPr>
      </w:pPr>
    </w:p>
    <w:p>
      <w:pPr>
        <w:pStyle w:val="Heading5"/>
        <w:ind w:left="965"/>
      </w:pPr>
      <w:r>
        <w:rPr/>
        <w:t>Processos Internos (Relação com a Sociedade)</w:t>
      </w:r>
    </w:p>
    <w:p>
      <w:pPr>
        <w:pStyle w:val="BodyText"/>
        <w:spacing w:before="2"/>
        <w:rPr>
          <w:b/>
          <w:sz w:val="25"/>
        </w:rPr>
      </w:pPr>
    </w:p>
    <w:p>
      <w:pPr>
        <w:pStyle w:val="ListParagraph"/>
        <w:numPr>
          <w:ilvl w:val="2"/>
          <w:numId w:val="21"/>
        </w:numPr>
        <w:tabs>
          <w:tab w:pos="1685" w:val="left" w:leader="none"/>
          <w:tab w:pos="1686" w:val="left" w:leader="none"/>
        </w:tabs>
        <w:spacing w:line="240" w:lineRule="auto" w:before="0" w:after="0"/>
        <w:ind w:left="1685" w:right="0" w:hanging="680"/>
        <w:jc w:val="left"/>
        <w:rPr>
          <w:sz w:val="24"/>
        </w:rPr>
      </w:pPr>
      <w:r>
        <w:rPr>
          <w:sz w:val="24"/>
        </w:rPr>
        <w:t>Assegurar a eficácia no relacionamento e comunicação com a</w:t>
      </w:r>
      <w:r>
        <w:rPr>
          <w:spacing w:val="-9"/>
          <w:sz w:val="24"/>
        </w:rPr>
        <w:t> </w:t>
      </w:r>
      <w:r>
        <w:rPr>
          <w:sz w:val="24"/>
        </w:rPr>
        <w:t>sociedade</w:t>
      </w:r>
    </w:p>
    <w:p>
      <w:pPr>
        <w:spacing w:after="0" w:line="240" w:lineRule="auto"/>
        <w:jc w:val="left"/>
        <w:rPr>
          <w:sz w:val="24"/>
        </w:rPr>
        <w:sectPr>
          <w:pgSz w:w="11910" w:h="16840"/>
          <w:pgMar w:header="590" w:footer="538" w:top="1640" w:bottom="720" w:left="1020" w:right="960"/>
        </w:sectPr>
      </w:pPr>
    </w:p>
    <w:p>
      <w:pPr>
        <w:pStyle w:val="ListParagraph"/>
        <w:numPr>
          <w:ilvl w:val="2"/>
          <w:numId w:val="21"/>
        </w:numPr>
        <w:tabs>
          <w:tab w:pos="1686" w:val="left" w:leader="none"/>
        </w:tabs>
        <w:spacing w:line="240" w:lineRule="auto" w:before="46" w:after="0"/>
        <w:ind w:left="1685" w:right="0" w:hanging="740"/>
        <w:jc w:val="both"/>
        <w:rPr>
          <w:sz w:val="24"/>
        </w:rPr>
      </w:pPr>
      <w:r>
        <w:rPr>
          <w:sz w:val="24"/>
        </w:rPr>
        <w:t>Promover o exercício ético e qualificado da</w:t>
      </w:r>
      <w:r>
        <w:rPr>
          <w:spacing w:val="-7"/>
          <w:sz w:val="24"/>
        </w:rPr>
        <w:t> </w:t>
      </w:r>
      <w:r>
        <w:rPr>
          <w:sz w:val="24"/>
        </w:rPr>
        <w:t>profissão</w:t>
      </w:r>
    </w:p>
    <w:p>
      <w:pPr>
        <w:pStyle w:val="ListParagraph"/>
        <w:numPr>
          <w:ilvl w:val="2"/>
          <w:numId w:val="21"/>
        </w:numPr>
        <w:tabs>
          <w:tab w:pos="1686" w:val="left" w:leader="none"/>
        </w:tabs>
        <w:spacing w:line="240" w:lineRule="auto" w:before="146" w:after="0"/>
        <w:ind w:left="1685" w:right="0" w:hanging="608"/>
        <w:jc w:val="both"/>
        <w:rPr>
          <w:sz w:val="24"/>
        </w:rPr>
      </w:pPr>
      <w:r>
        <w:rPr>
          <w:sz w:val="24"/>
        </w:rPr>
        <w:t>Fomentar o acesso da sociedade à Arquitetura e</w:t>
      </w:r>
      <w:r>
        <w:rPr>
          <w:spacing w:val="-9"/>
          <w:sz w:val="24"/>
        </w:rPr>
        <w:t> </w:t>
      </w:r>
      <w:r>
        <w:rPr>
          <w:sz w:val="24"/>
        </w:rPr>
        <w:t>Urbanismo</w:t>
      </w:r>
    </w:p>
    <w:p>
      <w:pPr>
        <w:pStyle w:val="BodyText"/>
      </w:pPr>
    </w:p>
    <w:p>
      <w:pPr>
        <w:pStyle w:val="BodyText"/>
      </w:pPr>
    </w:p>
    <w:p>
      <w:pPr>
        <w:pStyle w:val="Heading5"/>
        <w:spacing w:before="199"/>
        <w:ind w:left="965"/>
      </w:pPr>
      <w:r>
        <w:rPr/>
        <w:t>Alavancadores</w:t>
      </w:r>
    </w:p>
    <w:p>
      <w:pPr>
        <w:pStyle w:val="BodyText"/>
        <w:spacing w:before="2"/>
        <w:rPr>
          <w:b/>
          <w:sz w:val="25"/>
        </w:rPr>
      </w:pPr>
    </w:p>
    <w:p>
      <w:pPr>
        <w:pStyle w:val="ListParagraph"/>
        <w:numPr>
          <w:ilvl w:val="2"/>
          <w:numId w:val="21"/>
        </w:numPr>
        <w:tabs>
          <w:tab w:pos="1686" w:val="left" w:leader="none"/>
        </w:tabs>
        <w:spacing w:line="240" w:lineRule="auto" w:before="0" w:after="0"/>
        <w:ind w:left="1685" w:right="0" w:hanging="548"/>
        <w:jc w:val="both"/>
        <w:rPr>
          <w:sz w:val="24"/>
        </w:rPr>
      </w:pPr>
      <w:r>
        <w:rPr>
          <w:sz w:val="24"/>
        </w:rPr>
        <w:t>Assegurar a sustentabilidade</w:t>
      </w:r>
      <w:r>
        <w:rPr>
          <w:spacing w:val="-3"/>
          <w:sz w:val="24"/>
        </w:rPr>
        <w:t> </w:t>
      </w:r>
      <w:r>
        <w:rPr>
          <w:sz w:val="24"/>
        </w:rPr>
        <w:t>financeira</w:t>
      </w:r>
    </w:p>
    <w:p>
      <w:pPr>
        <w:pStyle w:val="ListParagraph"/>
        <w:numPr>
          <w:ilvl w:val="2"/>
          <w:numId w:val="21"/>
        </w:numPr>
        <w:tabs>
          <w:tab w:pos="1686" w:val="left" w:leader="none"/>
        </w:tabs>
        <w:spacing w:line="240" w:lineRule="auto" w:before="146" w:after="0"/>
        <w:ind w:left="1685" w:right="0" w:hanging="608"/>
        <w:jc w:val="both"/>
        <w:rPr>
          <w:sz w:val="24"/>
        </w:rPr>
      </w:pPr>
      <w:r>
        <w:rPr>
          <w:sz w:val="24"/>
        </w:rPr>
        <w:t>Aprimorar e inovar os processos e as</w:t>
      </w:r>
      <w:r>
        <w:rPr>
          <w:spacing w:val="-7"/>
          <w:sz w:val="24"/>
        </w:rPr>
        <w:t> </w:t>
      </w:r>
      <w:r>
        <w:rPr>
          <w:sz w:val="24"/>
        </w:rPr>
        <w:t>ações</w:t>
      </w:r>
    </w:p>
    <w:p>
      <w:pPr>
        <w:pStyle w:val="BodyText"/>
      </w:pPr>
    </w:p>
    <w:p>
      <w:pPr>
        <w:pStyle w:val="BodyText"/>
      </w:pPr>
    </w:p>
    <w:p>
      <w:pPr>
        <w:pStyle w:val="Heading5"/>
        <w:ind w:left="965"/>
      </w:pPr>
      <w:r>
        <w:rPr/>
        <w:t>Pessoas e Infraestrutura</w:t>
      </w:r>
    </w:p>
    <w:p>
      <w:pPr>
        <w:pStyle w:val="BodyText"/>
        <w:rPr>
          <w:b/>
        </w:rPr>
      </w:pPr>
    </w:p>
    <w:p>
      <w:pPr>
        <w:pStyle w:val="BodyText"/>
        <w:spacing w:before="2"/>
        <w:rPr>
          <w:b/>
        </w:rPr>
      </w:pPr>
    </w:p>
    <w:p>
      <w:pPr>
        <w:pStyle w:val="ListParagraph"/>
        <w:numPr>
          <w:ilvl w:val="2"/>
          <w:numId w:val="21"/>
        </w:numPr>
        <w:tabs>
          <w:tab w:pos="1674" w:val="left" w:leader="none"/>
        </w:tabs>
        <w:spacing w:line="240" w:lineRule="auto" w:before="0" w:after="0"/>
        <w:ind w:left="1673" w:right="0" w:hanging="733"/>
        <w:jc w:val="both"/>
        <w:rPr>
          <w:sz w:val="24"/>
        </w:rPr>
      </w:pPr>
      <w:r>
        <w:rPr>
          <w:sz w:val="24"/>
        </w:rPr>
        <w:t>Desenvolver competências de dirigentes e colaboradores</w:t>
      </w:r>
    </w:p>
    <w:p>
      <w:pPr>
        <w:pStyle w:val="ListParagraph"/>
        <w:numPr>
          <w:ilvl w:val="2"/>
          <w:numId w:val="21"/>
        </w:numPr>
        <w:tabs>
          <w:tab w:pos="1686" w:val="left" w:leader="none"/>
        </w:tabs>
        <w:spacing w:line="240" w:lineRule="auto" w:before="146" w:after="0"/>
        <w:ind w:left="1685" w:right="0" w:hanging="728"/>
        <w:jc w:val="both"/>
        <w:rPr>
          <w:sz w:val="24"/>
        </w:rPr>
      </w:pPr>
      <w:r>
        <w:rPr>
          <w:sz w:val="24"/>
        </w:rPr>
        <w:t>Construir cultura organizacional adequada à</w:t>
      </w:r>
      <w:r>
        <w:rPr>
          <w:spacing w:val="-7"/>
          <w:sz w:val="24"/>
        </w:rPr>
        <w:t> </w:t>
      </w:r>
      <w:r>
        <w:rPr>
          <w:sz w:val="24"/>
        </w:rPr>
        <w:t>estratégia</w:t>
      </w:r>
    </w:p>
    <w:p>
      <w:pPr>
        <w:pStyle w:val="ListParagraph"/>
        <w:numPr>
          <w:ilvl w:val="2"/>
          <w:numId w:val="21"/>
        </w:numPr>
        <w:tabs>
          <w:tab w:pos="1686" w:val="left" w:leader="none"/>
        </w:tabs>
        <w:spacing w:line="360" w:lineRule="auto" w:before="146" w:after="0"/>
        <w:ind w:left="1685" w:right="173" w:hanging="742"/>
        <w:jc w:val="both"/>
        <w:rPr>
          <w:sz w:val="24"/>
        </w:rPr>
      </w:pPr>
      <w:r>
        <w:rPr>
          <w:sz w:val="24"/>
        </w:rPr>
        <w:t>Ter sistemas de informação e infraestrutura que viabilizem a gestão e o atendimento dos arquitetos e urbanistas e a</w:t>
      </w:r>
      <w:r>
        <w:rPr>
          <w:spacing w:val="-6"/>
          <w:sz w:val="24"/>
        </w:rPr>
        <w:t> </w:t>
      </w:r>
      <w:r>
        <w:rPr>
          <w:sz w:val="24"/>
        </w:rPr>
        <w:t>sociedade</w:t>
      </w:r>
    </w:p>
    <w:p>
      <w:pPr>
        <w:pStyle w:val="ListParagraph"/>
        <w:numPr>
          <w:ilvl w:val="1"/>
          <w:numId w:val="21"/>
        </w:numPr>
        <w:tabs>
          <w:tab w:pos="1359" w:val="left" w:leader="none"/>
        </w:tabs>
        <w:spacing w:line="360" w:lineRule="auto" w:before="200" w:after="0"/>
        <w:ind w:left="113" w:right="170" w:firstLine="852"/>
        <w:jc w:val="both"/>
        <w:rPr>
          <w:sz w:val="24"/>
        </w:rPr>
      </w:pPr>
      <w:r>
        <w:rPr>
          <w:b/>
          <w:sz w:val="24"/>
        </w:rPr>
        <w:t>Objetivos de Desenvolvimento Sustentável (Facultativo): </w:t>
      </w:r>
      <w:r>
        <w:rPr>
          <w:sz w:val="24"/>
        </w:rPr>
        <w:t>são uma agenda mundial adotada durante a Cúpula das Nações Unidas sobre o Desenvolvimento Sustentável, composta por 17 objetivos e 169 metas a serem atingidos até 2030. Ao firmar o compromisso de incluir os ODS à sua</w:t>
      </w:r>
      <w:r>
        <w:rPr>
          <w:spacing w:val="-3"/>
          <w:sz w:val="24"/>
        </w:rPr>
        <w:t> </w:t>
      </w:r>
      <w:r>
        <w:rPr>
          <w:sz w:val="24"/>
        </w:rPr>
        <w:t>estratégia,</w:t>
      </w:r>
      <w:r>
        <w:rPr>
          <w:spacing w:val="-5"/>
          <w:sz w:val="24"/>
        </w:rPr>
        <w:t> </w:t>
      </w:r>
      <w:r>
        <w:rPr>
          <w:sz w:val="24"/>
        </w:rPr>
        <w:t>o</w:t>
      </w:r>
      <w:r>
        <w:rPr>
          <w:spacing w:val="-4"/>
          <w:sz w:val="24"/>
        </w:rPr>
        <w:t> </w:t>
      </w:r>
      <w:r>
        <w:rPr>
          <w:sz w:val="24"/>
        </w:rPr>
        <w:t>CAU</w:t>
      </w:r>
      <w:r>
        <w:rPr>
          <w:spacing w:val="-3"/>
          <w:sz w:val="24"/>
        </w:rPr>
        <w:t> </w:t>
      </w:r>
      <w:r>
        <w:rPr>
          <w:sz w:val="24"/>
        </w:rPr>
        <w:t>abre</w:t>
      </w:r>
      <w:r>
        <w:rPr>
          <w:spacing w:val="-1"/>
          <w:sz w:val="24"/>
        </w:rPr>
        <w:t> </w:t>
      </w:r>
      <w:r>
        <w:rPr>
          <w:sz w:val="24"/>
        </w:rPr>
        <w:t>caminho</w:t>
      </w:r>
      <w:r>
        <w:rPr>
          <w:spacing w:val="-5"/>
          <w:sz w:val="24"/>
        </w:rPr>
        <w:t> </w:t>
      </w:r>
      <w:r>
        <w:rPr>
          <w:sz w:val="24"/>
        </w:rPr>
        <w:t>para</w:t>
      </w:r>
      <w:r>
        <w:rPr>
          <w:spacing w:val="-3"/>
          <w:sz w:val="24"/>
        </w:rPr>
        <w:t> </w:t>
      </w:r>
      <w:r>
        <w:rPr>
          <w:sz w:val="24"/>
        </w:rPr>
        <w:t>melhorar</w:t>
      </w:r>
      <w:r>
        <w:rPr>
          <w:spacing w:val="-2"/>
          <w:sz w:val="24"/>
        </w:rPr>
        <w:t> </w:t>
      </w:r>
      <w:r>
        <w:rPr>
          <w:sz w:val="24"/>
        </w:rPr>
        <w:t>sua</w:t>
      </w:r>
      <w:r>
        <w:rPr>
          <w:spacing w:val="-4"/>
          <w:sz w:val="24"/>
        </w:rPr>
        <w:t> </w:t>
      </w:r>
      <w:r>
        <w:rPr>
          <w:sz w:val="24"/>
        </w:rPr>
        <w:t>atuação</w:t>
      </w:r>
      <w:r>
        <w:rPr>
          <w:spacing w:val="-5"/>
          <w:sz w:val="24"/>
        </w:rPr>
        <w:t> </w:t>
      </w:r>
      <w:r>
        <w:rPr>
          <w:sz w:val="24"/>
        </w:rPr>
        <w:t>e</w:t>
      </w:r>
      <w:r>
        <w:rPr>
          <w:spacing w:val="-4"/>
          <w:sz w:val="24"/>
        </w:rPr>
        <w:t> </w:t>
      </w:r>
      <w:r>
        <w:rPr>
          <w:sz w:val="24"/>
        </w:rPr>
        <w:t>atender</w:t>
      </w:r>
      <w:r>
        <w:rPr>
          <w:spacing w:val="-6"/>
          <w:sz w:val="24"/>
        </w:rPr>
        <w:t> </w:t>
      </w:r>
      <w:r>
        <w:rPr>
          <w:sz w:val="24"/>
        </w:rPr>
        <w:t>aos</w:t>
      </w:r>
      <w:r>
        <w:rPr>
          <w:spacing w:val="-3"/>
          <w:sz w:val="24"/>
        </w:rPr>
        <w:t> </w:t>
      </w:r>
      <w:r>
        <w:rPr>
          <w:sz w:val="24"/>
        </w:rPr>
        <w:t>anseios</w:t>
      </w:r>
      <w:r>
        <w:rPr>
          <w:spacing w:val="-4"/>
          <w:sz w:val="24"/>
        </w:rPr>
        <w:t> </w:t>
      </w:r>
      <w:r>
        <w:rPr>
          <w:sz w:val="24"/>
        </w:rPr>
        <w:t>da</w:t>
      </w:r>
      <w:r>
        <w:rPr>
          <w:spacing w:val="-5"/>
          <w:sz w:val="24"/>
        </w:rPr>
        <w:t> </w:t>
      </w:r>
      <w:r>
        <w:rPr>
          <w:sz w:val="24"/>
        </w:rPr>
        <w:t>sociedade por projetos e serviços alinhados aos princípios da sustentabilidade. Neste contexto, torna-se facultativo o enquadramento dos projetos e atividades nos ODS em</w:t>
      </w:r>
      <w:r>
        <w:rPr>
          <w:spacing w:val="-9"/>
          <w:sz w:val="24"/>
        </w:rPr>
        <w:t> </w:t>
      </w:r>
      <w:r>
        <w:rPr>
          <w:sz w:val="24"/>
        </w:rPr>
        <w:t>2021.</w:t>
      </w:r>
    </w:p>
    <w:p>
      <w:pPr>
        <w:pStyle w:val="ListParagraph"/>
        <w:numPr>
          <w:ilvl w:val="1"/>
          <w:numId w:val="21"/>
        </w:numPr>
        <w:tabs>
          <w:tab w:pos="1328" w:val="left" w:leader="none"/>
        </w:tabs>
        <w:spacing w:line="360" w:lineRule="auto" w:before="162" w:after="0"/>
        <w:ind w:left="113" w:right="172" w:firstLine="852"/>
        <w:jc w:val="both"/>
        <w:rPr>
          <w:sz w:val="24"/>
        </w:rPr>
      </w:pPr>
      <w:r>
        <w:rPr>
          <w:b/>
          <w:sz w:val="24"/>
        </w:rPr>
        <w:t>Resultados</w:t>
      </w:r>
      <w:r>
        <w:rPr>
          <w:sz w:val="24"/>
        </w:rPr>
        <w:t>:</w:t>
      </w:r>
      <w:r>
        <w:rPr>
          <w:spacing w:val="-4"/>
          <w:sz w:val="24"/>
        </w:rPr>
        <w:t> </w:t>
      </w:r>
      <w:r>
        <w:rPr>
          <w:sz w:val="24"/>
        </w:rPr>
        <w:t>os</w:t>
      </w:r>
      <w:r>
        <w:rPr>
          <w:spacing w:val="-5"/>
          <w:sz w:val="24"/>
        </w:rPr>
        <w:t> </w:t>
      </w:r>
      <w:r>
        <w:rPr>
          <w:sz w:val="24"/>
        </w:rPr>
        <w:t>resultados</w:t>
      </w:r>
      <w:r>
        <w:rPr>
          <w:spacing w:val="-5"/>
          <w:sz w:val="24"/>
        </w:rPr>
        <w:t> </w:t>
      </w:r>
      <w:r>
        <w:rPr>
          <w:sz w:val="24"/>
        </w:rPr>
        <w:t>são</w:t>
      </w:r>
      <w:r>
        <w:rPr>
          <w:spacing w:val="-4"/>
          <w:sz w:val="24"/>
        </w:rPr>
        <w:t> </w:t>
      </w:r>
      <w:r>
        <w:rPr>
          <w:sz w:val="24"/>
        </w:rPr>
        <w:t>os</w:t>
      </w:r>
      <w:r>
        <w:rPr>
          <w:spacing w:val="-4"/>
          <w:sz w:val="24"/>
        </w:rPr>
        <w:t> </w:t>
      </w:r>
      <w:r>
        <w:rPr>
          <w:sz w:val="24"/>
        </w:rPr>
        <w:t>efeitos</w:t>
      </w:r>
      <w:r>
        <w:rPr>
          <w:spacing w:val="-5"/>
          <w:sz w:val="24"/>
        </w:rPr>
        <w:t> </w:t>
      </w:r>
      <w:r>
        <w:rPr>
          <w:sz w:val="24"/>
        </w:rPr>
        <w:t>que</w:t>
      </w:r>
      <w:r>
        <w:rPr>
          <w:spacing w:val="-7"/>
          <w:sz w:val="24"/>
        </w:rPr>
        <w:t> </w:t>
      </w:r>
      <w:r>
        <w:rPr>
          <w:sz w:val="24"/>
        </w:rPr>
        <w:t>devem</w:t>
      </w:r>
      <w:r>
        <w:rPr>
          <w:spacing w:val="-3"/>
          <w:sz w:val="24"/>
        </w:rPr>
        <w:t> </w:t>
      </w:r>
      <w:r>
        <w:rPr>
          <w:sz w:val="24"/>
        </w:rPr>
        <w:t>ser</w:t>
      </w:r>
      <w:r>
        <w:rPr>
          <w:spacing w:val="-5"/>
          <w:sz w:val="24"/>
        </w:rPr>
        <w:t> </w:t>
      </w:r>
      <w:r>
        <w:rPr>
          <w:sz w:val="24"/>
        </w:rPr>
        <w:t>produzidos</w:t>
      </w:r>
      <w:r>
        <w:rPr>
          <w:spacing w:val="-5"/>
          <w:sz w:val="24"/>
        </w:rPr>
        <w:t> </w:t>
      </w:r>
      <w:r>
        <w:rPr>
          <w:sz w:val="24"/>
        </w:rPr>
        <w:t>com</w:t>
      </w:r>
      <w:r>
        <w:rPr>
          <w:spacing w:val="-5"/>
          <w:sz w:val="24"/>
        </w:rPr>
        <w:t> </w:t>
      </w:r>
      <w:r>
        <w:rPr>
          <w:sz w:val="24"/>
        </w:rPr>
        <w:t>a</w:t>
      </w:r>
      <w:r>
        <w:rPr>
          <w:spacing w:val="-4"/>
          <w:sz w:val="24"/>
        </w:rPr>
        <w:t> </w:t>
      </w:r>
      <w:r>
        <w:rPr>
          <w:sz w:val="24"/>
        </w:rPr>
        <w:t>execução</w:t>
      </w:r>
      <w:r>
        <w:rPr>
          <w:spacing w:val="-4"/>
          <w:sz w:val="24"/>
        </w:rPr>
        <w:t> </w:t>
      </w:r>
      <w:r>
        <w:rPr>
          <w:sz w:val="24"/>
        </w:rPr>
        <w:t>do projeto/atividade, dentro do seu horizonte do tempo. Refletem o objetivo geral do projeto/atividade e representam o seu desdobramento em metas</w:t>
      </w:r>
      <w:r>
        <w:rPr>
          <w:spacing w:val="-6"/>
          <w:sz w:val="24"/>
        </w:rPr>
        <w:t> </w:t>
      </w:r>
      <w:r>
        <w:rPr>
          <w:sz w:val="24"/>
        </w:rPr>
        <w:t>mensuráveis.</w:t>
      </w:r>
    </w:p>
    <w:p>
      <w:pPr>
        <w:pStyle w:val="Heading5"/>
        <w:spacing w:before="160"/>
        <w:ind w:left="965"/>
        <w:jc w:val="both"/>
      </w:pPr>
      <w:r>
        <w:rPr/>
        <w:t>Resultado = Transformação + Indicador + Meta + Prazo</w:t>
      </w:r>
    </w:p>
    <w:p>
      <w:pPr>
        <w:pStyle w:val="BodyText"/>
        <w:spacing w:before="11"/>
        <w:rPr>
          <w:b/>
        </w:rPr>
      </w:pPr>
    </w:p>
    <w:p>
      <w:pPr>
        <w:pStyle w:val="ListParagraph"/>
        <w:numPr>
          <w:ilvl w:val="0"/>
          <w:numId w:val="21"/>
        </w:numPr>
        <w:tabs>
          <w:tab w:pos="1587" w:val="left" w:leader="none"/>
        </w:tabs>
        <w:spacing w:line="240" w:lineRule="auto" w:before="1" w:after="0"/>
        <w:ind w:left="1586" w:right="0" w:hanging="622"/>
        <w:jc w:val="both"/>
        <w:rPr>
          <w:b/>
          <w:sz w:val="24"/>
        </w:rPr>
      </w:pPr>
      <w:r>
        <w:rPr>
          <w:b/>
          <w:sz w:val="24"/>
        </w:rPr>
        <w:t>DADOS</w:t>
      </w:r>
      <w:r>
        <w:rPr>
          <w:b/>
          <w:spacing w:val="-4"/>
          <w:sz w:val="24"/>
        </w:rPr>
        <w:t> </w:t>
      </w:r>
      <w:r>
        <w:rPr>
          <w:b/>
          <w:sz w:val="24"/>
        </w:rPr>
        <w:t>ORÇAMENTÁRIOS</w:t>
      </w:r>
    </w:p>
    <w:p>
      <w:pPr>
        <w:pStyle w:val="BodyText"/>
        <w:spacing w:before="2"/>
        <w:rPr>
          <w:b/>
          <w:sz w:val="25"/>
        </w:rPr>
      </w:pPr>
    </w:p>
    <w:p>
      <w:pPr>
        <w:pStyle w:val="ListParagraph"/>
        <w:numPr>
          <w:ilvl w:val="1"/>
          <w:numId w:val="21"/>
        </w:numPr>
        <w:tabs>
          <w:tab w:pos="1531" w:val="left" w:leader="none"/>
          <w:tab w:pos="1532" w:val="left" w:leader="none"/>
        </w:tabs>
        <w:spacing w:line="240" w:lineRule="auto" w:before="0" w:after="0"/>
        <w:ind w:left="1531" w:right="0" w:hanging="567"/>
        <w:jc w:val="left"/>
        <w:rPr>
          <w:sz w:val="24"/>
        </w:rPr>
      </w:pPr>
      <w:r>
        <w:rPr>
          <w:b/>
          <w:sz w:val="24"/>
        </w:rPr>
        <w:t>Custos de Projeto / Atividade</w:t>
      </w:r>
      <w:r>
        <w:rPr>
          <w:sz w:val="24"/>
        </w:rPr>
        <w:t>: indicar o custo total do</w:t>
      </w:r>
      <w:r>
        <w:rPr>
          <w:spacing w:val="-11"/>
          <w:sz w:val="24"/>
        </w:rPr>
        <w:t> </w:t>
      </w:r>
      <w:r>
        <w:rPr>
          <w:sz w:val="24"/>
        </w:rPr>
        <w:t>projeto/atividade</w:t>
      </w:r>
    </w:p>
    <w:p>
      <w:pPr>
        <w:pStyle w:val="BodyText"/>
        <w:spacing w:before="1"/>
        <w:rPr>
          <w:sz w:val="25"/>
        </w:rPr>
      </w:pPr>
    </w:p>
    <w:p>
      <w:pPr>
        <w:pStyle w:val="Heading5"/>
        <w:numPr>
          <w:ilvl w:val="0"/>
          <w:numId w:val="21"/>
        </w:numPr>
        <w:tabs>
          <w:tab w:pos="1531" w:val="left" w:leader="none"/>
          <w:tab w:pos="1532" w:val="left" w:leader="none"/>
        </w:tabs>
        <w:spacing w:line="240" w:lineRule="auto" w:before="1" w:after="0"/>
        <w:ind w:left="1531" w:right="0" w:hanging="567"/>
        <w:jc w:val="left"/>
      </w:pPr>
      <w:r>
        <w:rPr/>
        <w:t>PREENCHIMENTO DO PLANO DE</w:t>
      </w:r>
      <w:r>
        <w:rPr>
          <w:spacing w:val="-2"/>
        </w:rPr>
        <w:t> </w:t>
      </w:r>
      <w:r>
        <w:rPr/>
        <w:t>AÇÃO</w:t>
      </w:r>
    </w:p>
    <w:p>
      <w:pPr>
        <w:spacing w:after="0" w:line="240" w:lineRule="auto"/>
        <w:jc w:val="left"/>
        <w:sectPr>
          <w:pgSz w:w="11910" w:h="16840"/>
          <w:pgMar w:header="590" w:footer="538" w:top="1640" w:bottom="720" w:left="1020" w:right="960"/>
        </w:sectPr>
      </w:pPr>
    </w:p>
    <w:p>
      <w:pPr>
        <w:pStyle w:val="ListParagraph"/>
        <w:numPr>
          <w:ilvl w:val="0"/>
          <w:numId w:val="23"/>
        </w:numPr>
        <w:tabs>
          <w:tab w:pos="1176" w:val="left" w:leader="none"/>
        </w:tabs>
        <w:spacing w:line="360" w:lineRule="auto" w:before="46" w:after="0"/>
        <w:ind w:left="113" w:right="169" w:firstLine="852"/>
        <w:jc w:val="both"/>
        <w:rPr>
          <w:sz w:val="24"/>
        </w:rPr>
      </w:pPr>
      <w:r>
        <w:rPr>
          <w:b/>
          <w:sz w:val="24"/>
        </w:rPr>
        <w:t>Mapa Estratégico e ODS - </w:t>
      </w:r>
      <w:r>
        <w:rPr>
          <w:sz w:val="24"/>
        </w:rPr>
        <w:t>Selecionar os objetivos estratégicos prioritários em âmbito local trabalhados em 2021. Os objetivos estratégicos em âmbito nacional (Fiscalização, Comunicação</w:t>
      </w:r>
      <w:r>
        <w:rPr>
          <w:spacing w:val="-4"/>
          <w:sz w:val="24"/>
        </w:rPr>
        <w:t> </w:t>
      </w:r>
      <w:r>
        <w:rPr>
          <w:sz w:val="24"/>
        </w:rPr>
        <w:t>e</w:t>
      </w:r>
      <w:r>
        <w:rPr>
          <w:spacing w:val="-6"/>
          <w:sz w:val="24"/>
        </w:rPr>
        <w:t> </w:t>
      </w:r>
      <w:r>
        <w:rPr>
          <w:sz w:val="24"/>
        </w:rPr>
        <w:t>AU</w:t>
      </w:r>
      <w:r>
        <w:rPr>
          <w:spacing w:val="-4"/>
          <w:sz w:val="24"/>
        </w:rPr>
        <w:t> </w:t>
      </w:r>
      <w:r>
        <w:rPr>
          <w:sz w:val="24"/>
        </w:rPr>
        <w:t>como</w:t>
      </w:r>
      <w:r>
        <w:rPr>
          <w:spacing w:val="-6"/>
          <w:sz w:val="24"/>
        </w:rPr>
        <w:t> </w:t>
      </w:r>
      <w:r>
        <w:rPr>
          <w:sz w:val="24"/>
        </w:rPr>
        <w:t>Política</w:t>
      </w:r>
      <w:r>
        <w:rPr>
          <w:spacing w:val="-6"/>
          <w:sz w:val="24"/>
        </w:rPr>
        <w:t> </w:t>
      </w:r>
      <w:r>
        <w:rPr>
          <w:sz w:val="24"/>
        </w:rPr>
        <w:t>de</w:t>
      </w:r>
      <w:r>
        <w:rPr>
          <w:spacing w:val="-6"/>
          <w:sz w:val="24"/>
        </w:rPr>
        <w:t> </w:t>
      </w:r>
      <w:r>
        <w:rPr>
          <w:sz w:val="24"/>
        </w:rPr>
        <w:t>Estado)</w:t>
      </w:r>
      <w:r>
        <w:rPr>
          <w:spacing w:val="-5"/>
          <w:sz w:val="24"/>
        </w:rPr>
        <w:t> </w:t>
      </w:r>
      <w:r>
        <w:rPr>
          <w:sz w:val="24"/>
        </w:rPr>
        <w:t>devem</w:t>
      </w:r>
      <w:r>
        <w:rPr>
          <w:spacing w:val="-4"/>
          <w:sz w:val="24"/>
        </w:rPr>
        <w:t> </w:t>
      </w:r>
      <w:r>
        <w:rPr>
          <w:sz w:val="24"/>
        </w:rPr>
        <w:t>ser</w:t>
      </w:r>
      <w:r>
        <w:rPr>
          <w:spacing w:val="-4"/>
          <w:sz w:val="24"/>
        </w:rPr>
        <w:t> </w:t>
      </w:r>
      <w:r>
        <w:rPr>
          <w:sz w:val="24"/>
        </w:rPr>
        <w:t>obrigatoriamente</w:t>
      </w:r>
      <w:r>
        <w:rPr>
          <w:spacing w:val="-6"/>
          <w:sz w:val="24"/>
        </w:rPr>
        <w:t> </w:t>
      </w:r>
      <w:r>
        <w:rPr>
          <w:sz w:val="24"/>
        </w:rPr>
        <w:t>trabalhados.</w:t>
      </w:r>
      <w:r>
        <w:rPr>
          <w:spacing w:val="-2"/>
          <w:sz w:val="24"/>
        </w:rPr>
        <w:t> </w:t>
      </w:r>
      <w:r>
        <w:rPr>
          <w:sz w:val="24"/>
        </w:rPr>
        <w:t>Os</w:t>
      </w:r>
      <w:r>
        <w:rPr>
          <w:spacing w:val="-5"/>
          <w:sz w:val="24"/>
        </w:rPr>
        <w:t> </w:t>
      </w:r>
      <w:r>
        <w:rPr>
          <w:sz w:val="24"/>
        </w:rPr>
        <w:t>objetivos de Desenvolvimento Sustentável são facultativos.</w:t>
      </w:r>
    </w:p>
    <w:p>
      <w:pPr>
        <w:pStyle w:val="ListParagraph"/>
        <w:numPr>
          <w:ilvl w:val="0"/>
          <w:numId w:val="23"/>
        </w:numPr>
        <w:tabs>
          <w:tab w:pos="1253" w:val="left" w:leader="none"/>
        </w:tabs>
        <w:spacing w:line="360" w:lineRule="auto" w:before="160" w:after="0"/>
        <w:ind w:left="113" w:right="170" w:firstLine="852"/>
        <w:jc w:val="both"/>
        <w:rPr>
          <w:sz w:val="24"/>
        </w:rPr>
      </w:pPr>
      <w:r>
        <w:rPr>
          <w:b/>
          <w:sz w:val="24"/>
        </w:rPr>
        <w:t>Indicadores e Metas </w:t>
      </w:r>
      <w:r>
        <w:rPr>
          <w:sz w:val="24"/>
        </w:rPr>
        <w:t>– definir as metas dos indicadores. Os Indicadores devem ser vinculados aos objetivos estratégicos priorizados no Mapa Estratégico do CAU/UF, ou seja, os indicadores dos objetivos estratégicos escolhidos no Mapa Estratégico devem ser</w:t>
      </w:r>
      <w:r>
        <w:rPr>
          <w:spacing w:val="-21"/>
          <w:sz w:val="24"/>
        </w:rPr>
        <w:t> </w:t>
      </w:r>
      <w:r>
        <w:rPr>
          <w:sz w:val="24"/>
        </w:rPr>
        <w:t>priorizados.</w:t>
      </w:r>
    </w:p>
    <w:p>
      <w:pPr>
        <w:pStyle w:val="ListParagraph"/>
        <w:numPr>
          <w:ilvl w:val="0"/>
          <w:numId w:val="24"/>
        </w:numPr>
        <w:tabs>
          <w:tab w:pos="1291" w:val="left" w:leader="none"/>
        </w:tabs>
        <w:spacing w:line="240" w:lineRule="auto" w:before="160" w:after="0"/>
        <w:ind w:left="1291" w:right="0" w:hanging="326"/>
        <w:jc w:val="both"/>
        <w:rPr>
          <w:sz w:val="24"/>
        </w:rPr>
      </w:pPr>
      <w:r>
        <w:rPr>
          <w:b/>
          <w:sz w:val="24"/>
        </w:rPr>
        <w:t>Quadro Geral </w:t>
      </w:r>
      <w:r>
        <w:rPr>
          <w:sz w:val="24"/>
        </w:rPr>
        <w:t>– Demonstrar a proposta do plano de ação</w:t>
      </w:r>
      <w:r>
        <w:rPr>
          <w:spacing w:val="-11"/>
          <w:sz w:val="24"/>
        </w:rPr>
        <w:t> </w:t>
      </w:r>
      <w:r>
        <w:rPr>
          <w:sz w:val="24"/>
        </w:rPr>
        <w:t>resumida.</w:t>
      </w:r>
    </w:p>
    <w:p>
      <w:pPr>
        <w:pStyle w:val="BodyText"/>
        <w:rPr>
          <w:sz w:val="25"/>
        </w:rPr>
      </w:pPr>
    </w:p>
    <w:p>
      <w:pPr>
        <w:pStyle w:val="ListParagraph"/>
        <w:numPr>
          <w:ilvl w:val="0"/>
          <w:numId w:val="24"/>
        </w:numPr>
        <w:tabs>
          <w:tab w:pos="1256" w:val="left" w:leader="none"/>
        </w:tabs>
        <w:spacing w:line="362" w:lineRule="auto" w:before="0" w:after="0"/>
        <w:ind w:left="113" w:right="170" w:firstLine="852"/>
        <w:jc w:val="both"/>
        <w:rPr>
          <w:sz w:val="24"/>
        </w:rPr>
      </w:pPr>
      <w:r>
        <w:rPr>
          <w:b/>
          <w:sz w:val="24"/>
        </w:rPr>
        <w:t>Limites estratégicos </w:t>
      </w:r>
      <w:r>
        <w:rPr>
          <w:sz w:val="24"/>
        </w:rPr>
        <w:t>– Demonstrar os limites de Aplicação dos Recursos Estratégicos definidos no Plano de</w:t>
      </w:r>
      <w:r>
        <w:rPr>
          <w:spacing w:val="-8"/>
          <w:sz w:val="24"/>
        </w:rPr>
        <w:t> </w:t>
      </w:r>
      <w:r>
        <w:rPr>
          <w:sz w:val="24"/>
        </w:rPr>
        <w:t>ação.</w:t>
      </w:r>
    </w:p>
    <w:p>
      <w:pPr>
        <w:pStyle w:val="ListParagraph"/>
        <w:numPr>
          <w:ilvl w:val="0"/>
          <w:numId w:val="24"/>
        </w:numPr>
        <w:tabs>
          <w:tab w:pos="1280" w:val="left" w:leader="none"/>
        </w:tabs>
        <w:spacing w:line="360" w:lineRule="auto" w:before="154" w:after="0"/>
        <w:ind w:left="113" w:right="171" w:firstLine="852"/>
        <w:jc w:val="both"/>
        <w:rPr>
          <w:sz w:val="24"/>
        </w:rPr>
      </w:pPr>
      <w:r>
        <w:rPr>
          <w:b/>
          <w:sz w:val="24"/>
        </w:rPr>
        <w:t>Usos</w:t>
      </w:r>
      <w:r>
        <w:rPr>
          <w:b/>
          <w:spacing w:val="-13"/>
          <w:sz w:val="24"/>
        </w:rPr>
        <w:t> </w:t>
      </w:r>
      <w:r>
        <w:rPr>
          <w:b/>
          <w:sz w:val="24"/>
        </w:rPr>
        <w:t>e</w:t>
      </w:r>
      <w:r>
        <w:rPr>
          <w:b/>
          <w:spacing w:val="-14"/>
          <w:sz w:val="24"/>
        </w:rPr>
        <w:t> </w:t>
      </w:r>
      <w:r>
        <w:rPr>
          <w:b/>
          <w:sz w:val="24"/>
        </w:rPr>
        <w:t>Fontes</w:t>
      </w:r>
      <w:r>
        <w:rPr>
          <w:sz w:val="24"/>
        </w:rPr>
        <w:t>–</w:t>
      </w:r>
      <w:r>
        <w:rPr>
          <w:spacing w:val="-14"/>
          <w:sz w:val="24"/>
        </w:rPr>
        <w:t> </w:t>
      </w:r>
      <w:r>
        <w:rPr>
          <w:sz w:val="24"/>
        </w:rPr>
        <w:t>demonstrar</w:t>
      </w:r>
      <w:r>
        <w:rPr>
          <w:spacing w:val="-15"/>
          <w:sz w:val="24"/>
        </w:rPr>
        <w:t> </w:t>
      </w:r>
      <w:r>
        <w:rPr>
          <w:sz w:val="24"/>
        </w:rPr>
        <w:t>os</w:t>
      </w:r>
      <w:r>
        <w:rPr>
          <w:spacing w:val="-12"/>
          <w:sz w:val="24"/>
        </w:rPr>
        <w:t> </w:t>
      </w:r>
      <w:r>
        <w:rPr>
          <w:sz w:val="24"/>
        </w:rPr>
        <w:t>valores</w:t>
      </w:r>
      <w:r>
        <w:rPr>
          <w:spacing w:val="-13"/>
          <w:sz w:val="24"/>
        </w:rPr>
        <w:t> </w:t>
      </w:r>
      <w:r>
        <w:rPr>
          <w:sz w:val="24"/>
        </w:rPr>
        <w:t>das</w:t>
      </w:r>
      <w:r>
        <w:rPr>
          <w:spacing w:val="-15"/>
          <w:sz w:val="24"/>
        </w:rPr>
        <w:t> </w:t>
      </w:r>
      <w:r>
        <w:rPr>
          <w:sz w:val="24"/>
        </w:rPr>
        <w:t>fontes</w:t>
      </w:r>
      <w:r>
        <w:rPr>
          <w:spacing w:val="-13"/>
          <w:sz w:val="24"/>
        </w:rPr>
        <w:t> </w:t>
      </w:r>
      <w:r>
        <w:rPr>
          <w:sz w:val="24"/>
        </w:rPr>
        <w:t>e</w:t>
      </w:r>
      <w:r>
        <w:rPr>
          <w:spacing w:val="-12"/>
          <w:sz w:val="24"/>
        </w:rPr>
        <w:t> </w:t>
      </w:r>
      <w:r>
        <w:rPr>
          <w:sz w:val="24"/>
        </w:rPr>
        <w:t>os</w:t>
      </w:r>
      <w:r>
        <w:rPr>
          <w:spacing w:val="-16"/>
          <w:sz w:val="24"/>
        </w:rPr>
        <w:t> </w:t>
      </w:r>
      <w:r>
        <w:rPr>
          <w:sz w:val="24"/>
        </w:rPr>
        <w:t>usos</w:t>
      </w:r>
      <w:r>
        <w:rPr>
          <w:spacing w:val="-15"/>
          <w:sz w:val="24"/>
        </w:rPr>
        <w:t> </w:t>
      </w:r>
      <w:r>
        <w:rPr>
          <w:sz w:val="24"/>
        </w:rPr>
        <w:t>dos</w:t>
      </w:r>
      <w:r>
        <w:rPr>
          <w:spacing w:val="-13"/>
          <w:sz w:val="24"/>
        </w:rPr>
        <w:t> </w:t>
      </w:r>
      <w:r>
        <w:rPr>
          <w:sz w:val="24"/>
        </w:rPr>
        <w:t>recursos.</w:t>
      </w:r>
      <w:r>
        <w:rPr>
          <w:spacing w:val="-16"/>
          <w:sz w:val="24"/>
        </w:rPr>
        <w:t> </w:t>
      </w:r>
      <w:r>
        <w:rPr>
          <w:sz w:val="24"/>
        </w:rPr>
        <w:t>Para</w:t>
      </w:r>
      <w:r>
        <w:rPr>
          <w:spacing w:val="-13"/>
          <w:sz w:val="24"/>
        </w:rPr>
        <w:t> </w:t>
      </w:r>
      <w:r>
        <w:rPr>
          <w:sz w:val="24"/>
        </w:rPr>
        <w:t>as</w:t>
      </w:r>
      <w:r>
        <w:rPr>
          <w:spacing w:val="-15"/>
          <w:sz w:val="24"/>
        </w:rPr>
        <w:t> </w:t>
      </w:r>
      <w:r>
        <w:rPr>
          <w:sz w:val="24"/>
        </w:rPr>
        <w:t>receitas de Arrecadação – anuidades do exercício e exercícios anteriores, RRT, taxas e multas, devem ser considerados os valores constantes das</w:t>
      </w:r>
      <w:r>
        <w:rPr>
          <w:spacing w:val="-9"/>
          <w:sz w:val="24"/>
        </w:rPr>
        <w:t> </w:t>
      </w:r>
      <w:r>
        <w:rPr>
          <w:sz w:val="24"/>
        </w:rPr>
        <w:t>Diretrizes.</w:t>
      </w:r>
    </w:p>
    <w:p>
      <w:pPr>
        <w:pStyle w:val="Heading5"/>
        <w:numPr>
          <w:ilvl w:val="0"/>
          <w:numId w:val="24"/>
        </w:numPr>
        <w:tabs>
          <w:tab w:pos="1356" w:val="left" w:leader="none"/>
        </w:tabs>
        <w:spacing w:line="240" w:lineRule="auto" w:before="161" w:after="0"/>
        <w:ind w:left="1355" w:right="0" w:hanging="391"/>
        <w:jc w:val="both"/>
      </w:pPr>
      <w:r>
        <w:rPr/>
        <w:t>Plano de Desembolso por Elemento de Despesas.</w:t>
      </w:r>
    </w:p>
    <w:p>
      <w:pPr>
        <w:pStyle w:val="BodyText"/>
        <w:spacing w:before="1"/>
        <w:rPr>
          <w:b/>
          <w:sz w:val="25"/>
        </w:rPr>
      </w:pPr>
    </w:p>
    <w:p>
      <w:pPr>
        <w:pStyle w:val="BodyText"/>
        <w:spacing w:before="1"/>
        <w:ind w:left="965"/>
      </w:pPr>
      <w:r>
        <w:rPr/>
        <w:t>Os itens de custo devem ser:</w:t>
      </w:r>
    </w:p>
    <w:p>
      <w:pPr>
        <w:pStyle w:val="BodyText"/>
        <w:spacing w:before="3"/>
        <w:rPr>
          <w:sz w:val="25"/>
        </w:rPr>
      </w:pPr>
    </w:p>
    <w:p>
      <w:pPr>
        <w:pStyle w:val="Heading5"/>
        <w:numPr>
          <w:ilvl w:val="1"/>
          <w:numId w:val="24"/>
        </w:numPr>
        <w:tabs>
          <w:tab w:pos="1685" w:val="left" w:leader="none"/>
          <w:tab w:pos="1686" w:val="left" w:leader="none"/>
        </w:tabs>
        <w:spacing w:line="240" w:lineRule="auto" w:before="0" w:after="0"/>
        <w:ind w:left="1685" w:right="0" w:hanging="361"/>
        <w:jc w:val="left"/>
      </w:pPr>
      <w:r>
        <w:rPr/>
        <w:t>Pessoal (Salários, Encargos e</w:t>
      </w:r>
      <w:r>
        <w:rPr>
          <w:spacing w:val="-1"/>
        </w:rPr>
        <w:t> </w:t>
      </w:r>
      <w:r>
        <w:rPr/>
        <w:t>Benefícios)</w:t>
      </w:r>
    </w:p>
    <w:p>
      <w:pPr>
        <w:pStyle w:val="ListParagraph"/>
        <w:numPr>
          <w:ilvl w:val="0"/>
          <w:numId w:val="25"/>
        </w:numPr>
        <w:tabs>
          <w:tab w:pos="1933" w:val="left" w:leader="none"/>
        </w:tabs>
        <w:spacing w:line="360" w:lineRule="auto" w:before="144" w:after="0"/>
        <w:ind w:left="113" w:right="168" w:firstLine="1559"/>
        <w:jc w:val="both"/>
        <w:rPr>
          <w:sz w:val="24"/>
        </w:rPr>
      </w:pPr>
      <w:r>
        <w:rPr>
          <w:b/>
          <w:sz w:val="24"/>
        </w:rPr>
        <w:t>Pessoal e Encargos: </w:t>
      </w:r>
      <w:r>
        <w:rPr>
          <w:sz w:val="24"/>
        </w:rPr>
        <w:t>compreende salários; gratificações; 13º salário; férias; 1/3 férias, abono e horas extras; INSS; FGTS e PIS; vale transporte, auxílio alimentação, plano de saúde e outros</w:t>
      </w:r>
      <w:r>
        <w:rPr>
          <w:spacing w:val="-2"/>
          <w:sz w:val="24"/>
        </w:rPr>
        <w:t> </w:t>
      </w:r>
      <w:r>
        <w:rPr>
          <w:sz w:val="24"/>
        </w:rPr>
        <w:t>benefícios.</w:t>
      </w:r>
    </w:p>
    <w:p>
      <w:pPr>
        <w:pStyle w:val="BodyText"/>
        <w:spacing w:before="11"/>
        <w:rPr>
          <w:sz w:val="8"/>
        </w:rPr>
      </w:pPr>
    </w:p>
    <w:p>
      <w:pPr>
        <w:pStyle w:val="ListParagraph"/>
        <w:numPr>
          <w:ilvl w:val="0"/>
          <w:numId w:val="25"/>
        </w:numPr>
        <w:tabs>
          <w:tab w:pos="1949" w:val="left" w:leader="none"/>
        </w:tabs>
        <w:spacing w:line="240" w:lineRule="auto" w:before="52" w:after="0"/>
        <w:ind w:left="1948" w:right="0" w:hanging="276"/>
        <w:jc w:val="left"/>
        <w:rPr>
          <w:sz w:val="24"/>
        </w:rPr>
      </w:pPr>
      <w:r>
        <w:rPr>
          <w:b/>
          <w:sz w:val="24"/>
        </w:rPr>
        <w:t>Diárias</w:t>
      </w:r>
      <w:r>
        <w:rPr>
          <w:b/>
          <w:spacing w:val="16"/>
          <w:sz w:val="24"/>
        </w:rPr>
        <w:t> </w:t>
      </w:r>
      <w:r>
        <w:rPr>
          <w:sz w:val="24"/>
        </w:rPr>
        <w:t>–</w:t>
      </w:r>
      <w:r>
        <w:rPr>
          <w:spacing w:val="12"/>
          <w:sz w:val="24"/>
        </w:rPr>
        <w:t> </w:t>
      </w:r>
      <w:r>
        <w:rPr>
          <w:sz w:val="24"/>
        </w:rPr>
        <w:t>compreende</w:t>
      </w:r>
      <w:r>
        <w:rPr>
          <w:spacing w:val="16"/>
          <w:sz w:val="24"/>
        </w:rPr>
        <w:t> </w:t>
      </w:r>
      <w:r>
        <w:rPr>
          <w:sz w:val="24"/>
        </w:rPr>
        <w:t>diárias</w:t>
      </w:r>
      <w:r>
        <w:rPr>
          <w:spacing w:val="12"/>
          <w:sz w:val="24"/>
        </w:rPr>
        <w:t> </w:t>
      </w:r>
      <w:r>
        <w:rPr>
          <w:sz w:val="24"/>
        </w:rPr>
        <w:t>de</w:t>
      </w:r>
      <w:r>
        <w:rPr>
          <w:spacing w:val="12"/>
          <w:sz w:val="24"/>
        </w:rPr>
        <w:t> </w:t>
      </w:r>
      <w:r>
        <w:rPr>
          <w:sz w:val="24"/>
        </w:rPr>
        <w:t>funcionários</w:t>
      </w:r>
      <w:r>
        <w:rPr>
          <w:spacing w:val="13"/>
          <w:sz w:val="24"/>
        </w:rPr>
        <w:t> </w:t>
      </w:r>
      <w:r>
        <w:rPr>
          <w:sz w:val="24"/>
        </w:rPr>
        <w:t>com</w:t>
      </w:r>
      <w:r>
        <w:rPr>
          <w:spacing w:val="15"/>
          <w:sz w:val="24"/>
        </w:rPr>
        <w:t> </w:t>
      </w:r>
      <w:r>
        <w:rPr>
          <w:sz w:val="24"/>
        </w:rPr>
        <w:t>vínculo</w:t>
      </w:r>
      <w:r>
        <w:rPr>
          <w:spacing w:val="14"/>
          <w:sz w:val="24"/>
        </w:rPr>
        <w:t> </w:t>
      </w:r>
      <w:r>
        <w:rPr>
          <w:sz w:val="24"/>
        </w:rPr>
        <w:t>empregatício</w:t>
      </w:r>
      <w:r>
        <w:rPr>
          <w:spacing w:val="15"/>
          <w:sz w:val="24"/>
        </w:rPr>
        <w:t> </w:t>
      </w:r>
      <w:r>
        <w:rPr>
          <w:sz w:val="24"/>
        </w:rPr>
        <w:t>com</w:t>
      </w:r>
      <w:r>
        <w:rPr>
          <w:spacing w:val="12"/>
          <w:sz w:val="24"/>
        </w:rPr>
        <w:t> </w:t>
      </w:r>
      <w:r>
        <w:rPr>
          <w:sz w:val="24"/>
        </w:rPr>
        <w:t>o</w:t>
      </w:r>
    </w:p>
    <w:p>
      <w:pPr>
        <w:pStyle w:val="BodyText"/>
        <w:spacing w:before="146"/>
        <w:ind w:left="113"/>
      </w:pPr>
      <w:r>
        <w:rPr/>
        <w:t>Conselho.</w:t>
      </w:r>
    </w:p>
    <w:p>
      <w:pPr>
        <w:pStyle w:val="BodyText"/>
        <w:spacing w:before="1"/>
        <w:rPr>
          <w:sz w:val="17"/>
        </w:rPr>
      </w:pPr>
    </w:p>
    <w:p>
      <w:pPr>
        <w:pStyle w:val="ListParagraph"/>
        <w:numPr>
          <w:ilvl w:val="1"/>
          <w:numId w:val="24"/>
        </w:numPr>
        <w:tabs>
          <w:tab w:pos="1685" w:val="left" w:leader="none"/>
          <w:tab w:pos="1686" w:val="left" w:leader="none"/>
        </w:tabs>
        <w:spacing w:line="355" w:lineRule="auto" w:before="100" w:after="0"/>
        <w:ind w:left="1685" w:right="172" w:hanging="360"/>
        <w:jc w:val="left"/>
        <w:rPr>
          <w:sz w:val="24"/>
        </w:rPr>
      </w:pPr>
      <w:r>
        <w:rPr>
          <w:b/>
          <w:sz w:val="24"/>
        </w:rPr>
        <w:t>Material</w:t>
      </w:r>
      <w:r>
        <w:rPr>
          <w:b/>
          <w:spacing w:val="-7"/>
          <w:sz w:val="24"/>
        </w:rPr>
        <w:t> </w:t>
      </w:r>
      <w:r>
        <w:rPr>
          <w:b/>
          <w:sz w:val="24"/>
        </w:rPr>
        <w:t>de</w:t>
      </w:r>
      <w:r>
        <w:rPr>
          <w:b/>
          <w:spacing w:val="-7"/>
          <w:sz w:val="24"/>
        </w:rPr>
        <w:t> </w:t>
      </w:r>
      <w:r>
        <w:rPr>
          <w:b/>
          <w:sz w:val="24"/>
        </w:rPr>
        <w:t>Consumo</w:t>
      </w:r>
      <w:r>
        <w:rPr>
          <w:b/>
          <w:spacing w:val="-4"/>
          <w:sz w:val="24"/>
        </w:rPr>
        <w:t> </w:t>
      </w:r>
      <w:r>
        <w:rPr>
          <w:sz w:val="24"/>
        </w:rPr>
        <w:t>–</w:t>
      </w:r>
      <w:r>
        <w:rPr>
          <w:spacing w:val="-8"/>
          <w:sz w:val="24"/>
        </w:rPr>
        <w:t> </w:t>
      </w:r>
      <w:r>
        <w:rPr>
          <w:sz w:val="24"/>
        </w:rPr>
        <w:t>compreende</w:t>
      </w:r>
      <w:r>
        <w:rPr>
          <w:spacing w:val="-7"/>
          <w:sz w:val="24"/>
        </w:rPr>
        <w:t> </w:t>
      </w:r>
      <w:r>
        <w:rPr>
          <w:sz w:val="24"/>
        </w:rPr>
        <w:t>material</w:t>
      </w:r>
      <w:r>
        <w:rPr>
          <w:spacing w:val="-6"/>
          <w:sz w:val="24"/>
        </w:rPr>
        <w:t> </w:t>
      </w:r>
      <w:r>
        <w:rPr>
          <w:sz w:val="24"/>
        </w:rPr>
        <w:t>de</w:t>
      </w:r>
      <w:r>
        <w:rPr>
          <w:spacing w:val="-8"/>
          <w:sz w:val="24"/>
        </w:rPr>
        <w:t> </w:t>
      </w:r>
      <w:r>
        <w:rPr>
          <w:sz w:val="24"/>
        </w:rPr>
        <w:t>expediente;</w:t>
      </w:r>
      <w:r>
        <w:rPr>
          <w:spacing w:val="-6"/>
          <w:sz w:val="24"/>
        </w:rPr>
        <w:t> </w:t>
      </w:r>
      <w:r>
        <w:rPr>
          <w:sz w:val="24"/>
        </w:rPr>
        <w:t>informática;</w:t>
      </w:r>
      <w:r>
        <w:rPr>
          <w:spacing w:val="-9"/>
          <w:sz w:val="24"/>
        </w:rPr>
        <w:t> </w:t>
      </w:r>
      <w:r>
        <w:rPr>
          <w:sz w:val="24"/>
        </w:rPr>
        <w:t>e</w:t>
      </w:r>
      <w:r>
        <w:rPr>
          <w:spacing w:val="-6"/>
          <w:sz w:val="24"/>
        </w:rPr>
        <w:t> </w:t>
      </w:r>
      <w:r>
        <w:rPr>
          <w:sz w:val="24"/>
        </w:rPr>
        <w:t>outros materiais de consumo que não sejam classificados como material</w:t>
      </w:r>
      <w:r>
        <w:rPr>
          <w:spacing w:val="-15"/>
          <w:sz w:val="24"/>
        </w:rPr>
        <w:t> </w:t>
      </w:r>
      <w:r>
        <w:rPr>
          <w:sz w:val="24"/>
        </w:rPr>
        <w:t>permanente.</w:t>
      </w:r>
    </w:p>
    <w:p>
      <w:pPr>
        <w:pStyle w:val="BodyText"/>
      </w:pPr>
    </w:p>
    <w:p>
      <w:pPr>
        <w:pStyle w:val="Heading5"/>
        <w:numPr>
          <w:ilvl w:val="1"/>
          <w:numId w:val="24"/>
        </w:numPr>
        <w:tabs>
          <w:tab w:pos="1685" w:val="left" w:leader="none"/>
          <w:tab w:pos="1686" w:val="left" w:leader="none"/>
        </w:tabs>
        <w:spacing w:line="240" w:lineRule="auto" w:before="159" w:after="0"/>
        <w:ind w:left="1685" w:right="0" w:hanging="361"/>
        <w:jc w:val="left"/>
      </w:pPr>
      <w:r>
        <w:rPr/>
        <w:t>Serviços de</w:t>
      </w:r>
      <w:r>
        <w:rPr>
          <w:spacing w:val="-3"/>
        </w:rPr>
        <w:t> </w:t>
      </w:r>
      <w:r>
        <w:rPr/>
        <w:t>Terceiros</w:t>
      </w:r>
    </w:p>
    <w:p>
      <w:pPr>
        <w:pStyle w:val="ListParagraph"/>
        <w:numPr>
          <w:ilvl w:val="0"/>
          <w:numId w:val="26"/>
        </w:numPr>
        <w:tabs>
          <w:tab w:pos="1957" w:val="left" w:leader="none"/>
        </w:tabs>
        <w:spacing w:line="240" w:lineRule="auto" w:before="144" w:after="0"/>
        <w:ind w:left="1956" w:right="0" w:hanging="284"/>
        <w:jc w:val="left"/>
        <w:rPr>
          <w:sz w:val="24"/>
        </w:rPr>
      </w:pPr>
      <w:r>
        <w:rPr>
          <w:b/>
          <w:sz w:val="24"/>
        </w:rPr>
        <w:t>Diárias </w:t>
      </w:r>
      <w:r>
        <w:rPr>
          <w:sz w:val="24"/>
        </w:rPr>
        <w:t>– compreende diárias do presidente, de conselheiros e de</w:t>
      </w:r>
      <w:r>
        <w:rPr>
          <w:spacing w:val="-26"/>
          <w:sz w:val="24"/>
        </w:rPr>
        <w:t> </w:t>
      </w:r>
      <w:r>
        <w:rPr>
          <w:sz w:val="24"/>
        </w:rPr>
        <w:t>convidados.</w:t>
      </w:r>
    </w:p>
    <w:p>
      <w:pPr>
        <w:spacing w:after="0" w:line="240" w:lineRule="auto"/>
        <w:jc w:val="left"/>
        <w:rPr>
          <w:sz w:val="24"/>
        </w:rPr>
        <w:sectPr>
          <w:pgSz w:w="11910" w:h="16840"/>
          <w:pgMar w:header="590" w:footer="538" w:top="1640" w:bottom="720" w:left="1020" w:right="960"/>
        </w:sectPr>
      </w:pPr>
    </w:p>
    <w:p>
      <w:pPr>
        <w:pStyle w:val="ListParagraph"/>
        <w:numPr>
          <w:ilvl w:val="0"/>
          <w:numId w:val="26"/>
        </w:numPr>
        <w:tabs>
          <w:tab w:pos="1957" w:val="left" w:leader="none"/>
        </w:tabs>
        <w:spacing w:line="360" w:lineRule="auto" w:before="46" w:after="0"/>
        <w:ind w:left="1956" w:right="168" w:hanging="284"/>
        <w:jc w:val="both"/>
        <w:rPr>
          <w:sz w:val="24"/>
        </w:rPr>
      </w:pPr>
      <w:r>
        <w:rPr>
          <w:b/>
          <w:sz w:val="24"/>
        </w:rPr>
        <w:t>Passagens </w:t>
      </w:r>
      <w:r>
        <w:rPr>
          <w:sz w:val="24"/>
        </w:rPr>
        <w:t>– compreende passagens de funcionários, presidente, conselheiros e convidados.</w:t>
      </w:r>
    </w:p>
    <w:p>
      <w:pPr>
        <w:pStyle w:val="ListParagraph"/>
        <w:numPr>
          <w:ilvl w:val="0"/>
          <w:numId w:val="26"/>
        </w:numPr>
        <w:tabs>
          <w:tab w:pos="1957" w:val="left" w:leader="none"/>
        </w:tabs>
        <w:spacing w:line="360" w:lineRule="auto" w:before="0" w:after="0"/>
        <w:ind w:left="1956" w:right="169" w:hanging="284"/>
        <w:jc w:val="both"/>
        <w:rPr>
          <w:sz w:val="24"/>
        </w:rPr>
      </w:pPr>
      <w:r>
        <w:rPr>
          <w:b/>
          <w:sz w:val="24"/>
        </w:rPr>
        <w:t>Serviços Prestados (PF e PJ) </w:t>
      </w:r>
      <w:r>
        <w:rPr>
          <w:sz w:val="24"/>
        </w:rPr>
        <w:t>– compreende todo serviço prestado por pessoa jurídica como: consultorias; serviços de comunicação e divulgação; manutenção de sistemas informatizados; locação de bens móveis e imóveis, condomínios, reparos e conservação de bens móveis e imóveis; serviços de água e energia elétrica; correios; telecomunicações e outras despesas correntes não classificáveis nos itens anteriores e remunerações de serviços prestados por pessoa física; remuneração de estagiários, e remuneração de menores aprendizes.</w:t>
      </w:r>
    </w:p>
    <w:p>
      <w:pPr>
        <w:pStyle w:val="ListParagraph"/>
        <w:numPr>
          <w:ilvl w:val="0"/>
          <w:numId w:val="26"/>
        </w:numPr>
        <w:tabs>
          <w:tab w:pos="1957" w:val="left" w:leader="none"/>
        </w:tabs>
        <w:spacing w:line="360" w:lineRule="auto" w:before="0" w:after="0"/>
        <w:ind w:left="1956" w:right="169" w:hanging="284"/>
        <w:jc w:val="both"/>
        <w:rPr>
          <w:sz w:val="24"/>
        </w:rPr>
      </w:pPr>
      <w:r>
        <w:rPr>
          <w:b/>
          <w:sz w:val="24"/>
        </w:rPr>
        <w:t>Transferências Correntes: </w:t>
      </w:r>
      <w:r>
        <w:rPr>
          <w:sz w:val="24"/>
        </w:rPr>
        <w:t>compreende os repasses ao Fundo de Apoio; os repasses   ao   Centro   de   Serviço   Compartilhado-   CSC;    convênios,  acordos, ajuda as entidades e</w:t>
      </w:r>
      <w:r>
        <w:rPr>
          <w:spacing w:val="-2"/>
          <w:sz w:val="24"/>
        </w:rPr>
        <w:t> </w:t>
      </w:r>
      <w:r>
        <w:rPr>
          <w:sz w:val="24"/>
        </w:rPr>
        <w:t>patrocínios.</w:t>
      </w:r>
    </w:p>
    <w:p>
      <w:pPr>
        <w:pStyle w:val="ListParagraph"/>
        <w:numPr>
          <w:ilvl w:val="0"/>
          <w:numId w:val="26"/>
        </w:numPr>
        <w:tabs>
          <w:tab w:pos="1957" w:val="left" w:leader="none"/>
        </w:tabs>
        <w:spacing w:line="360" w:lineRule="auto" w:before="0" w:after="0"/>
        <w:ind w:left="1956" w:right="171" w:hanging="284"/>
        <w:jc w:val="both"/>
        <w:rPr>
          <w:sz w:val="24"/>
        </w:rPr>
      </w:pPr>
      <w:r>
        <w:rPr>
          <w:b/>
          <w:sz w:val="24"/>
        </w:rPr>
        <w:t>Reserva de Contingência: </w:t>
      </w:r>
      <w:r>
        <w:rPr>
          <w:sz w:val="24"/>
        </w:rPr>
        <w:t>compreende as despesas não previstas no plano de ação.</w:t>
      </w:r>
    </w:p>
    <w:p>
      <w:pPr>
        <w:pStyle w:val="ListParagraph"/>
        <w:numPr>
          <w:ilvl w:val="0"/>
          <w:numId w:val="26"/>
        </w:numPr>
        <w:tabs>
          <w:tab w:pos="1957" w:val="left" w:leader="none"/>
        </w:tabs>
        <w:spacing w:line="360" w:lineRule="auto" w:before="0" w:after="0"/>
        <w:ind w:left="1956" w:right="174" w:hanging="284"/>
        <w:jc w:val="both"/>
        <w:rPr>
          <w:sz w:val="24"/>
        </w:rPr>
      </w:pPr>
      <w:r>
        <w:rPr>
          <w:b/>
          <w:sz w:val="24"/>
        </w:rPr>
        <w:t>Encargos Diversos – </w:t>
      </w:r>
      <w:r>
        <w:rPr>
          <w:sz w:val="24"/>
        </w:rPr>
        <w:t>compreende as taxas bancárias; impostos e taxas diversas; despesas judiciais; e outros</w:t>
      </w:r>
      <w:r>
        <w:rPr>
          <w:spacing w:val="-3"/>
          <w:sz w:val="24"/>
        </w:rPr>
        <w:t> </w:t>
      </w:r>
      <w:r>
        <w:rPr>
          <w:sz w:val="24"/>
        </w:rPr>
        <w:t>encargos.</w:t>
      </w:r>
    </w:p>
    <w:p>
      <w:pPr>
        <w:pStyle w:val="ListParagraph"/>
        <w:numPr>
          <w:ilvl w:val="0"/>
          <w:numId w:val="26"/>
        </w:numPr>
        <w:tabs>
          <w:tab w:pos="1957" w:val="left" w:leader="none"/>
        </w:tabs>
        <w:spacing w:line="362" w:lineRule="auto" w:before="0" w:after="0"/>
        <w:ind w:left="1956" w:right="172" w:hanging="284"/>
        <w:jc w:val="both"/>
        <w:rPr>
          <w:sz w:val="24"/>
        </w:rPr>
      </w:pPr>
      <w:r>
        <w:rPr>
          <w:b/>
          <w:sz w:val="24"/>
        </w:rPr>
        <w:t>Imobilizado </w:t>
      </w:r>
      <w:r>
        <w:rPr>
          <w:sz w:val="24"/>
        </w:rPr>
        <w:t>– compreende os investimentos como: aquisição de equipamentos e materiais permanentes; aquisição de imóveis; e outros</w:t>
      </w:r>
      <w:r>
        <w:rPr>
          <w:spacing w:val="-10"/>
          <w:sz w:val="24"/>
        </w:rPr>
        <w:t> </w:t>
      </w:r>
      <w:r>
        <w:rPr>
          <w:sz w:val="24"/>
        </w:rPr>
        <w:t>investimentos.</w:t>
      </w:r>
    </w:p>
    <w:p>
      <w:pPr>
        <w:pStyle w:val="Heading5"/>
        <w:numPr>
          <w:ilvl w:val="0"/>
          <w:numId w:val="24"/>
        </w:numPr>
        <w:tabs>
          <w:tab w:pos="1419" w:val="left" w:leader="none"/>
        </w:tabs>
        <w:spacing w:line="240" w:lineRule="auto" w:before="194" w:after="0"/>
        <w:ind w:left="1418" w:right="0" w:hanging="454"/>
        <w:jc w:val="both"/>
      </w:pPr>
      <w:r>
        <w:rPr/>
        <w:t>Quadro Descritivo de Ações e Metas</w:t>
      </w:r>
      <w:r>
        <w:rPr>
          <w:spacing w:val="2"/>
        </w:rPr>
        <w:t> </w:t>
      </w:r>
      <w:r>
        <w:rPr/>
        <w:t>(facultativo).</w:t>
      </w:r>
    </w:p>
    <w:p>
      <w:pPr>
        <w:pStyle w:val="BodyText"/>
        <w:spacing w:before="4"/>
        <w:rPr>
          <w:b/>
          <w:sz w:val="25"/>
        </w:rPr>
      </w:pPr>
    </w:p>
    <w:p>
      <w:pPr>
        <w:pStyle w:val="ListParagraph"/>
        <w:numPr>
          <w:ilvl w:val="0"/>
          <w:numId w:val="27"/>
        </w:numPr>
        <w:tabs>
          <w:tab w:pos="1326" w:val="left" w:leader="none"/>
        </w:tabs>
        <w:spacing w:line="352" w:lineRule="auto" w:before="0" w:after="0"/>
        <w:ind w:left="1325" w:right="171" w:hanging="360"/>
        <w:jc w:val="both"/>
        <w:rPr>
          <w:sz w:val="24"/>
        </w:rPr>
      </w:pPr>
      <w:r>
        <w:rPr>
          <w:b/>
          <w:sz w:val="24"/>
        </w:rPr>
        <w:t>Denominação do Projeto ou Atividade</w:t>
      </w:r>
      <w:r>
        <w:rPr>
          <w:sz w:val="24"/>
        </w:rPr>
        <w:t>: Nome da iniciativa estratégica de acordo com o Quadro</w:t>
      </w:r>
      <w:r>
        <w:rPr>
          <w:spacing w:val="1"/>
          <w:sz w:val="24"/>
        </w:rPr>
        <w:t> </w:t>
      </w:r>
      <w:r>
        <w:rPr>
          <w:sz w:val="24"/>
        </w:rPr>
        <w:t>Geral.</w:t>
      </w:r>
    </w:p>
    <w:p>
      <w:pPr>
        <w:pStyle w:val="ListParagraph"/>
        <w:numPr>
          <w:ilvl w:val="0"/>
          <w:numId w:val="27"/>
        </w:numPr>
        <w:tabs>
          <w:tab w:pos="1326" w:val="left" w:leader="none"/>
        </w:tabs>
        <w:spacing w:line="355" w:lineRule="auto" w:before="16" w:after="0"/>
        <w:ind w:left="1325" w:right="169" w:hanging="360"/>
        <w:jc w:val="both"/>
        <w:rPr>
          <w:sz w:val="24"/>
        </w:rPr>
      </w:pPr>
      <w:r>
        <w:rPr>
          <w:b/>
          <w:sz w:val="24"/>
        </w:rPr>
        <w:t>Metas Físicas</w:t>
      </w:r>
      <w:r>
        <w:rPr>
          <w:sz w:val="24"/>
        </w:rPr>
        <w:t>: bem ou serviço qualificado e quantificado resultante da execução da ação. Para efeito de padronização, as metas são organizadas em dois</w:t>
      </w:r>
      <w:r>
        <w:rPr>
          <w:spacing w:val="-17"/>
          <w:sz w:val="24"/>
        </w:rPr>
        <w:t> </w:t>
      </w:r>
      <w:r>
        <w:rPr>
          <w:sz w:val="24"/>
        </w:rPr>
        <w:t>conjuntos</w:t>
      </w:r>
    </w:p>
    <w:p>
      <w:pPr>
        <w:pStyle w:val="ListParagraph"/>
        <w:numPr>
          <w:ilvl w:val="0"/>
          <w:numId w:val="28"/>
        </w:numPr>
        <w:tabs>
          <w:tab w:pos="1957" w:val="left" w:leader="none"/>
        </w:tabs>
        <w:spacing w:line="240" w:lineRule="auto" w:before="11" w:after="0"/>
        <w:ind w:left="1956" w:right="0" w:hanging="284"/>
        <w:jc w:val="both"/>
        <w:rPr>
          <w:sz w:val="24"/>
        </w:rPr>
      </w:pPr>
      <w:r>
        <w:rPr>
          <w:b/>
          <w:sz w:val="24"/>
        </w:rPr>
        <w:t>Meta da ação: </w:t>
      </w:r>
      <w:r>
        <w:rPr>
          <w:sz w:val="24"/>
        </w:rPr>
        <w:t>consiste no quantitativo da</w:t>
      </w:r>
      <w:r>
        <w:rPr>
          <w:spacing w:val="-2"/>
          <w:sz w:val="24"/>
        </w:rPr>
        <w:t> </w:t>
      </w:r>
      <w:r>
        <w:rPr>
          <w:sz w:val="24"/>
        </w:rPr>
        <w:t>ação.</w:t>
      </w:r>
    </w:p>
    <w:p>
      <w:pPr>
        <w:pStyle w:val="ListParagraph"/>
        <w:numPr>
          <w:ilvl w:val="0"/>
          <w:numId w:val="28"/>
        </w:numPr>
        <w:tabs>
          <w:tab w:pos="1957" w:val="left" w:leader="none"/>
        </w:tabs>
        <w:spacing w:line="360" w:lineRule="auto" w:before="146" w:after="0"/>
        <w:ind w:left="1956" w:right="169" w:hanging="284"/>
        <w:jc w:val="both"/>
        <w:rPr>
          <w:sz w:val="24"/>
        </w:rPr>
      </w:pPr>
      <w:r>
        <w:rPr>
          <w:b/>
          <w:sz w:val="24"/>
        </w:rPr>
        <w:t>Descrição das ações: </w:t>
      </w:r>
      <w:r>
        <w:rPr>
          <w:sz w:val="24"/>
        </w:rPr>
        <w:t>descrevem as iniciativas especificas que devem ser executadas dentro de um projeto ou de uma atividade para produzir os resultados estabelecidos. A ação deve transmitir com clareza a sua finalidade, conteúdo</w:t>
      </w:r>
      <w:r>
        <w:rPr>
          <w:spacing w:val="-16"/>
          <w:sz w:val="24"/>
        </w:rPr>
        <w:t> </w:t>
      </w:r>
      <w:r>
        <w:rPr>
          <w:sz w:val="24"/>
        </w:rPr>
        <w:t>e</w:t>
      </w:r>
      <w:r>
        <w:rPr>
          <w:spacing w:val="-15"/>
          <w:sz w:val="24"/>
        </w:rPr>
        <w:t> </w:t>
      </w:r>
      <w:r>
        <w:rPr>
          <w:sz w:val="24"/>
        </w:rPr>
        <w:t>forma</w:t>
      </w:r>
      <w:r>
        <w:rPr>
          <w:spacing w:val="-14"/>
          <w:sz w:val="24"/>
        </w:rPr>
        <w:t> </w:t>
      </w:r>
      <w:r>
        <w:rPr>
          <w:sz w:val="24"/>
        </w:rPr>
        <w:t>de</w:t>
      </w:r>
      <w:r>
        <w:rPr>
          <w:spacing w:val="-13"/>
          <w:sz w:val="24"/>
        </w:rPr>
        <w:t> </w:t>
      </w:r>
      <w:r>
        <w:rPr>
          <w:sz w:val="24"/>
        </w:rPr>
        <w:t>implementação</w:t>
      </w:r>
      <w:r>
        <w:rPr>
          <w:spacing w:val="-13"/>
          <w:sz w:val="24"/>
        </w:rPr>
        <w:t> </w:t>
      </w:r>
      <w:r>
        <w:rPr>
          <w:sz w:val="24"/>
        </w:rPr>
        <w:t>(o</w:t>
      </w:r>
      <w:r>
        <w:rPr>
          <w:spacing w:val="-17"/>
          <w:sz w:val="24"/>
        </w:rPr>
        <w:t> </w:t>
      </w:r>
      <w:r>
        <w:rPr>
          <w:sz w:val="24"/>
        </w:rPr>
        <w:t>que</w:t>
      </w:r>
      <w:r>
        <w:rPr>
          <w:spacing w:val="-13"/>
          <w:sz w:val="24"/>
        </w:rPr>
        <w:t> </w:t>
      </w:r>
      <w:r>
        <w:rPr>
          <w:sz w:val="24"/>
        </w:rPr>
        <w:t>vai</w:t>
      </w:r>
      <w:r>
        <w:rPr>
          <w:spacing w:val="-15"/>
          <w:sz w:val="24"/>
        </w:rPr>
        <w:t> </w:t>
      </w:r>
      <w:r>
        <w:rPr>
          <w:sz w:val="24"/>
        </w:rPr>
        <w:t>ser</w:t>
      </w:r>
      <w:r>
        <w:rPr>
          <w:spacing w:val="-13"/>
          <w:sz w:val="24"/>
        </w:rPr>
        <w:t> </w:t>
      </w:r>
      <w:r>
        <w:rPr>
          <w:sz w:val="24"/>
        </w:rPr>
        <w:t>feito,</w:t>
      </w:r>
      <w:r>
        <w:rPr>
          <w:spacing w:val="-15"/>
          <w:sz w:val="24"/>
        </w:rPr>
        <w:t> </w:t>
      </w:r>
      <w:r>
        <w:rPr>
          <w:sz w:val="24"/>
        </w:rPr>
        <w:t>por</w:t>
      </w:r>
      <w:r>
        <w:rPr>
          <w:spacing w:val="-16"/>
          <w:sz w:val="24"/>
        </w:rPr>
        <w:t> </w:t>
      </w:r>
      <w:r>
        <w:rPr>
          <w:sz w:val="24"/>
        </w:rPr>
        <w:t>que</w:t>
      </w:r>
      <w:r>
        <w:rPr>
          <w:spacing w:val="-13"/>
          <w:sz w:val="24"/>
        </w:rPr>
        <w:t> </w:t>
      </w:r>
      <w:r>
        <w:rPr>
          <w:sz w:val="24"/>
        </w:rPr>
        <w:t>será</w:t>
      </w:r>
      <w:r>
        <w:rPr>
          <w:spacing w:val="-16"/>
          <w:sz w:val="24"/>
        </w:rPr>
        <w:t> </w:t>
      </w:r>
      <w:r>
        <w:rPr>
          <w:sz w:val="24"/>
        </w:rPr>
        <w:t>feito,</w:t>
      </w:r>
      <w:r>
        <w:rPr>
          <w:spacing w:val="-17"/>
          <w:sz w:val="24"/>
        </w:rPr>
        <w:t> </w:t>
      </w:r>
      <w:r>
        <w:rPr>
          <w:sz w:val="24"/>
        </w:rPr>
        <w:t>onde será feito, quando será feito, como vai ser feito e com que finalidade, por</w:t>
      </w:r>
      <w:r>
        <w:rPr>
          <w:spacing w:val="-5"/>
          <w:sz w:val="24"/>
        </w:rPr>
        <w:t> </w:t>
      </w:r>
      <w:r>
        <w:rPr>
          <w:sz w:val="24"/>
        </w:rPr>
        <w:t>quem</w:t>
      </w:r>
    </w:p>
    <w:p>
      <w:pPr>
        <w:spacing w:after="0" w:line="360" w:lineRule="auto"/>
        <w:jc w:val="both"/>
        <w:rPr>
          <w:sz w:val="24"/>
        </w:rPr>
        <w:sectPr>
          <w:pgSz w:w="11910" w:h="16840"/>
          <w:pgMar w:header="590" w:footer="538" w:top="1640" w:bottom="720" w:left="1020" w:right="960"/>
        </w:sectPr>
      </w:pPr>
    </w:p>
    <w:p>
      <w:pPr>
        <w:pStyle w:val="BodyText"/>
        <w:spacing w:line="360" w:lineRule="auto" w:before="46"/>
        <w:ind w:left="1956"/>
      </w:pPr>
      <w:r>
        <w:rPr/>
        <w:t>será feito e quanto vai custar). Exemplo: Realização de cursos de capacitação no SICCAU.</w:t>
      </w:r>
    </w:p>
    <w:p>
      <w:pPr>
        <w:pStyle w:val="ListParagraph"/>
        <w:numPr>
          <w:ilvl w:val="0"/>
          <w:numId w:val="28"/>
        </w:numPr>
        <w:tabs>
          <w:tab w:pos="1957" w:val="left" w:leader="none"/>
        </w:tabs>
        <w:spacing w:line="360" w:lineRule="auto" w:before="0" w:after="0"/>
        <w:ind w:left="1956" w:right="171" w:hanging="284"/>
        <w:jc w:val="both"/>
        <w:rPr>
          <w:sz w:val="24"/>
        </w:rPr>
      </w:pPr>
      <w:r>
        <w:rPr>
          <w:b/>
          <w:sz w:val="24"/>
        </w:rPr>
        <w:t>Ações Estratégicas Prioritárias: </w:t>
      </w:r>
      <w:r>
        <w:rPr>
          <w:sz w:val="24"/>
        </w:rPr>
        <w:t>selecionar as ações que melhor se enquadram com o objetivo geral. A opção "Não se aplica" deve ser utilizada quando a ação descrita não faz parte do rol das "Ações Estratégicas Prioritárias". As ações selecionadas devem respeitar as correlações com os objetivos estratégicos, conforme detalhamento na aba "Ações</w:t>
      </w:r>
      <w:r>
        <w:rPr>
          <w:spacing w:val="-7"/>
          <w:sz w:val="24"/>
        </w:rPr>
        <w:t> </w:t>
      </w:r>
      <w:r>
        <w:rPr>
          <w:sz w:val="24"/>
        </w:rPr>
        <w:t>Estratégicas-Descrição".</w:t>
      </w:r>
    </w:p>
    <w:p>
      <w:pPr>
        <w:pStyle w:val="ListParagraph"/>
        <w:numPr>
          <w:ilvl w:val="0"/>
          <w:numId w:val="27"/>
        </w:numPr>
        <w:tabs>
          <w:tab w:pos="1325" w:val="left" w:leader="none"/>
          <w:tab w:pos="1326" w:val="left" w:leader="none"/>
        </w:tabs>
        <w:spacing w:line="240" w:lineRule="auto" w:before="0" w:after="0"/>
        <w:ind w:left="1325" w:right="0" w:hanging="361"/>
        <w:jc w:val="left"/>
        <w:rPr>
          <w:sz w:val="24"/>
        </w:rPr>
      </w:pPr>
      <w:r>
        <w:rPr>
          <w:b/>
          <w:sz w:val="24"/>
        </w:rPr>
        <w:t>Custo da ação: </w:t>
      </w:r>
      <w:r>
        <w:rPr>
          <w:sz w:val="24"/>
        </w:rPr>
        <w:t>valor detalhado dos recursos necessários para a realização da</w:t>
      </w:r>
      <w:r>
        <w:rPr>
          <w:spacing w:val="-13"/>
          <w:sz w:val="24"/>
        </w:rPr>
        <w:t> </w:t>
      </w:r>
      <w:r>
        <w:rPr>
          <w:sz w:val="24"/>
        </w:rPr>
        <w:t>ação:</w:t>
      </w:r>
    </w:p>
    <w:p>
      <w:pPr>
        <w:pStyle w:val="ListParagraph"/>
        <w:numPr>
          <w:ilvl w:val="0"/>
          <w:numId w:val="29"/>
        </w:numPr>
        <w:tabs>
          <w:tab w:pos="1957" w:val="left" w:leader="none"/>
        </w:tabs>
        <w:spacing w:line="360" w:lineRule="auto" w:before="147" w:after="0"/>
        <w:ind w:left="1956" w:right="173" w:hanging="284"/>
        <w:jc w:val="left"/>
        <w:rPr>
          <w:sz w:val="24"/>
        </w:rPr>
      </w:pPr>
      <w:r>
        <w:rPr>
          <w:b/>
          <w:sz w:val="24"/>
        </w:rPr>
        <w:t>Reprogramação 2020 (valor aprovado vigente no ano anterior)</w:t>
      </w:r>
      <w:r>
        <w:rPr>
          <w:sz w:val="24"/>
        </w:rPr>
        <w:t>: indicar o custo total da ação aprovado no ano</w:t>
      </w:r>
      <w:r>
        <w:rPr>
          <w:spacing w:val="-6"/>
          <w:sz w:val="24"/>
        </w:rPr>
        <w:t> </w:t>
      </w:r>
      <w:r>
        <w:rPr>
          <w:sz w:val="24"/>
        </w:rPr>
        <w:t>anterior;</w:t>
      </w:r>
    </w:p>
    <w:p>
      <w:pPr>
        <w:pStyle w:val="ListParagraph"/>
        <w:numPr>
          <w:ilvl w:val="0"/>
          <w:numId w:val="29"/>
        </w:numPr>
        <w:tabs>
          <w:tab w:pos="1957" w:val="left" w:leader="none"/>
        </w:tabs>
        <w:spacing w:line="360" w:lineRule="auto" w:before="0" w:after="0"/>
        <w:ind w:left="1956" w:right="170" w:hanging="284"/>
        <w:jc w:val="left"/>
        <w:rPr>
          <w:sz w:val="24"/>
        </w:rPr>
      </w:pPr>
      <w:r>
        <w:rPr>
          <w:b/>
          <w:sz w:val="24"/>
        </w:rPr>
        <w:t>Programação</w:t>
      </w:r>
      <w:r>
        <w:rPr>
          <w:b/>
          <w:spacing w:val="-4"/>
          <w:sz w:val="24"/>
        </w:rPr>
        <w:t> </w:t>
      </w:r>
      <w:r>
        <w:rPr>
          <w:b/>
          <w:sz w:val="24"/>
        </w:rPr>
        <w:t>2021</w:t>
      </w:r>
      <w:r>
        <w:rPr>
          <w:b/>
          <w:spacing w:val="-4"/>
          <w:sz w:val="24"/>
        </w:rPr>
        <w:t> </w:t>
      </w:r>
      <w:r>
        <w:rPr>
          <w:b/>
          <w:sz w:val="24"/>
        </w:rPr>
        <w:t>(valor</w:t>
      </w:r>
      <w:r>
        <w:rPr>
          <w:b/>
          <w:spacing w:val="-3"/>
          <w:sz w:val="24"/>
        </w:rPr>
        <w:t> </w:t>
      </w:r>
      <w:r>
        <w:rPr>
          <w:b/>
          <w:sz w:val="24"/>
        </w:rPr>
        <w:t>previsto</w:t>
      </w:r>
      <w:r>
        <w:rPr>
          <w:b/>
          <w:spacing w:val="-4"/>
          <w:sz w:val="24"/>
        </w:rPr>
        <w:t> </w:t>
      </w:r>
      <w:r>
        <w:rPr>
          <w:b/>
          <w:sz w:val="24"/>
        </w:rPr>
        <w:t>para</w:t>
      </w:r>
      <w:r>
        <w:rPr>
          <w:b/>
          <w:spacing w:val="-5"/>
          <w:sz w:val="24"/>
        </w:rPr>
        <w:t> </w:t>
      </w:r>
      <w:r>
        <w:rPr>
          <w:b/>
          <w:sz w:val="24"/>
        </w:rPr>
        <w:t>o</w:t>
      </w:r>
      <w:r>
        <w:rPr>
          <w:b/>
          <w:spacing w:val="-4"/>
          <w:sz w:val="24"/>
        </w:rPr>
        <w:t> </w:t>
      </w:r>
      <w:r>
        <w:rPr>
          <w:b/>
          <w:sz w:val="24"/>
        </w:rPr>
        <w:t>ano</w:t>
      </w:r>
      <w:r>
        <w:rPr>
          <w:b/>
          <w:spacing w:val="-3"/>
          <w:sz w:val="24"/>
        </w:rPr>
        <w:t> </w:t>
      </w:r>
      <w:r>
        <w:rPr>
          <w:b/>
          <w:sz w:val="24"/>
        </w:rPr>
        <w:t>seguinte):</w:t>
      </w:r>
      <w:r>
        <w:rPr>
          <w:b/>
          <w:spacing w:val="-6"/>
          <w:sz w:val="24"/>
        </w:rPr>
        <w:t> </w:t>
      </w:r>
      <w:r>
        <w:rPr>
          <w:sz w:val="24"/>
        </w:rPr>
        <w:t>indicar</w:t>
      </w:r>
      <w:r>
        <w:rPr>
          <w:spacing w:val="-3"/>
          <w:sz w:val="24"/>
        </w:rPr>
        <w:t> </w:t>
      </w:r>
      <w:r>
        <w:rPr>
          <w:sz w:val="24"/>
        </w:rPr>
        <w:t>o</w:t>
      </w:r>
      <w:r>
        <w:rPr>
          <w:spacing w:val="-4"/>
          <w:sz w:val="24"/>
        </w:rPr>
        <w:t> </w:t>
      </w:r>
      <w:r>
        <w:rPr>
          <w:sz w:val="24"/>
        </w:rPr>
        <w:t>custo</w:t>
      </w:r>
      <w:r>
        <w:rPr>
          <w:spacing w:val="-6"/>
          <w:sz w:val="24"/>
        </w:rPr>
        <w:t> </w:t>
      </w:r>
      <w:r>
        <w:rPr>
          <w:sz w:val="24"/>
        </w:rPr>
        <w:t>total</w:t>
      </w:r>
      <w:r>
        <w:rPr>
          <w:spacing w:val="-5"/>
          <w:sz w:val="24"/>
        </w:rPr>
        <w:t> </w:t>
      </w:r>
      <w:r>
        <w:rPr>
          <w:sz w:val="24"/>
        </w:rPr>
        <w:t>da ação prevista para o ano</w:t>
      </w:r>
      <w:r>
        <w:rPr>
          <w:spacing w:val="-1"/>
          <w:sz w:val="24"/>
        </w:rPr>
        <w:t> </w:t>
      </w:r>
      <w:r>
        <w:rPr>
          <w:sz w:val="24"/>
        </w:rPr>
        <w:t>seguinte.</w:t>
      </w:r>
    </w:p>
    <w:p>
      <w:pPr>
        <w:pStyle w:val="ListParagraph"/>
        <w:numPr>
          <w:ilvl w:val="0"/>
          <w:numId w:val="29"/>
        </w:numPr>
        <w:tabs>
          <w:tab w:pos="1957" w:val="left" w:leader="none"/>
        </w:tabs>
        <w:spacing w:line="360" w:lineRule="auto" w:before="0" w:after="0"/>
        <w:ind w:left="1956" w:right="169" w:hanging="284"/>
        <w:jc w:val="left"/>
        <w:rPr>
          <w:sz w:val="24"/>
        </w:rPr>
      </w:pPr>
      <w:r>
        <w:rPr>
          <w:b/>
          <w:sz w:val="24"/>
        </w:rPr>
        <w:t>Variação:</w:t>
      </w:r>
      <w:r>
        <w:rPr>
          <w:b/>
          <w:spacing w:val="-2"/>
          <w:sz w:val="24"/>
        </w:rPr>
        <w:t> </w:t>
      </w:r>
      <w:r>
        <w:rPr>
          <w:sz w:val="24"/>
        </w:rPr>
        <w:t>valor</w:t>
      </w:r>
      <w:r>
        <w:rPr>
          <w:spacing w:val="-6"/>
          <w:sz w:val="24"/>
        </w:rPr>
        <w:t> </w:t>
      </w:r>
      <w:r>
        <w:rPr>
          <w:sz w:val="24"/>
        </w:rPr>
        <w:t>e</w:t>
      </w:r>
      <w:r>
        <w:rPr>
          <w:spacing w:val="-5"/>
          <w:sz w:val="24"/>
        </w:rPr>
        <w:t> </w:t>
      </w:r>
      <w:r>
        <w:rPr>
          <w:sz w:val="24"/>
        </w:rPr>
        <w:t>percentual</w:t>
      </w:r>
      <w:r>
        <w:rPr>
          <w:spacing w:val="-6"/>
          <w:sz w:val="24"/>
        </w:rPr>
        <w:t> </w:t>
      </w:r>
      <w:r>
        <w:rPr>
          <w:sz w:val="24"/>
        </w:rPr>
        <w:t>de</w:t>
      </w:r>
      <w:r>
        <w:rPr>
          <w:spacing w:val="-3"/>
          <w:sz w:val="24"/>
        </w:rPr>
        <w:t> </w:t>
      </w:r>
      <w:r>
        <w:rPr>
          <w:sz w:val="24"/>
        </w:rPr>
        <w:t>variação</w:t>
      </w:r>
      <w:r>
        <w:rPr>
          <w:spacing w:val="-5"/>
          <w:sz w:val="24"/>
        </w:rPr>
        <w:t> </w:t>
      </w:r>
      <w:r>
        <w:rPr>
          <w:sz w:val="24"/>
        </w:rPr>
        <w:t>entre</w:t>
      </w:r>
      <w:r>
        <w:rPr>
          <w:spacing w:val="-6"/>
          <w:sz w:val="24"/>
        </w:rPr>
        <w:t> </w:t>
      </w:r>
      <w:r>
        <w:rPr>
          <w:sz w:val="24"/>
        </w:rPr>
        <w:t>os</w:t>
      </w:r>
      <w:r>
        <w:rPr>
          <w:spacing w:val="-6"/>
          <w:sz w:val="24"/>
        </w:rPr>
        <w:t> </w:t>
      </w:r>
      <w:r>
        <w:rPr>
          <w:sz w:val="24"/>
        </w:rPr>
        <w:t>valores</w:t>
      </w:r>
      <w:r>
        <w:rPr>
          <w:spacing w:val="-3"/>
          <w:sz w:val="24"/>
        </w:rPr>
        <w:t> </w:t>
      </w:r>
      <w:r>
        <w:rPr>
          <w:sz w:val="24"/>
        </w:rPr>
        <w:t>aprovados</w:t>
      </w:r>
      <w:r>
        <w:rPr>
          <w:spacing w:val="-4"/>
          <w:sz w:val="24"/>
        </w:rPr>
        <w:t> </w:t>
      </w:r>
      <w:r>
        <w:rPr>
          <w:sz w:val="24"/>
        </w:rPr>
        <w:t>e</w:t>
      </w:r>
      <w:r>
        <w:rPr>
          <w:spacing w:val="-6"/>
          <w:sz w:val="24"/>
        </w:rPr>
        <w:t> </w:t>
      </w:r>
      <w:r>
        <w:rPr>
          <w:sz w:val="24"/>
        </w:rPr>
        <w:t>os</w:t>
      </w:r>
      <w:r>
        <w:rPr>
          <w:spacing w:val="-6"/>
          <w:sz w:val="24"/>
        </w:rPr>
        <w:t> </w:t>
      </w:r>
      <w:r>
        <w:rPr>
          <w:sz w:val="24"/>
        </w:rPr>
        <w:t>valores previstos.</w:t>
      </w:r>
    </w:p>
    <w:p>
      <w:pPr>
        <w:pStyle w:val="ListParagraph"/>
        <w:numPr>
          <w:ilvl w:val="0"/>
          <w:numId w:val="27"/>
        </w:numPr>
        <w:tabs>
          <w:tab w:pos="1325" w:val="left" w:leader="none"/>
          <w:tab w:pos="1326" w:val="left" w:leader="none"/>
        </w:tabs>
        <w:spacing w:line="355" w:lineRule="auto" w:before="0" w:after="0"/>
        <w:ind w:left="1325" w:right="176" w:hanging="360"/>
        <w:jc w:val="left"/>
        <w:rPr>
          <w:sz w:val="24"/>
        </w:rPr>
      </w:pPr>
      <w:r>
        <w:rPr>
          <w:b/>
          <w:sz w:val="24"/>
        </w:rPr>
        <w:t>Fundo de Apoio: </w:t>
      </w:r>
      <w:r>
        <w:rPr>
          <w:sz w:val="24"/>
        </w:rPr>
        <w:t>compreende o valor que será custeado com recursos do Fundo de Apoio em cada elemento de</w:t>
      </w:r>
      <w:r>
        <w:rPr>
          <w:spacing w:val="-2"/>
          <w:sz w:val="24"/>
        </w:rPr>
        <w:t> </w:t>
      </w:r>
      <w:r>
        <w:rPr>
          <w:sz w:val="24"/>
        </w:rPr>
        <w:t>despesas.</w:t>
      </w:r>
    </w:p>
    <w:p>
      <w:pPr>
        <w:pStyle w:val="ListParagraph"/>
        <w:numPr>
          <w:ilvl w:val="0"/>
          <w:numId w:val="30"/>
        </w:numPr>
        <w:tabs>
          <w:tab w:pos="1957" w:val="left" w:leader="none"/>
        </w:tabs>
        <w:spacing w:line="360" w:lineRule="auto" w:before="11" w:after="0"/>
        <w:ind w:left="1956" w:right="167" w:hanging="284"/>
        <w:jc w:val="both"/>
        <w:rPr>
          <w:sz w:val="24"/>
        </w:rPr>
      </w:pPr>
      <w:r>
        <w:rPr>
          <w:b/>
          <w:sz w:val="24"/>
        </w:rPr>
        <w:t>A custear com Recursos do Fundo de Apoio: </w:t>
      </w:r>
      <w:r>
        <w:rPr>
          <w:sz w:val="24"/>
        </w:rPr>
        <w:t>compreende os valores do projeto ou atividade que será financiado por recursos oriundos do fundo de apoio dos CAU/UF, apenas para os CAU/Básicos. Atenção: Cabe salientar que os CAU Básico, na elaboração de sua programação para 2021, deverão observar com maior rigor todos os procedimentos e estratégias estabelecidas nas presentes Diretrizes e na Resolução nº 119, valendo ressaltar “Art. 6° Os recursos provenientes</w:t>
      </w:r>
      <w:r>
        <w:rPr>
          <w:spacing w:val="-9"/>
          <w:sz w:val="24"/>
        </w:rPr>
        <w:t> </w:t>
      </w:r>
      <w:r>
        <w:rPr>
          <w:sz w:val="24"/>
        </w:rPr>
        <w:t>do</w:t>
      </w:r>
      <w:r>
        <w:rPr>
          <w:spacing w:val="-9"/>
          <w:sz w:val="24"/>
        </w:rPr>
        <w:t> </w:t>
      </w:r>
      <w:r>
        <w:rPr>
          <w:sz w:val="24"/>
        </w:rPr>
        <w:t>Fundo</w:t>
      </w:r>
      <w:r>
        <w:rPr>
          <w:spacing w:val="-9"/>
          <w:sz w:val="24"/>
        </w:rPr>
        <w:t> </w:t>
      </w:r>
      <w:r>
        <w:rPr>
          <w:sz w:val="24"/>
        </w:rPr>
        <w:t>de</w:t>
      </w:r>
      <w:r>
        <w:rPr>
          <w:spacing w:val="-8"/>
          <w:sz w:val="24"/>
        </w:rPr>
        <w:t> </w:t>
      </w:r>
      <w:r>
        <w:rPr>
          <w:sz w:val="24"/>
        </w:rPr>
        <w:t>Apoio</w:t>
      </w:r>
      <w:r>
        <w:rPr>
          <w:spacing w:val="-8"/>
          <w:sz w:val="24"/>
        </w:rPr>
        <w:t> </w:t>
      </w:r>
      <w:r>
        <w:rPr>
          <w:sz w:val="24"/>
        </w:rPr>
        <w:t>deverão</w:t>
      </w:r>
      <w:r>
        <w:rPr>
          <w:spacing w:val="-7"/>
          <w:sz w:val="24"/>
        </w:rPr>
        <w:t> </w:t>
      </w:r>
      <w:r>
        <w:rPr>
          <w:sz w:val="24"/>
        </w:rPr>
        <w:t>ser</w:t>
      </w:r>
      <w:r>
        <w:rPr>
          <w:spacing w:val="-9"/>
          <w:sz w:val="24"/>
        </w:rPr>
        <w:t> </w:t>
      </w:r>
      <w:r>
        <w:rPr>
          <w:sz w:val="24"/>
        </w:rPr>
        <w:t>utilizados</w:t>
      </w:r>
      <w:r>
        <w:rPr>
          <w:spacing w:val="-7"/>
          <w:sz w:val="24"/>
        </w:rPr>
        <w:t> </w:t>
      </w:r>
      <w:r>
        <w:rPr>
          <w:sz w:val="24"/>
        </w:rPr>
        <w:t>em</w:t>
      </w:r>
      <w:r>
        <w:rPr>
          <w:spacing w:val="-7"/>
          <w:sz w:val="24"/>
        </w:rPr>
        <w:t> </w:t>
      </w:r>
      <w:r>
        <w:rPr>
          <w:sz w:val="24"/>
        </w:rPr>
        <w:t>estrita</w:t>
      </w:r>
      <w:r>
        <w:rPr>
          <w:spacing w:val="-7"/>
          <w:sz w:val="24"/>
        </w:rPr>
        <w:t> </w:t>
      </w:r>
      <w:r>
        <w:rPr>
          <w:sz w:val="24"/>
        </w:rPr>
        <w:t>conformidade com o Plano de Ação aprovado, sendo vedada a sua utilização para despesas de capital”. Vale ressaltar também que a participação nas reuniões plenárias ampliadas e o valor do CSC devem ser custeados pelo Fundo de</w:t>
      </w:r>
      <w:r>
        <w:rPr>
          <w:spacing w:val="-17"/>
          <w:sz w:val="24"/>
        </w:rPr>
        <w:t> </w:t>
      </w:r>
      <w:r>
        <w:rPr>
          <w:sz w:val="24"/>
        </w:rPr>
        <w:t>Apoio.</w:t>
      </w:r>
    </w:p>
    <w:p>
      <w:pPr>
        <w:pStyle w:val="ListParagraph"/>
        <w:numPr>
          <w:ilvl w:val="0"/>
          <w:numId w:val="30"/>
        </w:numPr>
        <w:tabs>
          <w:tab w:pos="1957" w:val="left" w:leader="none"/>
        </w:tabs>
        <w:spacing w:line="360" w:lineRule="auto" w:before="0" w:after="0"/>
        <w:ind w:left="1956" w:right="169" w:hanging="284"/>
        <w:jc w:val="both"/>
        <w:rPr>
          <w:sz w:val="24"/>
        </w:rPr>
      </w:pPr>
      <w:r>
        <w:rPr>
          <w:b/>
          <w:sz w:val="24"/>
        </w:rPr>
        <w:t>%</w:t>
      </w:r>
      <w:r>
        <w:rPr>
          <w:b/>
          <w:spacing w:val="-5"/>
          <w:sz w:val="24"/>
        </w:rPr>
        <w:t> </w:t>
      </w:r>
      <w:r>
        <w:rPr>
          <w:b/>
          <w:sz w:val="24"/>
        </w:rPr>
        <w:t>Utilização</w:t>
      </w:r>
      <w:r>
        <w:rPr>
          <w:b/>
          <w:spacing w:val="-7"/>
          <w:sz w:val="24"/>
        </w:rPr>
        <w:t> </w:t>
      </w:r>
      <w:r>
        <w:rPr>
          <w:b/>
          <w:sz w:val="24"/>
        </w:rPr>
        <w:t>do</w:t>
      </w:r>
      <w:r>
        <w:rPr>
          <w:b/>
          <w:spacing w:val="-6"/>
          <w:sz w:val="24"/>
        </w:rPr>
        <w:t> </w:t>
      </w:r>
      <w:r>
        <w:rPr>
          <w:b/>
          <w:sz w:val="24"/>
        </w:rPr>
        <w:t>Fundo</w:t>
      </w:r>
      <w:r>
        <w:rPr>
          <w:b/>
          <w:spacing w:val="-7"/>
          <w:sz w:val="24"/>
        </w:rPr>
        <w:t> </w:t>
      </w:r>
      <w:r>
        <w:rPr>
          <w:b/>
          <w:sz w:val="24"/>
        </w:rPr>
        <w:t>de</w:t>
      </w:r>
      <w:r>
        <w:rPr>
          <w:b/>
          <w:spacing w:val="-6"/>
          <w:sz w:val="24"/>
        </w:rPr>
        <w:t> </w:t>
      </w:r>
      <w:r>
        <w:rPr>
          <w:b/>
          <w:sz w:val="24"/>
        </w:rPr>
        <w:t>Apoio:</w:t>
      </w:r>
      <w:r>
        <w:rPr>
          <w:b/>
          <w:spacing w:val="-2"/>
          <w:sz w:val="24"/>
        </w:rPr>
        <w:t> </w:t>
      </w:r>
      <w:r>
        <w:rPr>
          <w:sz w:val="24"/>
        </w:rPr>
        <w:t>representatividade</w:t>
      </w:r>
      <w:r>
        <w:rPr>
          <w:spacing w:val="-7"/>
          <w:sz w:val="24"/>
        </w:rPr>
        <w:t> </w:t>
      </w:r>
      <w:r>
        <w:rPr>
          <w:sz w:val="24"/>
        </w:rPr>
        <w:t>da</w:t>
      </w:r>
      <w:r>
        <w:rPr>
          <w:spacing w:val="-6"/>
          <w:sz w:val="24"/>
        </w:rPr>
        <w:t> </w:t>
      </w:r>
      <w:r>
        <w:rPr>
          <w:sz w:val="24"/>
        </w:rPr>
        <w:t>utilização</w:t>
      </w:r>
      <w:r>
        <w:rPr>
          <w:spacing w:val="-7"/>
          <w:sz w:val="24"/>
        </w:rPr>
        <w:t> </w:t>
      </w:r>
      <w:r>
        <w:rPr>
          <w:sz w:val="24"/>
        </w:rPr>
        <w:t>do</w:t>
      </w:r>
      <w:r>
        <w:rPr>
          <w:spacing w:val="-7"/>
          <w:sz w:val="24"/>
        </w:rPr>
        <w:t> </w:t>
      </w:r>
      <w:r>
        <w:rPr>
          <w:sz w:val="24"/>
        </w:rPr>
        <w:t>fundo</w:t>
      </w:r>
      <w:r>
        <w:rPr>
          <w:spacing w:val="-3"/>
          <w:sz w:val="24"/>
        </w:rPr>
        <w:t> </w:t>
      </w:r>
      <w:r>
        <w:rPr>
          <w:sz w:val="24"/>
        </w:rPr>
        <w:t>para custear a</w:t>
      </w:r>
      <w:r>
        <w:rPr>
          <w:spacing w:val="-3"/>
          <w:sz w:val="24"/>
        </w:rPr>
        <w:t> </w:t>
      </w:r>
      <w:r>
        <w:rPr>
          <w:sz w:val="24"/>
        </w:rPr>
        <w:t>ação.</w:t>
      </w:r>
    </w:p>
    <w:p>
      <w:pPr>
        <w:pStyle w:val="ListParagraph"/>
        <w:numPr>
          <w:ilvl w:val="0"/>
          <w:numId w:val="27"/>
        </w:numPr>
        <w:tabs>
          <w:tab w:pos="1326" w:val="left" w:leader="none"/>
        </w:tabs>
        <w:spacing w:line="355" w:lineRule="auto" w:before="2" w:after="0"/>
        <w:ind w:left="1325" w:right="169" w:hanging="360"/>
        <w:jc w:val="both"/>
        <w:rPr>
          <w:sz w:val="24"/>
        </w:rPr>
      </w:pPr>
      <w:r>
        <w:rPr/>
        <w:pict>
          <v:shape style="position:absolute;margin-left:60.75pt;margin-top:45.752445pt;width:481.1pt;height:39.25pt;mso-position-horizontal-relative:page;mso-position-vertical-relative:paragraph;z-index:-15709696;mso-wrap-distance-left:0;mso-wrap-distance-right:0" type="#_x0000_t202" filled="true" fillcolor="#d9d9d9" stroked="true" strokeweight=".75pt" strokecolor="#000000">
            <v:textbox inset="0,0,0,0">
              <w:txbxContent>
                <w:p>
                  <w:pPr>
                    <w:spacing w:before="74"/>
                    <w:ind w:left="143" w:right="0" w:firstLine="0"/>
                    <w:jc w:val="left"/>
                    <w:rPr>
                      <w:b/>
                      <w:sz w:val="24"/>
                    </w:rPr>
                  </w:pPr>
                  <w:r>
                    <w:rPr>
                      <w:b/>
                      <w:sz w:val="24"/>
                    </w:rPr>
                    <w:t>PONTO DE ATENÇÃO:</w:t>
                  </w:r>
                </w:p>
                <w:p>
                  <w:pPr>
                    <w:pStyle w:val="BodyText"/>
                    <w:spacing w:before="21"/>
                    <w:ind w:left="143"/>
                  </w:pPr>
                  <w:r>
                    <w:rPr/>
                    <w:t>Na consolidação do orçamento os centavos serão demonstrados.</w:t>
                  </w:r>
                </w:p>
              </w:txbxContent>
            </v:textbox>
            <v:fill type="solid"/>
            <v:stroke dashstyle="solid"/>
            <w10:wrap type="topAndBottom"/>
          </v:shape>
        </w:pict>
      </w:r>
      <w:r>
        <w:rPr>
          <w:b/>
          <w:sz w:val="24"/>
        </w:rPr>
        <w:t>Total: </w:t>
      </w:r>
      <w:r>
        <w:rPr>
          <w:sz w:val="24"/>
        </w:rPr>
        <w:t>compreende o somatório dos custos inerentes as aplicações de cada proposta do plano de</w:t>
      </w:r>
      <w:r>
        <w:rPr>
          <w:spacing w:val="-2"/>
          <w:sz w:val="24"/>
        </w:rPr>
        <w:t> </w:t>
      </w:r>
      <w:r>
        <w:rPr>
          <w:sz w:val="24"/>
        </w:rPr>
        <w:t>ação.</w:t>
      </w:r>
    </w:p>
    <w:p>
      <w:pPr>
        <w:spacing w:after="0" w:line="355" w:lineRule="auto"/>
        <w:jc w:val="both"/>
        <w:rPr>
          <w:sz w:val="24"/>
        </w:rPr>
        <w:sectPr>
          <w:pgSz w:w="11910" w:h="16840"/>
          <w:pgMar w:header="590" w:footer="538" w:top="1640" w:bottom="720" w:left="102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2"/>
        <w:ind w:left="1992" w:right="1489"/>
        <w:jc w:val="center"/>
        <w:rPr>
          <w:b w:val="0"/>
        </w:rPr>
      </w:pPr>
      <w:r>
        <w:rPr>
          <w:b w:val="0"/>
          <w:color w:val="006666"/>
        </w:rPr>
        <w:t>ANEXO X – Anexos Complementares</w:t>
      </w:r>
    </w:p>
    <w:p>
      <w:pPr>
        <w:spacing w:before="42"/>
        <w:ind w:left="1434" w:right="1489" w:firstLine="0"/>
        <w:jc w:val="center"/>
        <w:rPr>
          <w:sz w:val="22"/>
        </w:rPr>
      </w:pPr>
      <w:r>
        <w:rPr>
          <w:sz w:val="22"/>
        </w:rPr>
        <w:t>(link no Portal da Transparência)</w:t>
      </w:r>
    </w:p>
    <w:p>
      <w:pPr>
        <w:spacing w:after="0"/>
        <w:jc w:val="center"/>
        <w:rPr>
          <w:sz w:val="22"/>
        </w:rPr>
        <w:sectPr>
          <w:pgSz w:w="11910" w:h="16840"/>
          <w:pgMar w:header="590" w:footer="538" w:top="1640" w:bottom="720" w:left="1020" w:right="960"/>
        </w:sectPr>
      </w:pPr>
    </w:p>
    <w:p>
      <w:pPr>
        <w:spacing w:before="46"/>
        <w:ind w:left="113" w:right="0" w:firstLine="0"/>
        <w:jc w:val="left"/>
        <w:rPr>
          <w:rFonts w:ascii="Calibri Light" w:hAnsi="Calibri Light"/>
          <w:b w:val="0"/>
          <w:sz w:val="22"/>
        </w:rPr>
      </w:pPr>
      <w:bookmarkStart w:name="_bookmark50" w:id="72"/>
      <w:bookmarkEnd w:id="72"/>
      <w:r>
        <w:rPr/>
      </w:r>
      <w:r>
        <w:rPr>
          <w:rFonts w:ascii="Calibri Light" w:hAnsi="Calibri Light"/>
          <w:b w:val="0"/>
          <w:sz w:val="22"/>
        </w:rPr>
        <w:t>ANEXO X – Anexos dos Detalhamentos das Projeções das Receitas do CAU</w:t>
      </w:r>
    </w:p>
    <w:p>
      <w:pPr>
        <w:pStyle w:val="BodyText"/>
        <w:rPr>
          <w:rFonts w:ascii="Calibri Light"/>
          <w:b w:val="0"/>
          <w:sz w:val="22"/>
        </w:rPr>
      </w:pPr>
    </w:p>
    <w:p>
      <w:pPr>
        <w:pStyle w:val="BodyText"/>
        <w:spacing w:before="5"/>
        <w:rPr>
          <w:rFonts w:ascii="Calibri Light"/>
          <w:b w:val="0"/>
          <w:sz w:val="20"/>
        </w:rPr>
      </w:pPr>
    </w:p>
    <w:p>
      <w:pPr>
        <w:pStyle w:val="ListParagraph"/>
        <w:numPr>
          <w:ilvl w:val="0"/>
          <w:numId w:val="31"/>
        </w:numPr>
        <w:tabs>
          <w:tab w:pos="679" w:val="left" w:leader="none"/>
          <w:tab w:pos="680" w:val="left" w:leader="none"/>
        </w:tabs>
        <w:spacing w:line="355" w:lineRule="auto" w:before="0" w:after="0"/>
        <w:ind w:left="679" w:right="172" w:hanging="360"/>
        <w:jc w:val="left"/>
        <w:rPr>
          <w:rFonts w:ascii="Symbol" w:hAnsi="Symbol"/>
          <w:color w:val="0462C1"/>
          <w:sz w:val="24"/>
        </w:rPr>
      </w:pPr>
      <w:r>
        <w:rPr>
          <w:color w:val="0462C1"/>
          <w:sz w:val="24"/>
          <w:u w:val="single" w:color="0462C1"/>
        </w:rPr>
        <w:t>ANEXO X.I – Detalhamento da Projeção da Receita Total do CAU – Exercício 2021 (100% e 80%);</w:t>
      </w:r>
    </w:p>
    <w:p>
      <w:pPr>
        <w:pStyle w:val="ListParagraph"/>
        <w:numPr>
          <w:ilvl w:val="0"/>
          <w:numId w:val="31"/>
        </w:numPr>
        <w:tabs>
          <w:tab w:pos="679" w:val="left" w:leader="none"/>
          <w:tab w:pos="680" w:val="left" w:leader="none"/>
        </w:tabs>
        <w:spacing w:line="240" w:lineRule="auto" w:before="12" w:after="0"/>
        <w:ind w:left="679" w:right="0" w:hanging="361"/>
        <w:jc w:val="left"/>
        <w:rPr>
          <w:rFonts w:ascii="Symbol" w:hAnsi="Symbol"/>
          <w:color w:val="006FC0"/>
          <w:sz w:val="24"/>
        </w:rPr>
      </w:pPr>
      <w:r>
        <w:rPr>
          <w:color w:val="0462C1"/>
          <w:sz w:val="24"/>
          <w:u w:val="single" w:color="0462C1"/>
        </w:rPr>
        <w:t>ANEXO X.II – Detalhamento da Projeção do Quantitativo, Descontos e Valores – Pessoa</w:t>
      </w:r>
      <w:r>
        <w:rPr>
          <w:color w:val="0462C1"/>
          <w:spacing w:val="-15"/>
          <w:sz w:val="24"/>
          <w:u w:val="single" w:color="0462C1"/>
        </w:rPr>
        <w:t> </w:t>
      </w:r>
      <w:r>
        <w:rPr>
          <w:color w:val="0462C1"/>
          <w:sz w:val="24"/>
          <w:u w:val="single" w:color="0462C1"/>
        </w:rPr>
        <w:t>Física</w:t>
      </w:r>
    </w:p>
    <w:p>
      <w:pPr>
        <w:pStyle w:val="BodyText"/>
        <w:spacing w:before="144"/>
        <w:ind w:left="679"/>
      </w:pPr>
      <w:r>
        <w:rPr>
          <w:color w:val="0462C1"/>
          <w:u w:val="single" w:color="0462C1"/>
        </w:rPr>
        <w:t>– Exercício 2021;</w:t>
      </w:r>
    </w:p>
    <w:p>
      <w:pPr>
        <w:pStyle w:val="ListParagraph"/>
        <w:numPr>
          <w:ilvl w:val="0"/>
          <w:numId w:val="31"/>
        </w:numPr>
        <w:tabs>
          <w:tab w:pos="679" w:val="left" w:leader="none"/>
          <w:tab w:pos="680" w:val="left" w:leader="none"/>
        </w:tabs>
        <w:spacing w:line="355" w:lineRule="auto" w:before="148" w:after="0"/>
        <w:ind w:left="679" w:right="170" w:hanging="360"/>
        <w:jc w:val="left"/>
        <w:rPr>
          <w:rFonts w:ascii="Symbol" w:hAnsi="Symbol"/>
          <w:color w:val="006FC0"/>
          <w:sz w:val="24"/>
        </w:rPr>
      </w:pPr>
      <w:r>
        <w:rPr>
          <w:color w:val="0462C1"/>
          <w:sz w:val="24"/>
          <w:u w:val="single" w:color="0462C1"/>
        </w:rPr>
        <w:t>ANEXO X.III – Detalhamento da Projeção do Quantitativo, Descontos e Valores – Pessoa Jurídica – Exercício</w:t>
      </w:r>
      <w:r>
        <w:rPr>
          <w:color w:val="0462C1"/>
          <w:spacing w:val="-3"/>
          <w:sz w:val="24"/>
          <w:u w:val="single" w:color="0462C1"/>
        </w:rPr>
        <w:t> </w:t>
      </w:r>
      <w:r>
        <w:rPr>
          <w:color w:val="0462C1"/>
          <w:sz w:val="24"/>
          <w:u w:val="single" w:color="0462C1"/>
        </w:rPr>
        <w:t>2021;</w:t>
      </w:r>
    </w:p>
    <w:p>
      <w:pPr>
        <w:pStyle w:val="ListParagraph"/>
        <w:numPr>
          <w:ilvl w:val="0"/>
          <w:numId w:val="31"/>
        </w:numPr>
        <w:tabs>
          <w:tab w:pos="679" w:val="left" w:leader="none"/>
          <w:tab w:pos="680" w:val="left" w:leader="none"/>
        </w:tabs>
        <w:spacing w:line="352" w:lineRule="auto" w:before="13" w:after="0"/>
        <w:ind w:left="679" w:right="172" w:hanging="360"/>
        <w:jc w:val="left"/>
        <w:rPr>
          <w:rFonts w:ascii="Symbol" w:hAnsi="Symbol"/>
          <w:color w:val="006FC0"/>
          <w:sz w:val="24"/>
        </w:rPr>
      </w:pPr>
      <w:r>
        <w:rPr>
          <w:color w:val="0462C1"/>
          <w:sz w:val="24"/>
          <w:u w:val="single" w:color="0462C1"/>
        </w:rPr>
        <w:t>ANEXO X.IV – Detalhamento da Projeção da Receita de RRT – Reprogramação 2020 x Programação</w:t>
      </w:r>
      <w:r>
        <w:rPr>
          <w:color w:val="0462C1"/>
          <w:spacing w:val="-2"/>
          <w:sz w:val="24"/>
          <w:u w:val="single" w:color="0462C1"/>
        </w:rPr>
        <w:t> </w:t>
      </w:r>
      <w:r>
        <w:rPr>
          <w:color w:val="0462C1"/>
          <w:sz w:val="24"/>
          <w:u w:val="single" w:color="0462C1"/>
        </w:rPr>
        <w:t>2021;</w:t>
      </w:r>
    </w:p>
    <w:p>
      <w:pPr>
        <w:pStyle w:val="ListParagraph"/>
        <w:numPr>
          <w:ilvl w:val="0"/>
          <w:numId w:val="31"/>
        </w:numPr>
        <w:tabs>
          <w:tab w:pos="679" w:val="left" w:leader="none"/>
          <w:tab w:pos="680" w:val="left" w:leader="none"/>
        </w:tabs>
        <w:spacing w:line="240" w:lineRule="auto" w:before="16" w:after="0"/>
        <w:ind w:left="679" w:right="0" w:hanging="361"/>
        <w:jc w:val="left"/>
        <w:rPr>
          <w:rFonts w:ascii="Symbol" w:hAnsi="Symbol"/>
          <w:color w:val="006FC0"/>
          <w:sz w:val="24"/>
        </w:rPr>
      </w:pPr>
      <w:r>
        <w:rPr>
          <w:color w:val="0462C1"/>
          <w:sz w:val="24"/>
          <w:u w:val="single" w:color="0462C1"/>
        </w:rPr>
        <w:t>ANEXO</w:t>
      </w:r>
      <w:r>
        <w:rPr>
          <w:color w:val="0462C1"/>
          <w:spacing w:val="-14"/>
          <w:sz w:val="24"/>
          <w:u w:val="single" w:color="0462C1"/>
        </w:rPr>
        <w:t> </w:t>
      </w:r>
      <w:r>
        <w:rPr>
          <w:color w:val="0462C1"/>
          <w:sz w:val="24"/>
          <w:u w:val="single" w:color="0462C1"/>
        </w:rPr>
        <w:t>X.V</w:t>
      </w:r>
      <w:r>
        <w:rPr>
          <w:color w:val="0462C1"/>
          <w:spacing w:val="-12"/>
          <w:sz w:val="24"/>
          <w:u w:val="single" w:color="0462C1"/>
        </w:rPr>
        <w:t> </w:t>
      </w:r>
      <w:r>
        <w:rPr>
          <w:color w:val="0462C1"/>
          <w:sz w:val="24"/>
          <w:u w:val="single" w:color="0462C1"/>
        </w:rPr>
        <w:t>–</w:t>
      </w:r>
      <w:r>
        <w:rPr>
          <w:color w:val="0462C1"/>
          <w:spacing w:val="-14"/>
          <w:sz w:val="24"/>
          <w:u w:val="single" w:color="0462C1"/>
        </w:rPr>
        <w:t> </w:t>
      </w:r>
      <w:r>
        <w:rPr>
          <w:color w:val="0462C1"/>
          <w:sz w:val="24"/>
          <w:u w:val="single" w:color="0462C1"/>
        </w:rPr>
        <w:t>Detalhamento</w:t>
      </w:r>
      <w:r>
        <w:rPr>
          <w:color w:val="0462C1"/>
          <w:spacing w:val="-15"/>
          <w:sz w:val="24"/>
          <w:u w:val="single" w:color="0462C1"/>
        </w:rPr>
        <w:t> </w:t>
      </w:r>
      <w:r>
        <w:rPr>
          <w:color w:val="0462C1"/>
          <w:sz w:val="24"/>
          <w:u w:val="single" w:color="0462C1"/>
        </w:rPr>
        <w:t>da</w:t>
      </w:r>
      <w:r>
        <w:rPr>
          <w:color w:val="0462C1"/>
          <w:spacing w:val="-12"/>
          <w:sz w:val="24"/>
          <w:u w:val="single" w:color="0462C1"/>
        </w:rPr>
        <w:t> </w:t>
      </w:r>
      <w:r>
        <w:rPr>
          <w:color w:val="0462C1"/>
          <w:sz w:val="24"/>
          <w:u w:val="single" w:color="0462C1"/>
        </w:rPr>
        <w:t>Projeção</w:t>
      </w:r>
      <w:r>
        <w:rPr>
          <w:color w:val="0462C1"/>
          <w:spacing w:val="-14"/>
          <w:sz w:val="24"/>
          <w:u w:val="single" w:color="0462C1"/>
        </w:rPr>
        <w:t> </w:t>
      </w:r>
      <w:r>
        <w:rPr>
          <w:color w:val="0462C1"/>
          <w:sz w:val="24"/>
          <w:u w:val="single" w:color="0462C1"/>
        </w:rPr>
        <w:t>da</w:t>
      </w:r>
      <w:r>
        <w:rPr>
          <w:color w:val="0462C1"/>
          <w:spacing w:val="-13"/>
          <w:sz w:val="24"/>
          <w:u w:val="single" w:color="0462C1"/>
        </w:rPr>
        <w:t> </w:t>
      </w:r>
      <w:r>
        <w:rPr>
          <w:color w:val="0462C1"/>
          <w:sz w:val="24"/>
          <w:u w:val="single" w:color="0462C1"/>
        </w:rPr>
        <w:t>Receita</w:t>
      </w:r>
      <w:r>
        <w:rPr>
          <w:color w:val="0462C1"/>
          <w:spacing w:val="-12"/>
          <w:sz w:val="24"/>
          <w:u w:val="single" w:color="0462C1"/>
        </w:rPr>
        <w:t> </w:t>
      </w:r>
      <w:r>
        <w:rPr>
          <w:color w:val="0462C1"/>
          <w:sz w:val="24"/>
          <w:u w:val="single" w:color="0462C1"/>
        </w:rPr>
        <w:t>de</w:t>
      </w:r>
      <w:r>
        <w:rPr>
          <w:color w:val="0462C1"/>
          <w:spacing w:val="-13"/>
          <w:sz w:val="24"/>
          <w:u w:val="single" w:color="0462C1"/>
        </w:rPr>
        <w:t> </w:t>
      </w:r>
      <w:r>
        <w:rPr>
          <w:color w:val="0462C1"/>
          <w:sz w:val="24"/>
          <w:u w:val="single" w:color="0462C1"/>
        </w:rPr>
        <w:t>Taxas</w:t>
      </w:r>
      <w:r>
        <w:rPr>
          <w:color w:val="0462C1"/>
          <w:spacing w:val="-13"/>
          <w:sz w:val="24"/>
          <w:u w:val="single" w:color="0462C1"/>
        </w:rPr>
        <w:t> </w:t>
      </w:r>
      <w:r>
        <w:rPr>
          <w:color w:val="0462C1"/>
          <w:sz w:val="24"/>
          <w:u w:val="single" w:color="0462C1"/>
        </w:rPr>
        <w:t>e</w:t>
      </w:r>
      <w:r>
        <w:rPr>
          <w:color w:val="0462C1"/>
          <w:spacing w:val="-12"/>
          <w:sz w:val="24"/>
          <w:u w:val="single" w:color="0462C1"/>
        </w:rPr>
        <w:t> </w:t>
      </w:r>
      <w:r>
        <w:rPr>
          <w:color w:val="0462C1"/>
          <w:sz w:val="24"/>
          <w:u w:val="single" w:color="0462C1"/>
        </w:rPr>
        <w:t>Multas</w:t>
      </w:r>
      <w:r>
        <w:rPr>
          <w:color w:val="0462C1"/>
          <w:spacing w:val="-14"/>
          <w:sz w:val="24"/>
          <w:u w:val="single" w:color="0462C1"/>
        </w:rPr>
        <w:t> </w:t>
      </w:r>
      <w:r>
        <w:rPr>
          <w:color w:val="0462C1"/>
          <w:sz w:val="24"/>
          <w:u w:val="single" w:color="0462C1"/>
        </w:rPr>
        <w:t>do</w:t>
      </w:r>
      <w:r>
        <w:rPr>
          <w:color w:val="0462C1"/>
          <w:spacing w:val="-14"/>
          <w:sz w:val="24"/>
          <w:u w:val="single" w:color="0462C1"/>
        </w:rPr>
        <w:t> </w:t>
      </w:r>
      <w:r>
        <w:rPr>
          <w:color w:val="0462C1"/>
          <w:sz w:val="24"/>
          <w:u w:val="single" w:color="0462C1"/>
        </w:rPr>
        <w:t>CAU</w:t>
      </w:r>
      <w:r>
        <w:rPr>
          <w:color w:val="0462C1"/>
          <w:spacing w:val="-11"/>
          <w:sz w:val="24"/>
          <w:u w:val="single" w:color="0462C1"/>
        </w:rPr>
        <w:t> </w:t>
      </w:r>
      <w:r>
        <w:rPr>
          <w:color w:val="0462C1"/>
          <w:sz w:val="24"/>
          <w:u w:val="single" w:color="0462C1"/>
        </w:rPr>
        <w:t>–</w:t>
      </w:r>
      <w:r>
        <w:rPr>
          <w:color w:val="0462C1"/>
          <w:spacing w:val="-13"/>
          <w:sz w:val="24"/>
          <w:u w:val="single" w:color="0462C1"/>
        </w:rPr>
        <w:t> </w:t>
      </w:r>
      <w:r>
        <w:rPr>
          <w:color w:val="0462C1"/>
          <w:sz w:val="24"/>
          <w:u w:val="single" w:color="0462C1"/>
        </w:rPr>
        <w:t>Exercício</w:t>
      </w:r>
      <w:r>
        <w:rPr>
          <w:color w:val="0462C1"/>
          <w:spacing w:val="-12"/>
          <w:sz w:val="24"/>
          <w:u w:val="single" w:color="0462C1"/>
        </w:rPr>
        <w:t> </w:t>
      </w:r>
      <w:r>
        <w:rPr>
          <w:color w:val="0462C1"/>
          <w:sz w:val="24"/>
          <w:u w:val="single" w:color="0462C1"/>
        </w:rPr>
        <w:t>2021;</w:t>
      </w:r>
    </w:p>
    <w:sectPr>
      <w:pgSz w:w="11910" w:h="16840"/>
      <w:pgMar w:header="590" w:footer="538" w:top="1640" w:bottom="720" w:left="102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7.699997pt;margin-top:797.320007pt;width:431.25pt;height:5.05pt;mso-position-horizontal-relative:page;mso-position-vertical-relative:page;z-index:-19864064" coordorigin="1954,15946" coordsize="8625,101">
          <v:shape style="position:absolute;left:1961;top:15953;width:8610;height:86" coordorigin="1961,15954" coordsize="8610,86" path="m6266,15954l1961,15997,6266,16040,10571,15997,6266,15954xe" filled="true" fillcolor="#bebebe" stroked="false">
            <v:path arrowok="t"/>
            <v:fill type="solid"/>
          </v:shape>
          <v:shape style="position:absolute;left:1961;top:15953;width:8610;height:86" coordorigin="1961,15954" coordsize="8610,86" path="m1961,15997l6266,15954,10571,15997,6266,16040,1961,15997xe" filled="false" stroked="true" strokeweight=".75pt" strokecolor="#bebebe">
            <v:path arrowok="t"/>
            <v:stroke dashstyle="solid"/>
          </v:shape>
          <w10:wrap type="none"/>
        </v:group>
      </w:pict>
    </w:r>
    <w:r>
      <w:rPr/>
      <w:pict>
        <v:shapetype id="_x0000_t202" o:spt="202" coordsize="21600,21600" path="m,l,21600r21600,l21600,xe">
          <v:stroke joinstyle="miter"/>
          <v:path gradientshapeok="t" o:connecttype="rect"/>
        </v:shapetype>
        <v:shape style="position:absolute;margin-left:295.630005pt;margin-top:804.919983pt;width:33.550pt;height:13.05pt;mso-position-horizontal-relative:page;mso-position-vertical-relative:page;z-index:-19863552"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10</w:t>
                </w:r>
                <w:r>
                  <w:rPr/>
                  <w:fldChar w:fldCharType="end"/>
                </w:r>
                <w:r>
                  <w:rPr>
                    <w:sz w:val="22"/>
                  </w:rPr>
                  <w:t>/92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46144"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45632"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54</w:t>
                </w:r>
                <w:r>
                  <w:rPr/>
                  <w:fldChar w:fldCharType="end"/>
                </w:r>
                <w:r>
                  <w:rPr>
                    <w:sz w:val="22"/>
                  </w:rPr>
                  <w:t>/92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44096"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43584"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55</w:t>
                </w:r>
                <w:r>
                  <w:rPr/>
                  <w:fldChar w:fldCharType="end"/>
                </w:r>
                <w:r>
                  <w:rPr>
                    <w:sz w:val="22"/>
                  </w:rPr>
                  <w:t>/92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42048"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41536"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56</w:t>
                </w:r>
                <w:r>
                  <w:rPr/>
                  <w:fldChar w:fldCharType="end"/>
                </w:r>
                <w:r>
                  <w:rPr>
                    <w:sz w:val="22"/>
                  </w:rPr>
                  <w:t>/92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30005pt;margin-top:808.639954pt;width:28.55pt;height:13.05pt;mso-position-horizontal-relative:page;mso-position-vertical-relative:page;z-index:-19841024" type="#_x0000_t202" filled="false" stroked="false">
          <v:textbox inset="0,0,0,0">
            <w:txbxContent>
              <w:p>
                <w:pPr>
                  <w:spacing w:line="245" w:lineRule="exact" w:before="0"/>
                  <w:ind w:left="20" w:right="0" w:firstLine="0"/>
                  <w:jc w:val="left"/>
                  <w:rPr>
                    <w:sz w:val="22"/>
                  </w:rPr>
                </w:pPr>
                <w:r>
                  <w:rPr>
                    <w:sz w:val="22"/>
                  </w:rPr>
                  <w:t>57/92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39488"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38976"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58</w:t>
                </w:r>
                <w:r>
                  <w:rPr/>
                  <w:fldChar w:fldCharType="end"/>
                </w:r>
                <w:r>
                  <w:rPr>
                    <w:sz w:val="22"/>
                  </w:rPr>
                  <w:t>/92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37440"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36928"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60</w:t>
                </w:r>
                <w:r>
                  <w:rPr/>
                  <w:fldChar w:fldCharType="end"/>
                </w:r>
                <w:r>
                  <w:rPr>
                    <w:sz w:val="22"/>
                  </w:rPr>
                  <w:t>/92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30005pt;margin-top:808.639954pt;width:28.55pt;height:13.05pt;mso-position-horizontal-relative:page;mso-position-vertical-relative:page;z-index:-19836416" type="#_x0000_t202" filled="false" stroked="false">
          <v:textbox inset="0,0,0,0">
            <w:txbxContent>
              <w:p>
                <w:pPr>
                  <w:spacing w:line="245" w:lineRule="exact" w:before="0"/>
                  <w:ind w:left="20" w:right="0" w:firstLine="0"/>
                  <w:jc w:val="left"/>
                  <w:rPr>
                    <w:sz w:val="22"/>
                  </w:rPr>
                </w:pPr>
                <w:r>
                  <w:rPr>
                    <w:sz w:val="22"/>
                  </w:rPr>
                  <w:t>68/92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549988pt;margin-top:562.039978pt;width:28.55pt;height:13.05pt;mso-position-horizontal-relative:page;mso-position-vertical-relative:page;z-index:-19835904" type="#_x0000_t202" filled="false" stroked="false">
          <v:textbox inset="0,0,0,0">
            <w:txbxContent>
              <w:p>
                <w:pPr>
                  <w:spacing w:line="245" w:lineRule="exact" w:before="0"/>
                  <w:ind w:left="20" w:right="0" w:firstLine="0"/>
                  <w:jc w:val="left"/>
                  <w:rPr>
                    <w:sz w:val="22"/>
                  </w:rPr>
                </w:pPr>
                <w:r>
                  <w:rPr>
                    <w:sz w:val="22"/>
                  </w:rPr>
                  <w:t>69/92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30005pt;margin-top:808.639954pt;width:28.55pt;height:13.05pt;mso-position-horizontal-relative:page;mso-position-vertical-relative:page;z-index:-19835392" type="#_x0000_t202" filled="false" stroked="false">
          <v:textbox inset="0,0,0,0">
            <w:txbxContent>
              <w:p>
                <w:pPr>
                  <w:spacing w:line="245" w:lineRule="exact" w:before="0"/>
                  <w:ind w:left="20" w:right="0" w:firstLine="0"/>
                  <w:jc w:val="left"/>
                  <w:rPr>
                    <w:sz w:val="22"/>
                  </w:rPr>
                </w:pPr>
                <w:r>
                  <w:rPr>
                    <w:sz w:val="22"/>
                  </w:rPr>
                  <w:t>70/92</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549988pt;margin-top:562.039978pt;width:28.55pt;height:13.05pt;mso-position-horizontal-relative:page;mso-position-vertical-relative:page;z-index:-19834880" type="#_x0000_t202" filled="false" stroked="false">
          <v:textbox inset="0,0,0,0">
            <w:txbxContent>
              <w:p>
                <w:pPr>
                  <w:spacing w:line="245" w:lineRule="exact" w:before="0"/>
                  <w:ind w:left="20" w:right="0" w:firstLine="0"/>
                  <w:jc w:val="left"/>
                  <w:rPr>
                    <w:sz w:val="22"/>
                  </w:rPr>
                </w:pPr>
                <w:r>
                  <w:rPr>
                    <w:sz w:val="22"/>
                  </w:rPr>
                  <w:t>71/92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62528"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62016"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44</w:t>
                </w:r>
                <w:r>
                  <w:rPr/>
                  <w:fldChar w:fldCharType="end"/>
                </w:r>
                <w:r>
                  <w:rPr>
                    <w:sz w:val="22"/>
                  </w:rPr>
                  <w:t>/92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30005pt;margin-top:808.639954pt;width:28.55pt;height:13.05pt;mso-position-horizontal-relative:page;mso-position-vertical-relative:page;z-index:-19834368" type="#_x0000_t202" filled="false" stroked="false">
          <v:textbox inset="0,0,0,0">
            <w:txbxContent>
              <w:p>
                <w:pPr>
                  <w:spacing w:line="245" w:lineRule="exact" w:before="0"/>
                  <w:ind w:left="20" w:right="0" w:firstLine="0"/>
                  <w:jc w:val="left"/>
                  <w:rPr>
                    <w:sz w:val="22"/>
                  </w:rPr>
                </w:pPr>
                <w:r>
                  <w:rPr>
                    <w:sz w:val="22"/>
                  </w:rPr>
                  <w:t>72/92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9.630005pt;margin-top:562.039978pt;width:28.55pt;height:13.05pt;mso-position-horizontal-relative:page;mso-position-vertical-relative:page;z-index:-19833856" type="#_x0000_t202" filled="false" stroked="false">
          <v:textbox inset="0,0,0,0">
            <w:txbxContent>
              <w:p>
                <w:pPr>
                  <w:spacing w:line="245" w:lineRule="exact" w:before="0"/>
                  <w:ind w:left="20" w:right="0" w:firstLine="0"/>
                  <w:jc w:val="left"/>
                  <w:rPr>
                    <w:sz w:val="22"/>
                  </w:rPr>
                </w:pPr>
                <w:r>
                  <w:rPr>
                    <w:sz w:val="22"/>
                  </w:rPr>
                  <w:t>73/92</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630005pt;margin-top:808.639954pt;width:28.55pt;height:13.05pt;mso-position-horizontal-relative:page;mso-position-vertical-relative:page;z-index:-19833344" type="#_x0000_t202" filled="false" stroked="false">
          <v:textbox inset="0,0,0,0">
            <w:txbxContent>
              <w:p>
                <w:pPr>
                  <w:spacing w:line="245" w:lineRule="exact" w:before="0"/>
                  <w:ind w:left="20" w:right="0" w:firstLine="0"/>
                  <w:jc w:val="left"/>
                  <w:rPr>
                    <w:sz w:val="22"/>
                  </w:rPr>
                </w:pPr>
                <w:r>
                  <w:rPr>
                    <w:sz w:val="22"/>
                  </w:rPr>
                  <w:t>74/92</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1001pt;margin-top:562.039978pt;width:28.55pt;height:13.05pt;mso-position-horizontal-relative:page;mso-position-vertical-relative:page;z-index:-19832832" type="#_x0000_t202" filled="false" stroked="false">
          <v:textbox inset="0,0,0,0">
            <w:txbxContent>
              <w:p>
                <w:pPr>
                  <w:spacing w:line="245" w:lineRule="exact" w:before="0"/>
                  <w:ind w:left="20" w:right="0" w:firstLine="0"/>
                  <w:jc w:val="left"/>
                  <w:rPr>
                    <w:sz w:val="22"/>
                  </w:rPr>
                </w:pPr>
                <w:r>
                  <w:rPr>
                    <w:sz w:val="22"/>
                  </w:rPr>
                  <w:t>75/92</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525002pt;margin-top:801.019958pt;width:431.25pt;height:5.05pt;mso-position-horizontal-relative:page;mso-position-vertical-relative:page;z-index:-19831808" coordorigin="1671,16020" coordsize="8625,101">
          <v:shape style="position:absolute;left:1678;top:16027;width:8610;height:86" coordorigin="1678,16028" coordsize="8610,86" path="m5983,16028l1678,16071,5983,16114,10288,16071,5983,16028xe" filled="true" fillcolor="#bebebe" stroked="false">
            <v:path arrowok="t"/>
            <v:fill type="solid"/>
          </v:shape>
          <v:shape style="position:absolute;left:1678;top:16027;width:8610;height:86" coordorigin="1678,16028" coordsize="8610,86" path="m1678,16071l5983,16028,10288,16071,5983,16114,1678,16071xe" filled="false" stroked="true" strokeweight=".75pt" strokecolor="#bebebe">
            <v:path arrowok="t"/>
            <v:stroke dashstyle="solid"/>
          </v:shape>
          <w10:wrap type="none"/>
        </v:group>
      </w:pict>
    </w:r>
    <w:r>
      <w:rPr/>
      <w:pict>
        <v:shape style="position:absolute;margin-left:281.350006pt;margin-top:808.639954pt;width:33.550pt;height:13.05pt;mso-position-horizontal-relative:page;mso-position-vertical-relative:page;z-index:-19831296"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76</w:t>
                </w:r>
                <w:r>
                  <w:rPr/>
                  <w:fldChar w:fldCharType="end"/>
                </w:r>
                <w:r>
                  <w:rPr>
                    <w:sz w:val="22"/>
                  </w:rPr>
                  <w:t>/92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60480"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59968"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47</w:t>
                </w:r>
                <w:r>
                  <w:rPr/>
                  <w:fldChar w:fldCharType="end"/>
                </w:r>
                <w:r>
                  <w:rPr>
                    <w:sz w:val="22"/>
                  </w:rPr>
                  <w:t>/92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58432"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57920"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48</w:t>
                </w:r>
                <w:r>
                  <w:rPr/>
                  <w:fldChar w:fldCharType="end"/>
                </w:r>
                <w:r>
                  <w:rPr>
                    <w:sz w:val="22"/>
                  </w:rPr>
                  <w:t>/92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56384"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55872"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49</w:t>
                </w:r>
                <w:r>
                  <w:rPr/>
                  <w:fldChar w:fldCharType="end"/>
                </w:r>
                <w:r>
                  <w:rPr>
                    <w:sz w:val="22"/>
                  </w:rPr>
                  <w:t>/92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54336"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53824"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50</w:t>
                </w:r>
                <w:r>
                  <w:rPr/>
                  <w:fldChar w:fldCharType="end"/>
                </w:r>
                <w:r>
                  <w:rPr>
                    <w:sz w:val="22"/>
                  </w:rPr>
                  <w:t>/92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52288"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51776"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51</w:t>
                </w:r>
                <w:r>
                  <w:rPr/>
                  <w:fldChar w:fldCharType="end"/>
                </w:r>
                <w:r>
                  <w:rPr>
                    <w:sz w:val="22"/>
                  </w:rPr>
                  <w:t>/92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50240"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49728"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52</w:t>
                </w:r>
                <w:r>
                  <w:rPr/>
                  <w:fldChar w:fldCharType="end"/>
                </w:r>
                <w:r>
                  <w:rPr>
                    <w:sz w:val="22"/>
                  </w:rPr>
                  <w:t>/92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92.645004pt;margin-top:554.419006pt;width:431.25pt;height:5.05pt;mso-position-horizontal-relative:page;mso-position-vertical-relative:page;z-index:-19848192" coordorigin="3853,11088" coordsize="8625,101">
          <v:shape style="position:absolute;left:3860;top:11095;width:8610;height:86" coordorigin="3860,11096" coordsize="8610,86" path="m8165,11096l3860,11139,8165,11182,12470,11139,8165,11096xe" filled="true" fillcolor="#bebebe" stroked="false">
            <v:path arrowok="t"/>
            <v:fill type="solid"/>
          </v:shape>
          <v:shape style="position:absolute;left:3860;top:11095;width:8610;height:86" coordorigin="3860,11096" coordsize="8610,86" path="m3860,11139l8165,11096,12470,11139,8165,11182,3860,11139xe" filled="false" stroked="true" strokeweight=".75pt" strokecolor="#bebebe">
            <v:path arrowok="t"/>
            <v:stroke dashstyle="solid"/>
          </v:shape>
          <w10:wrap type="none"/>
        </v:group>
      </w:pict>
    </w:r>
    <w:r>
      <w:rPr/>
      <w:pict>
        <v:shape style="position:absolute;margin-left:390.549988pt;margin-top:562.039978pt;width:33.550pt;height:13.05pt;mso-position-horizontal-relative:page;mso-position-vertical-relative:page;z-index:-19847680" type="#_x0000_t202" filled="false" stroked="false">
          <v:textbox inset="0,0,0,0">
            <w:txbxContent>
              <w:p>
                <w:pPr>
                  <w:spacing w:line="245" w:lineRule="exact" w:before="0"/>
                  <w:ind w:left="60" w:right="0" w:firstLine="0"/>
                  <w:jc w:val="left"/>
                  <w:rPr>
                    <w:sz w:val="22"/>
                  </w:rPr>
                </w:pPr>
                <w:r>
                  <w:rPr/>
                  <w:fldChar w:fldCharType="begin"/>
                </w:r>
                <w:r>
                  <w:rPr>
                    <w:sz w:val="22"/>
                  </w:rPr>
                  <w:instrText> PAGE </w:instrText>
                </w:r>
                <w:r>
                  <w:rPr/>
                  <w:fldChar w:fldCharType="separate"/>
                </w:r>
                <w:r>
                  <w:rPr/>
                  <w:t>53</w:t>
                </w:r>
                <w:r>
                  <w:rPr/>
                  <w:fldChar w:fldCharType="end"/>
                </w:r>
                <w:r>
                  <w:rPr>
                    <w:sz w:val="22"/>
                  </w:rPr>
                  <w:t>/92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51904">
          <wp:simplePos x="0" y="0"/>
          <wp:positionH relativeFrom="page">
            <wp:posOffset>0</wp:posOffset>
          </wp:positionH>
          <wp:positionV relativeFrom="page">
            <wp:posOffset>374395</wp:posOffset>
          </wp:positionV>
          <wp:extent cx="7558403" cy="561593"/>
          <wp:effectExtent l="0" t="0" r="0" b="0"/>
          <wp:wrapNone/>
          <wp:docPr id="3" name="image1.jpeg"/>
          <wp:cNvGraphicFramePr>
            <a:graphicFrameLocks noChangeAspect="1"/>
          </wp:cNvGraphicFramePr>
          <a:graphic>
            <a:graphicData uri="http://schemas.openxmlformats.org/drawingml/2006/picture">
              <pic:pic>
                <pic:nvPicPr>
                  <pic:cNvPr id="4" name="image1.jpeg"/>
                  <pic:cNvPicPr/>
                </pic:nvPicPr>
                <pic:blipFill>
                  <a:blip r:embed="rId1" cstate="print"/>
                  <a:stretch>
                    <a:fillRect/>
                  </a:stretch>
                </pic:blipFill>
                <pic:spPr>
                  <a:xfrm>
                    <a:off x="0" y="0"/>
                    <a:ext cx="7558403" cy="561593"/>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69312">
          <wp:simplePos x="0" y="0"/>
          <wp:positionH relativeFrom="page">
            <wp:posOffset>0</wp:posOffset>
          </wp:positionH>
          <wp:positionV relativeFrom="page">
            <wp:posOffset>374396</wp:posOffset>
          </wp:positionV>
          <wp:extent cx="7198359" cy="561594"/>
          <wp:effectExtent l="0" t="0" r="0" b="0"/>
          <wp:wrapNone/>
          <wp:docPr id="47" name="image16.jpeg"/>
          <wp:cNvGraphicFramePr>
            <a:graphicFrameLocks noChangeAspect="1"/>
          </wp:cNvGraphicFramePr>
          <a:graphic>
            <a:graphicData uri="http://schemas.openxmlformats.org/drawingml/2006/picture">
              <pic:pic>
                <pic:nvPicPr>
                  <pic:cNvPr id="48"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8.9pt;height:13.05pt;mso-position-horizontal-relative:page;mso-position-vertical-relative:page;z-index:-19846656"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I.j – Indicadores Institucionais e de Resultado – CAU UF</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71360">
          <wp:simplePos x="0" y="0"/>
          <wp:positionH relativeFrom="page">
            <wp:posOffset>0</wp:posOffset>
          </wp:positionH>
          <wp:positionV relativeFrom="page">
            <wp:posOffset>374396</wp:posOffset>
          </wp:positionV>
          <wp:extent cx="7198359" cy="561594"/>
          <wp:effectExtent l="0" t="0" r="0" b="0"/>
          <wp:wrapNone/>
          <wp:docPr id="49" name="image16.jpeg"/>
          <wp:cNvGraphicFramePr>
            <a:graphicFrameLocks noChangeAspect="1"/>
          </wp:cNvGraphicFramePr>
          <a:graphic>
            <a:graphicData uri="http://schemas.openxmlformats.org/drawingml/2006/picture">
              <pic:pic>
                <pic:nvPicPr>
                  <pic:cNvPr id="50"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1.3pt;height:13.05pt;mso-position-horizontal-relative:page;mso-position-vertical-relative:page;z-index:-19844608"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I.k – Indicadores Institucionais e de Resultado – CAU UF</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73408">
          <wp:simplePos x="0" y="0"/>
          <wp:positionH relativeFrom="page">
            <wp:posOffset>0</wp:posOffset>
          </wp:positionH>
          <wp:positionV relativeFrom="page">
            <wp:posOffset>374396</wp:posOffset>
          </wp:positionV>
          <wp:extent cx="7198359" cy="561594"/>
          <wp:effectExtent l="0" t="0" r="0" b="0"/>
          <wp:wrapNone/>
          <wp:docPr id="51" name="image16.jpeg"/>
          <wp:cNvGraphicFramePr>
            <a:graphicFrameLocks noChangeAspect="1"/>
          </wp:cNvGraphicFramePr>
          <a:graphic>
            <a:graphicData uri="http://schemas.openxmlformats.org/drawingml/2006/picture">
              <pic:pic>
                <pic:nvPicPr>
                  <pic:cNvPr id="52"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8.8pt;height:13.05pt;mso-position-horizontal-relative:page;mso-position-vertical-relative:page;z-index:-19842560"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I.l – Indicadores Institucionais e de Resultado – CAU UF</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75968">
          <wp:simplePos x="0" y="0"/>
          <wp:positionH relativeFrom="page">
            <wp:posOffset>0</wp:posOffset>
          </wp:positionH>
          <wp:positionV relativeFrom="page">
            <wp:posOffset>374396</wp:posOffset>
          </wp:positionV>
          <wp:extent cx="7198359" cy="561594"/>
          <wp:effectExtent l="0" t="0" r="0" b="0"/>
          <wp:wrapNone/>
          <wp:docPr id="55" name="image16.jpeg"/>
          <wp:cNvGraphicFramePr>
            <a:graphicFrameLocks noChangeAspect="1"/>
          </wp:cNvGraphicFramePr>
          <a:graphic>
            <a:graphicData uri="http://schemas.openxmlformats.org/drawingml/2006/picture">
              <pic:pic>
                <pic:nvPicPr>
                  <pic:cNvPr id="56"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8.52pt;margin-top:86.26001pt;width:277.55pt;height:13.05pt;mso-position-horizontal-relative:page;mso-position-vertical-relative:page;z-index:-19840000"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II – Indicadores Institucionais e de Resultado – CAU/BR</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78016">
          <wp:simplePos x="0" y="0"/>
          <wp:positionH relativeFrom="page">
            <wp:posOffset>0</wp:posOffset>
          </wp:positionH>
          <wp:positionV relativeFrom="page">
            <wp:posOffset>374396</wp:posOffset>
          </wp:positionV>
          <wp:extent cx="7198359" cy="561594"/>
          <wp:effectExtent l="0" t="0" r="0" b="0"/>
          <wp:wrapNone/>
          <wp:docPr id="57" name="image16.jpeg"/>
          <wp:cNvGraphicFramePr>
            <a:graphicFrameLocks noChangeAspect="1"/>
          </wp:cNvGraphicFramePr>
          <a:graphic>
            <a:graphicData uri="http://schemas.openxmlformats.org/drawingml/2006/picture">
              <pic:pic>
                <pic:nvPicPr>
                  <pic:cNvPr id="58"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4.9pt;height:13.05pt;mso-position-horizontal-relative:page;mso-position-vertical-relative:page;z-index:-19837952" type="#_x0000_t202" filled="false" stroked="false">
          <v:textbox inset="0,0,0,0">
            <w:txbxContent>
              <w:p>
                <w:pPr>
                  <w:spacing w:line="245" w:lineRule="exact" w:before="0"/>
                  <w:ind w:left="20" w:right="0" w:firstLine="0"/>
                  <w:jc w:val="left"/>
                  <w:rPr>
                    <w:rFonts w:ascii="Calibri Light" w:hAnsi="Calibri Light"/>
                    <w:b w:val="0"/>
                    <w:sz w:val="22"/>
                  </w:rPr>
                </w:pPr>
                <w:r>
                  <w:rPr>
                    <w:b/>
                    <w:sz w:val="22"/>
                  </w:rPr>
                  <w:t>ANEXO II – </w:t>
                </w:r>
                <w:r>
                  <w:rPr>
                    <w:rFonts w:ascii="Calibri Light" w:hAnsi="Calibri Light"/>
                    <w:b w:val="0"/>
                    <w:sz w:val="22"/>
                  </w:rPr>
                  <w:t>Indicadores Institucionais e de Resultado- CAU/BR</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53440">
          <wp:simplePos x="0" y="0"/>
          <wp:positionH relativeFrom="page">
            <wp:posOffset>0</wp:posOffset>
          </wp:positionH>
          <wp:positionV relativeFrom="page">
            <wp:posOffset>374396</wp:posOffset>
          </wp:positionV>
          <wp:extent cx="7198359" cy="561594"/>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1" cstate="print"/>
                  <a:stretch>
                    <a:fillRect/>
                  </a:stretch>
                </pic:blipFill>
                <pic:spPr>
                  <a:xfrm>
                    <a:off x="0" y="0"/>
                    <a:ext cx="7198359" cy="561594"/>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84160">
          <wp:simplePos x="0" y="0"/>
          <wp:positionH relativeFrom="page">
            <wp:posOffset>0</wp:posOffset>
          </wp:positionH>
          <wp:positionV relativeFrom="page">
            <wp:posOffset>374395</wp:posOffset>
          </wp:positionV>
          <wp:extent cx="7198359" cy="561593"/>
          <wp:effectExtent l="0" t="0" r="0" b="0"/>
          <wp:wrapNone/>
          <wp:docPr id="83" name="image16.jpeg"/>
          <wp:cNvGraphicFramePr>
            <a:graphicFrameLocks noChangeAspect="1"/>
          </wp:cNvGraphicFramePr>
          <a:graphic>
            <a:graphicData uri="http://schemas.openxmlformats.org/drawingml/2006/picture">
              <pic:pic>
                <pic:nvPicPr>
                  <pic:cNvPr id="84" name="image16.jpeg"/>
                  <pic:cNvPicPr/>
                </pic:nvPicPr>
                <pic:blipFill>
                  <a:blip r:embed="rId1" cstate="print"/>
                  <a:stretch>
                    <a:fillRect/>
                  </a:stretch>
                </pic:blipFill>
                <pic:spPr>
                  <a:xfrm>
                    <a:off x="0" y="0"/>
                    <a:ext cx="7198359" cy="56159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54976">
          <wp:simplePos x="0" y="0"/>
          <wp:positionH relativeFrom="page">
            <wp:posOffset>0</wp:posOffset>
          </wp:positionH>
          <wp:positionV relativeFrom="page">
            <wp:posOffset>374396</wp:posOffset>
          </wp:positionV>
          <wp:extent cx="7198359" cy="561594"/>
          <wp:effectExtent l="0" t="0" r="0" b="0"/>
          <wp:wrapNone/>
          <wp:docPr id="33" name="image16.jpeg"/>
          <wp:cNvGraphicFramePr>
            <a:graphicFrameLocks noChangeAspect="1"/>
          </wp:cNvGraphicFramePr>
          <a:graphic>
            <a:graphicData uri="http://schemas.openxmlformats.org/drawingml/2006/picture">
              <pic:pic>
                <pic:nvPicPr>
                  <pic:cNvPr id="34"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1.2pt;height:13.05pt;mso-position-horizontal-relative:page;mso-position-vertical-relative:page;z-index:-19860992"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I.c – Indicadores Institucionais e de Resultado – CAU UF</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57024">
          <wp:simplePos x="0" y="0"/>
          <wp:positionH relativeFrom="page">
            <wp:posOffset>0</wp:posOffset>
          </wp:positionH>
          <wp:positionV relativeFrom="page">
            <wp:posOffset>374396</wp:posOffset>
          </wp:positionV>
          <wp:extent cx="7198359" cy="561594"/>
          <wp:effectExtent l="0" t="0" r="0" b="0"/>
          <wp:wrapNone/>
          <wp:docPr id="35" name="image16.jpeg"/>
          <wp:cNvGraphicFramePr>
            <a:graphicFrameLocks noChangeAspect="1"/>
          </wp:cNvGraphicFramePr>
          <a:graphic>
            <a:graphicData uri="http://schemas.openxmlformats.org/drawingml/2006/picture">
              <pic:pic>
                <pic:nvPicPr>
                  <pic:cNvPr id="36"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2.150pt;height:13.05pt;mso-position-horizontal-relative:page;mso-position-vertical-relative:page;z-index:-19858944"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I.d – Indicadores Institucionais e de Resultado – CAU UF</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59072">
          <wp:simplePos x="0" y="0"/>
          <wp:positionH relativeFrom="page">
            <wp:posOffset>0</wp:posOffset>
          </wp:positionH>
          <wp:positionV relativeFrom="page">
            <wp:posOffset>374396</wp:posOffset>
          </wp:positionV>
          <wp:extent cx="7198359" cy="561594"/>
          <wp:effectExtent l="0" t="0" r="0" b="0"/>
          <wp:wrapNone/>
          <wp:docPr id="37" name="image16.jpeg"/>
          <wp:cNvGraphicFramePr>
            <a:graphicFrameLocks noChangeAspect="1"/>
          </wp:cNvGraphicFramePr>
          <a:graphic>
            <a:graphicData uri="http://schemas.openxmlformats.org/drawingml/2006/picture">
              <pic:pic>
                <pic:nvPicPr>
                  <pic:cNvPr id="38"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1.9pt;height:13.05pt;mso-position-horizontal-relative:page;mso-position-vertical-relative:page;z-index:-19856896"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I.e – Indicadores Institucionais e de Resultado – CAU UF</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61120">
          <wp:simplePos x="0" y="0"/>
          <wp:positionH relativeFrom="page">
            <wp:posOffset>0</wp:posOffset>
          </wp:positionH>
          <wp:positionV relativeFrom="page">
            <wp:posOffset>374396</wp:posOffset>
          </wp:positionV>
          <wp:extent cx="7198359" cy="561594"/>
          <wp:effectExtent l="0" t="0" r="0" b="0"/>
          <wp:wrapNone/>
          <wp:docPr id="39" name="image16.jpeg"/>
          <wp:cNvGraphicFramePr>
            <a:graphicFrameLocks noChangeAspect="1"/>
          </wp:cNvGraphicFramePr>
          <a:graphic>
            <a:graphicData uri="http://schemas.openxmlformats.org/drawingml/2006/picture">
              <pic:pic>
                <pic:nvPicPr>
                  <pic:cNvPr id="40"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9.75pt;height:13.05pt;mso-position-horizontal-relative:page;mso-position-vertical-relative:page;z-index:-19854848"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I.f – Indicadores Institucionais e de Resultado – CAU UF</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63168">
          <wp:simplePos x="0" y="0"/>
          <wp:positionH relativeFrom="page">
            <wp:posOffset>0</wp:posOffset>
          </wp:positionH>
          <wp:positionV relativeFrom="page">
            <wp:posOffset>374396</wp:posOffset>
          </wp:positionV>
          <wp:extent cx="7198359" cy="561594"/>
          <wp:effectExtent l="0" t="0" r="0" b="0"/>
          <wp:wrapNone/>
          <wp:docPr id="41" name="image16.jpeg"/>
          <wp:cNvGraphicFramePr>
            <a:graphicFrameLocks noChangeAspect="1"/>
          </wp:cNvGraphicFramePr>
          <a:graphic>
            <a:graphicData uri="http://schemas.openxmlformats.org/drawingml/2006/picture">
              <pic:pic>
                <pic:nvPicPr>
                  <pic:cNvPr id="42"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1.7pt;height:13.05pt;mso-position-horizontal-relative:page;mso-position-vertical-relative:page;z-index:-19852800"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I.g – Indicadores Institucionais e de Resultado – CAU UF</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65216">
          <wp:simplePos x="0" y="0"/>
          <wp:positionH relativeFrom="page">
            <wp:posOffset>0</wp:posOffset>
          </wp:positionH>
          <wp:positionV relativeFrom="page">
            <wp:posOffset>374396</wp:posOffset>
          </wp:positionV>
          <wp:extent cx="7198359" cy="561594"/>
          <wp:effectExtent l="0" t="0" r="0" b="0"/>
          <wp:wrapNone/>
          <wp:docPr id="43" name="image16.jpeg"/>
          <wp:cNvGraphicFramePr>
            <a:graphicFrameLocks noChangeAspect="1"/>
          </wp:cNvGraphicFramePr>
          <a:graphic>
            <a:graphicData uri="http://schemas.openxmlformats.org/drawingml/2006/picture">
              <pic:pic>
                <pic:nvPicPr>
                  <pic:cNvPr id="44"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82.150pt;height:13.05pt;mso-position-horizontal-relative:page;mso-position-vertical-relative:page;z-index:-19850752"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I.h – Indicadores Institucionais e de Resultado – CAU UF</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467264">
          <wp:simplePos x="0" y="0"/>
          <wp:positionH relativeFrom="page">
            <wp:posOffset>0</wp:posOffset>
          </wp:positionH>
          <wp:positionV relativeFrom="page">
            <wp:posOffset>374396</wp:posOffset>
          </wp:positionV>
          <wp:extent cx="7198359" cy="561594"/>
          <wp:effectExtent l="0" t="0" r="0" b="0"/>
          <wp:wrapNone/>
          <wp:docPr id="45" name="image16.jpeg"/>
          <wp:cNvGraphicFramePr>
            <a:graphicFrameLocks noChangeAspect="1"/>
          </wp:cNvGraphicFramePr>
          <a:graphic>
            <a:graphicData uri="http://schemas.openxmlformats.org/drawingml/2006/picture">
              <pic:pic>
                <pic:nvPicPr>
                  <pic:cNvPr id="46" name="image16.jpeg"/>
                  <pic:cNvPicPr/>
                </pic:nvPicPr>
                <pic:blipFill>
                  <a:blip r:embed="rId1" cstate="print"/>
                  <a:stretch>
                    <a:fillRect/>
                  </a:stretch>
                </pic:blipFill>
                <pic:spPr>
                  <a:xfrm>
                    <a:off x="0" y="0"/>
                    <a:ext cx="7198359" cy="561594"/>
                  </a:xfrm>
                  <a:prstGeom prst="rect">
                    <a:avLst/>
                  </a:prstGeom>
                </pic:spPr>
              </pic:pic>
            </a:graphicData>
          </a:graphic>
        </wp:anchor>
      </w:drawing>
    </w:r>
    <w:r>
      <w:rPr/>
      <w:pict>
        <v:shape style="position:absolute;margin-left:27.32pt;margin-top:86.26001pt;width:278.8pt;height:13.05pt;mso-position-horizontal-relative:page;mso-position-vertical-relative:page;z-index:-19848704" type="#_x0000_t202" filled="false" stroked="false">
          <v:textbox inset="0,0,0,0">
            <w:txbxContent>
              <w:p>
                <w:pPr>
                  <w:spacing w:line="245" w:lineRule="exact" w:before="0"/>
                  <w:ind w:left="20" w:right="0" w:firstLine="0"/>
                  <w:jc w:val="left"/>
                  <w:rPr>
                    <w:rFonts w:ascii="Calibri Light" w:hAnsi="Calibri Light"/>
                    <w:b w:val="0"/>
                    <w:sz w:val="22"/>
                  </w:rPr>
                </w:pPr>
                <w:r>
                  <w:rPr>
                    <w:rFonts w:ascii="Calibri Light" w:hAnsi="Calibri Light"/>
                    <w:b w:val="0"/>
                    <w:sz w:val="22"/>
                  </w:rPr>
                  <w:t>ANEXO I.i – Indicadores Institucionais e de Resultado – CAU UF</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679" w:hanging="360"/>
      </w:pPr>
      <w:rPr>
        <w:rFonts w:hint="default"/>
        <w:w w:val="100"/>
        <w:lang w:val="pt-br" w:eastAsia="en-US" w:bidi="ar-SA"/>
      </w:rPr>
    </w:lvl>
    <w:lvl w:ilvl="1">
      <w:start w:val="0"/>
      <w:numFmt w:val="bullet"/>
      <w:lvlText w:val="•"/>
      <w:lvlJc w:val="left"/>
      <w:pPr>
        <w:ind w:left="860" w:hanging="360"/>
      </w:pPr>
      <w:rPr>
        <w:rFonts w:hint="default"/>
        <w:lang w:val="pt-br" w:eastAsia="en-US" w:bidi="ar-SA"/>
      </w:rPr>
    </w:lvl>
    <w:lvl w:ilvl="2">
      <w:start w:val="0"/>
      <w:numFmt w:val="bullet"/>
      <w:lvlText w:val="•"/>
      <w:lvlJc w:val="left"/>
      <w:pPr>
        <w:ind w:left="1867" w:hanging="360"/>
      </w:pPr>
      <w:rPr>
        <w:rFonts w:hint="default"/>
        <w:lang w:val="pt-br" w:eastAsia="en-US" w:bidi="ar-SA"/>
      </w:rPr>
    </w:lvl>
    <w:lvl w:ilvl="3">
      <w:start w:val="0"/>
      <w:numFmt w:val="bullet"/>
      <w:lvlText w:val="•"/>
      <w:lvlJc w:val="left"/>
      <w:pPr>
        <w:ind w:left="2874" w:hanging="360"/>
      </w:pPr>
      <w:rPr>
        <w:rFonts w:hint="default"/>
        <w:lang w:val="pt-br" w:eastAsia="en-US" w:bidi="ar-SA"/>
      </w:rPr>
    </w:lvl>
    <w:lvl w:ilvl="4">
      <w:start w:val="0"/>
      <w:numFmt w:val="bullet"/>
      <w:lvlText w:val="•"/>
      <w:lvlJc w:val="left"/>
      <w:pPr>
        <w:ind w:left="3882" w:hanging="360"/>
      </w:pPr>
      <w:rPr>
        <w:rFonts w:hint="default"/>
        <w:lang w:val="pt-br" w:eastAsia="en-US" w:bidi="ar-SA"/>
      </w:rPr>
    </w:lvl>
    <w:lvl w:ilvl="5">
      <w:start w:val="0"/>
      <w:numFmt w:val="bullet"/>
      <w:lvlText w:val="•"/>
      <w:lvlJc w:val="left"/>
      <w:pPr>
        <w:ind w:left="4889" w:hanging="360"/>
      </w:pPr>
      <w:rPr>
        <w:rFonts w:hint="default"/>
        <w:lang w:val="pt-br" w:eastAsia="en-US" w:bidi="ar-SA"/>
      </w:rPr>
    </w:lvl>
    <w:lvl w:ilvl="6">
      <w:start w:val="0"/>
      <w:numFmt w:val="bullet"/>
      <w:lvlText w:val="•"/>
      <w:lvlJc w:val="left"/>
      <w:pPr>
        <w:ind w:left="5896" w:hanging="360"/>
      </w:pPr>
      <w:rPr>
        <w:rFonts w:hint="default"/>
        <w:lang w:val="pt-br" w:eastAsia="en-US" w:bidi="ar-SA"/>
      </w:rPr>
    </w:lvl>
    <w:lvl w:ilvl="7">
      <w:start w:val="0"/>
      <w:numFmt w:val="bullet"/>
      <w:lvlText w:val="•"/>
      <w:lvlJc w:val="left"/>
      <w:pPr>
        <w:ind w:left="6904" w:hanging="360"/>
      </w:pPr>
      <w:rPr>
        <w:rFonts w:hint="default"/>
        <w:lang w:val="pt-br" w:eastAsia="en-US" w:bidi="ar-SA"/>
      </w:rPr>
    </w:lvl>
    <w:lvl w:ilvl="8">
      <w:start w:val="0"/>
      <w:numFmt w:val="bullet"/>
      <w:lvlText w:val="•"/>
      <w:lvlJc w:val="left"/>
      <w:pPr>
        <w:ind w:left="7911" w:hanging="360"/>
      </w:pPr>
      <w:rPr>
        <w:rFonts w:hint="default"/>
        <w:lang w:val="pt-br" w:eastAsia="en-US" w:bidi="ar-SA"/>
      </w:rPr>
    </w:lvl>
  </w:abstractNum>
  <w:abstractNum w:abstractNumId="29">
    <w:multiLevelType w:val="hybridMultilevel"/>
    <w:lvl w:ilvl="0">
      <w:start w:val="1"/>
      <w:numFmt w:val="lowerLetter"/>
      <w:lvlText w:val="%1)"/>
      <w:lvlJc w:val="left"/>
      <w:pPr>
        <w:ind w:left="1956" w:hanging="284"/>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2756" w:hanging="284"/>
      </w:pPr>
      <w:rPr>
        <w:rFonts w:hint="default"/>
        <w:lang w:val="pt-br" w:eastAsia="en-US" w:bidi="ar-SA"/>
      </w:rPr>
    </w:lvl>
    <w:lvl w:ilvl="2">
      <w:start w:val="0"/>
      <w:numFmt w:val="bullet"/>
      <w:lvlText w:val="•"/>
      <w:lvlJc w:val="left"/>
      <w:pPr>
        <w:ind w:left="3553" w:hanging="284"/>
      </w:pPr>
      <w:rPr>
        <w:rFonts w:hint="default"/>
        <w:lang w:val="pt-br" w:eastAsia="en-US" w:bidi="ar-SA"/>
      </w:rPr>
    </w:lvl>
    <w:lvl w:ilvl="3">
      <w:start w:val="0"/>
      <w:numFmt w:val="bullet"/>
      <w:lvlText w:val="•"/>
      <w:lvlJc w:val="left"/>
      <w:pPr>
        <w:ind w:left="4349" w:hanging="284"/>
      </w:pPr>
      <w:rPr>
        <w:rFonts w:hint="default"/>
        <w:lang w:val="pt-br" w:eastAsia="en-US" w:bidi="ar-SA"/>
      </w:rPr>
    </w:lvl>
    <w:lvl w:ilvl="4">
      <w:start w:val="0"/>
      <w:numFmt w:val="bullet"/>
      <w:lvlText w:val="•"/>
      <w:lvlJc w:val="left"/>
      <w:pPr>
        <w:ind w:left="5146" w:hanging="284"/>
      </w:pPr>
      <w:rPr>
        <w:rFonts w:hint="default"/>
        <w:lang w:val="pt-br" w:eastAsia="en-US" w:bidi="ar-SA"/>
      </w:rPr>
    </w:lvl>
    <w:lvl w:ilvl="5">
      <w:start w:val="0"/>
      <w:numFmt w:val="bullet"/>
      <w:lvlText w:val="•"/>
      <w:lvlJc w:val="left"/>
      <w:pPr>
        <w:ind w:left="5943" w:hanging="284"/>
      </w:pPr>
      <w:rPr>
        <w:rFonts w:hint="default"/>
        <w:lang w:val="pt-br" w:eastAsia="en-US" w:bidi="ar-SA"/>
      </w:rPr>
    </w:lvl>
    <w:lvl w:ilvl="6">
      <w:start w:val="0"/>
      <w:numFmt w:val="bullet"/>
      <w:lvlText w:val="•"/>
      <w:lvlJc w:val="left"/>
      <w:pPr>
        <w:ind w:left="6739" w:hanging="284"/>
      </w:pPr>
      <w:rPr>
        <w:rFonts w:hint="default"/>
        <w:lang w:val="pt-br" w:eastAsia="en-US" w:bidi="ar-SA"/>
      </w:rPr>
    </w:lvl>
    <w:lvl w:ilvl="7">
      <w:start w:val="0"/>
      <w:numFmt w:val="bullet"/>
      <w:lvlText w:val="•"/>
      <w:lvlJc w:val="left"/>
      <w:pPr>
        <w:ind w:left="7536" w:hanging="284"/>
      </w:pPr>
      <w:rPr>
        <w:rFonts w:hint="default"/>
        <w:lang w:val="pt-br" w:eastAsia="en-US" w:bidi="ar-SA"/>
      </w:rPr>
    </w:lvl>
    <w:lvl w:ilvl="8">
      <w:start w:val="0"/>
      <w:numFmt w:val="bullet"/>
      <w:lvlText w:val="•"/>
      <w:lvlJc w:val="left"/>
      <w:pPr>
        <w:ind w:left="8333" w:hanging="284"/>
      </w:pPr>
      <w:rPr>
        <w:rFonts w:hint="default"/>
        <w:lang w:val="pt-br" w:eastAsia="en-US" w:bidi="ar-SA"/>
      </w:rPr>
    </w:lvl>
  </w:abstractNum>
  <w:abstractNum w:abstractNumId="28">
    <w:multiLevelType w:val="hybridMultilevel"/>
    <w:lvl w:ilvl="0">
      <w:start w:val="1"/>
      <w:numFmt w:val="lowerLetter"/>
      <w:lvlText w:val="%1)"/>
      <w:lvlJc w:val="left"/>
      <w:pPr>
        <w:ind w:left="1956" w:hanging="284"/>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2756" w:hanging="284"/>
      </w:pPr>
      <w:rPr>
        <w:rFonts w:hint="default"/>
        <w:lang w:val="pt-br" w:eastAsia="en-US" w:bidi="ar-SA"/>
      </w:rPr>
    </w:lvl>
    <w:lvl w:ilvl="2">
      <w:start w:val="0"/>
      <w:numFmt w:val="bullet"/>
      <w:lvlText w:val="•"/>
      <w:lvlJc w:val="left"/>
      <w:pPr>
        <w:ind w:left="3553" w:hanging="284"/>
      </w:pPr>
      <w:rPr>
        <w:rFonts w:hint="default"/>
        <w:lang w:val="pt-br" w:eastAsia="en-US" w:bidi="ar-SA"/>
      </w:rPr>
    </w:lvl>
    <w:lvl w:ilvl="3">
      <w:start w:val="0"/>
      <w:numFmt w:val="bullet"/>
      <w:lvlText w:val="•"/>
      <w:lvlJc w:val="left"/>
      <w:pPr>
        <w:ind w:left="4349" w:hanging="284"/>
      </w:pPr>
      <w:rPr>
        <w:rFonts w:hint="default"/>
        <w:lang w:val="pt-br" w:eastAsia="en-US" w:bidi="ar-SA"/>
      </w:rPr>
    </w:lvl>
    <w:lvl w:ilvl="4">
      <w:start w:val="0"/>
      <w:numFmt w:val="bullet"/>
      <w:lvlText w:val="•"/>
      <w:lvlJc w:val="left"/>
      <w:pPr>
        <w:ind w:left="5146" w:hanging="284"/>
      </w:pPr>
      <w:rPr>
        <w:rFonts w:hint="default"/>
        <w:lang w:val="pt-br" w:eastAsia="en-US" w:bidi="ar-SA"/>
      </w:rPr>
    </w:lvl>
    <w:lvl w:ilvl="5">
      <w:start w:val="0"/>
      <w:numFmt w:val="bullet"/>
      <w:lvlText w:val="•"/>
      <w:lvlJc w:val="left"/>
      <w:pPr>
        <w:ind w:left="5943" w:hanging="284"/>
      </w:pPr>
      <w:rPr>
        <w:rFonts w:hint="default"/>
        <w:lang w:val="pt-br" w:eastAsia="en-US" w:bidi="ar-SA"/>
      </w:rPr>
    </w:lvl>
    <w:lvl w:ilvl="6">
      <w:start w:val="0"/>
      <w:numFmt w:val="bullet"/>
      <w:lvlText w:val="•"/>
      <w:lvlJc w:val="left"/>
      <w:pPr>
        <w:ind w:left="6739" w:hanging="284"/>
      </w:pPr>
      <w:rPr>
        <w:rFonts w:hint="default"/>
        <w:lang w:val="pt-br" w:eastAsia="en-US" w:bidi="ar-SA"/>
      </w:rPr>
    </w:lvl>
    <w:lvl w:ilvl="7">
      <w:start w:val="0"/>
      <w:numFmt w:val="bullet"/>
      <w:lvlText w:val="•"/>
      <w:lvlJc w:val="left"/>
      <w:pPr>
        <w:ind w:left="7536" w:hanging="284"/>
      </w:pPr>
      <w:rPr>
        <w:rFonts w:hint="default"/>
        <w:lang w:val="pt-br" w:eastAsia="en-US" w:bidi="ar-SA"/>
      </w:rPr>
    </w:lvl>
    <w:lvl w:ilvl="8">
      <w:start w:val="0"/>
      <w:numFmt w:val="bullet"/>
      <w:lvlText w:val="•"/>
      <w:lvlJc w:val="left"/>
      <w:pPr>
        <w:ind w:left="8333" w:hanging="284"/>
      </w:pPr>
      <w:rPr>
        <w:rFonts w:hint="default"/>
        <w:lang w:val="pt-br" w:eastAsia="en-US" w:bidi="ar-SA"/>
      </w:rPr>
    </w:lvl>
  </w:abstractNum>
  <w:abstractNum w:abstractNumId="27">
    <w:multiLevelType w:val="hybridMultilevel"/>
    <w:lvl w:ilvl="0">
      <w:start w:val="1"/>
      <w:numFmt w:val="lowerLetter"/>
      <w:lvlText w:val="%1)"/>
      <w:lvlJc w:val="left"/>
      <w:pPr>
        <w:ind w:left="1956" w:hanging="284"/>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2756" w:hanging="284"/>
      </w:pPr>
      <w:rPr>
        <w:rFonts w:hint="default"/>
        <w:lang w:val="pt-br" w:eastAsia="en-US" w:bidi="ar-SA"/>
      </w:rPr>
    </w:lvl>
    <w:lvl w:ilvl="2">
      <w:start w:val="0"/>
      <w:numFmt w:val="bullet"/>
      <w:lvlText w:val="•"/>
      <w:lvlJc w:val="left"/>
      <w:pPr>
        <w:ind w:left="3553" w:hanging="284"/>
      </w:pPr>
      <w:rPr>
        <w:rFonts w:hint="default"/>
        <w:lang w:val="pt-br" w:eastAsia="en-US" w:bidi="ar-SA"/>
      </w:rPr>
    </w:lvl>
    <w:lvl w:ilvl="3">
      <w:start w:val="0"/>
      <w:numFmt w:val="bullet"/>
      <w:lvlText w:val="•"/>
      <w:lvlJc w:val="left"/>
      <w:pPr>
        <w:ind w:left="4349" w:hanging="284"/>
      </w:pPr>
      <w:rPr>
        <w:rFonts w:hint="default"/>
        <w:lang w:val="pt-br" w:eastAsia="en-US" w:bidi="ar-SA"/>
      </w:rPr>
    </w:lvl>
    <w:lvl w:ilvl="4">
      <w:start w:val="0"/>
      <w:numFmt w:val="bullet"/>
      <w:lvlText w:val="•"/>
      <w:lvlJc w:val="left"/>
      <w:pPr>
        <w:ind w:left="5146" w:hanging="284"/>
      </w:pPr>
      <w:rPr>
        <w:rFonts w:hint="default"/>
        <w:lang w:val="pt-br" w:eastAsia="en-US" w:bidi="ar-SA"/>
      </w:rPr>
    </w:lvl>
    <w:lvl w:ilvl="5">
      <w:start w:val="0"/>
      <w:numFmt w:val="bullet"/>
      <w:lvlText w:val="•"/>
      <w:lvlJc w:val="left"/>
      <w:pPr>
        <w:ind w:left="5943" w:hanging="284"/>
      </w:pPr>
      <w:rPr>
        <w:rFonts w:hint="default"/>
        <w:lang w:val="pt-br" w:eastAsia="en-US" w:bidi="ar-SA"/>
      </w:rPr>
    </w:lvl>
    <w:lvl w:ilvl="6">
      <w:start w:val="0"/>
      <w:numFmt w:val="bullet"/>
      <w:lvlText w:val="•"/>
      <w:lvlJc w:val="left"/>
      <w:pPr>
        <w:ind w:left="6739" w:hanging="284"/>
      </w:pPr>
      <w:rPr>
        <w:rFonts w:hint="default"/>
        <w:lang w:val="pt-br" w:eastAsia="en-US" w:bidi="ar-SA"/>
      </w:rPr>
    </w:lvl>
    <w:lvl w:ilvl="7">
      <w:start w:val="0"/>
      <w:numFmt w:val="bullet"/>
      <w:lvlText w:val="•"/>
      <w:lvlJc w:val="left"/>
      <w:pPr>
        <w:ind w:left="7536" w:hanging="284"/>
      </w:pPr>
      <w:rPr>
        <w:rFonts w:hint="default"/>
        <w:lang w:val="pt-br" w:eastAsia="en-US" w:bidi="ar-SA"/>
      </w:rPr>
    </w:lvl>
    <w:lvl w:ilvl="8">
      <w:start w:val="0"/>
      <w:numFmt w:val="bullet"/>
      <w:lvlText w:val="•"/>
      <w:lvlJc w:val="left"/>
      <w:pPr>
        <w:ind w:left="8333" w:hanging="284"/>
      </w:pPr>
      <w:rPr>
        <w:rFonts w:hint="default"/>
        <w:lang w:val="pt-br" w:eastAsia="en-US" w:bidi="ar-SA"/>
      </w:rPr>
    </w:lvl>
  </w:abstractNum>
  <w:abstractNum w:abstractNumId="26">
    <w:multiLevelType w:val="hybridMultilevel"/>
    <w:lvl w:ilvl="0">
      <w:start w:val="0"/>
      <w:numFmt w:val="bullet"/>
      <w:lvlText w:val=""/>
      <w:lvlJc w:val="left"/>
      <w:pPr>
        <w:ind w:left="1325" w:hanging="360"/>
      </w:pPr>
      <w:rPr>
        <w:rFonts w:hint="default" w:ascii="Symbol" w:hAnsi="Symbol" w:eastAsia="Symbol" w:cs="Symbol"/>
        <w:w w:val="100"/>
        <w:sz w:val="24"/>
        <w:szCs w:val="24"/>
        <w:lang w:val="pt-br" w:eastAsia="en-US" w:bidi="ar-SA"/>
      </w:rPr>
    </w:lvl>
    <w:lvl w:ilvl="1">
      <w:start w:val="0"/>
      <w:numFmt w:val="bullet"/>
      <w:lvlText w:val="•"/>
      <w:lvlJc w:val="left"/>
      <w:pPr>
        <w:ind w:left="2180" w:hanging="360"/>
      </w:pPr>
      <w:rPr>
        <w:rFonts w:hint="default"/>
        <w:lang w:val="pt-br" w:eastAsia="en-US" w:bidi="ar-SA"/>
      </w:rPr>
    </w:lvl>
    <w:lvl w:ilvl="2">
      <w:start w:val="0"/>
      <w:numFmt w:val="bullet"/>
      <w:lvlText w:val="•"/>
      <w:lvlJc w:val="left"/>
      <w:pPr>
        <w:ind w:left="3041" w:hanging="360"/>
      </w:pPr>
      <w:rPr>
        <w:rFonts w:hint="default"/>
        <w:lang w:val="pt-br" w:eastAsia="en-US" w:bidi="ar-SA"/>
      </w:rPr>
    </w:lvl>
    <w:lvl w:ilvl="3">
      <w:start w:val="0"/>
      <w:numFmt w:val="bullet"/>
      <w:lvlText w:val="•"/>
      <w:lvlJc w:val="left"/>
      <w:pPr>
        <w:ind w:left="3901" w:hanging="360"/>
      </w:pPr>
      <w:rPr>
        <w:rFonts w:hint="default"/>
        <w:lang w:val="pt-br" w:eastAsia="en-US" w:bidi="ar-SA"/>
      </w:rPr>
    </w:lvl>
    <w:lvl w:ilvl="4">
      <w:start w:val="0"/>
      <w:numFmt w:val="bullet"/>
      <w:lvlText w:val="•"/>
      <w:lvlJc w:val="left"/>
      <w:pPr>
        <w:ind w:left="4762" w:hanging="360"/>
      </w:pPr>
      <w:rPr>
        <w:rFonts w:hint="default"/>
        <w:lang w:val="pt-br" w:eastAsia="en-US" w:bidi="ar-SA"/>
      </w:rPr>
    </w:lvl>
    <w:lvl w:ilvl="5">
      <w:start w:val="0"/>
      <w:numFmt w:val="bullet"/>
      <w:lvlText w:val="•"/>
      <w:lvlJc w:val="left"/>
      <w:pPr>
        <w:ind w:left="5623" w:hanging="360"/>
      </w:pPr>
      <w:rPr>
        <w:rFonts w:hint="default"/>
        <w:lang w:val="pt-br" w:eastAsia="en-US" w:bidi="ar-SA"/>
      </w:rPr>
    </w:lvl>
    <w:lvl w:ilvl="6">
      <w:start w:val="0"/>
      <w:numFmt w:val="bullet"/>
      <w:lvlText w:val="•"/>
      <w:lvlJc w:val="left"/>
      <w:pPr>
        <w:ind w:left="6483" w:hanging="360"/>
      </w:pPr>
      <w:rPr>
        <w:rFonts w:hint="default"/>
        <w:lang w:val="pt-br" w:eastAsia="en-US" w:bidi="ar-SA"/>
      </w:rPr>
    </w:lvl>
    <w:lvl w:ilvl="7">
      <w:start w:val="0"/>
      <w:numFmt w:val="bullet"/>
      <w:lvlText w:val="•"/>
      <w:lvlJc w:val="left"/>
      <w:pPr>
        <w:ind w:left="7344" w:hanging="360"/>
      </w:pPr>
      <w:rPr>
        <w:rFonts w:hint="default"/>
        <w:lang w:val="pt-br" w:eastAsia="en-US" w:bidi="ar-SA"/>
      </w:rPr>
    </w:lvl>
    <w:lvl w:ilvl="8">
      <w:start w:val="0"/>
      <w:numFmt w:val="bullet"/>
      <w:lvlText w:val="•"/>
      <w:lvlJc w:val="left"/>
      <w:pPr>
        <w:ind w:left="8205" w:hanging="360"/>
      </w:pPr>
      <w:rPr>
        <w:rFonts w:hint="default"/>
        <w:lang w:val="pt-br" w:eastAsia="en-US" w:bidi="ar-SA"/>
      </w:rPr>
    </w:lvl>
  </w:abstractNum>
  <w:abstractNum w:abstractNumId="25">
    <w:multiLevelType w:val="hybridMultilevel"/>
    <w:lvl w:ilvl="0">
      <w:start w:val="1"/>
      <w:numFmt w:val="lowerLetter"/>
      <w:lvlText w:val="%1)"/>
      <w:lvlJc w:val="left"/>
      <w:pPr>
        <w:ind w:left="1956" w:hanging="284"/>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2756" w:hanging="284"/>
      </w:pPr>
      <w:rPr>
        <w:rFonts w:hint="default"/>
        <w:lang w:val="pt-br" w:eastAsia="en-US" w:bidi="ar-SA"/>
      </w:rPr>
    </w:lvl>
    <w:lvl w:ilvl="2">
      <w:start w:val="0"/>
      <w:numFmt w:val="bullet"/>
      <w:lvlText w:val="•"/>
      <w:lvlJc w:val="left"/>
      <w:pPr>
        <w:ind w:left="3553" w:hanging="284"/>
      </w:pPr>
      <w:rPr>
        <w:rFonts w:hint="default"/>
        <w:lang w:val="pt-br" w:eastAsia="en-US" w:bidi="ar-SA"/>
      </w:rPr>
    </w:lvl>
    <w:lvl w:ilvl="3">
      <w:start w:val="0"/>
      <w:numFmt w:val="bullet"/>
      <w:lvlText w:val="•"/>
      <w:lvlJc w:val="left"/>
      <w:pPr>
        <w:ind w:left="4349" w:hanging="284"/>
      </w:pPr>
      <w:rPr>
        <w:rFonts w:hint="default"/>
        <w:lang w:val="pt-br" w:eastAsia="en-US" w:bidi="ar-SA"/>
      </w:rPr>
    </w:lvl>
    <w:lvl w:ilvl="4">
      <w:start w:val="0"/>
      <w:numFmt w:val="bullet"/>
      <w:lvlText w:val="•"/>
      <w:lvlJc w:val="left"/>
      <w:pPr>
        <w:ind w:left="5146" w:hanging="284"/>
      </w:pPr>
      <w:rPr>
        <w:rFonts w:hint="default"/>
        <w:lang w:val="pt-br" w:eastAsia="en-US" w:bidi="ar-SA"/>
      </w:rPr>
    </w:lvl>
    <w:lvl w:ilvl="5">
      <w:start w:val="0"/>
      <w:numFmt w:val="bullet"/>
      <w:lvlText w:val="•"/>
      <w:lvlJc w:val="left"/>
      <w:pPr>
        <w:ind w:left="5943" w:hanging="284"/>
      </w:pPr>
      <w:rPr>
        <w:rFonts w:hint="default"/>
        <w:lang w:val="pt-br" w:eastAsia="en-US" w:bidi="ar-SA"/>
      </w:rPr>
    </w:lvl>
    <w:lvl w:ilvl="6">
      <w:start w:val="0"/>
      <w:numFmt w:val="bullet"/>
      <w:lvlText w:val="•"/>
      <w:lvlJc w:val="left"/>
      <w:pPr>
        <w:ind w:left="6739" w:hanging="284"/>
      </w:pPr>
      <w:rPr>
        <w:rFonts w:hint="default"/>
        <w:lang w:val="pt-br" w:eastAsia="en-US" w:bidi="ar-SA"/>
      </w:rPr>
    </w:lvl>
    <w:lvl w:ilvl="7">
      <w:start w:val="0"/>
      <w:numFmt w:val="bullet"/>
      <w:lvlText w:val="•"/>
      <w:lvlJc w:val="left"/>
      <w:pPr>
        <w:ind w:left="7536" w:hanging="284"/>
      </w:pPr>
      <w:rPr>
        <w:rFonts w:hint="default"/>
        <w:lang w:val="pt-br" w:eastAsia="en-US" w:bidi="ar-SA"/>
      </w:rPr>
    </w:lvl>
    <w:lvl w:ilvl="8">
      <w:start w:val="0"/>
      <w:numFmt w:val="bullet"/>
      <w:lvlText w:val="•"/>
      <w:lvlJc w:val="left"/>
      <w:pPr>
        <w:ind w:left="8333" w:hanging="284"/>
      </w:pPr>
      <w:rPr>
        <w:rFonts w:hint="default"/>
        <w:lang w:val="pt-br" w:eastAsia="en-US" w:bidi="ar-SA"/>
      </w:rPr>
    </w:lvl>
  </w:abstractNum>
  <w:abstractNum w:abstractNumId="24">
    <w:multiLevelType w:val="hybridMultilevel"/>
    <w:lvl w:ilvl="0">
      <w:start w:val="1"/>
      <w:numFmt w:val="lowerLetter"/>
      <w:lvlText w:val="%1)"/>
      <w:lvlJc w:val="left"/>
      <w:pPr>
        <w:ind w:left="113" w:hanging="260"/>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1100" w:hanging="260"/>
      </w:pPr>
      <w:rPr>
        <w:rFonts w:hint="default"/>
        <w:lang w:val="pt-br" w:eastAsia="en-US" w:bidi="ar-SA"/>
      </w:rPr>
    </w:lvl>
    <w:lvl w:ilvl="2">
      <w:start w:val="0"/>
      <w:numFmt w:val="bullet"/>
      <w:lvlText w:val="•"/>
      <w:lvlJc w:val="left"/>
      <w:pPr>
        <w:ind w:left="2081" w:hanging="260"/>
      </w:pPr>
      <w:rPr>
        <w:rFonts w:hint="default"/>
        <w:lang w:val="pt-br" w:eastAsia="en-US" w:bidi="ar-SA"/>
      </w:rPr>
    </w:lvl>
    <w:lvl w:ilvl="3">
      <w:start w:val="0"/>
      <w:numFmt w:val="bullet"/>
      <w:lvlText w:val="•"/>
      <w:lvlJc w:val="left"/>
      <w:pPr>
        <w:ind w:left="3061" w:hanging="260"/>
      </w:pPr>
      <w:rPr>
        <w:rFonts w:hint="default"/>
        <w:lang w:val="pt-br" w:eastAsia="en-US" w:bidi="ar-SA"/>
      </w:rPr>
    </w:lvl>
    <w:lvl w:ilvl="4">
      <w:start w:val="0"/>
      <w:numFmt w:val="bullet"/>
      <w:lvlText w:val="•"/>
      <w:lvlJc w:val="left"/>
      <w:pPr>
        <w:ind w:left="4042" w:hanging="260"/>
      </w:pPr>
      <w:rPr>
        <w:rFonts w:hint="default"/>
        <w:lang w:val="pt-br" w:eastAsia="en-US" w:bidi="ar-SA"/>
      </w:rPr>
    </w:lvl>
    <w:lvl w:ilvl="5">
      <w:start w:val="0"/>
      <w:numFmt w:val="bullet"/>
      <w:lvlText w:val="•"/>
      <w:lvlJc w:val="left"/>
      <w:pPr>
        <w:ind w:left="5023" w:hanging="260"/>
      </w:pPr>
      <w:rPr>
        <w:rFonts w:hint="default"/>
        <w:lang w:val="pt-br" w:eastAsia="en-US" w:bidi="ar-SA"/>
      </w:rPr>
    </w:lvl>
    <w:lvl w:ilvl="6">
      <w:start w:val="0"/>
      <w:numFmt w:val="bullet"/>
      <w:lvlText w:val="•"/>
      <w:lvlJc w:val="left"/>
      <w:pPr>
        <w:ind w:left="6003" w:hanging="260"/>
      </w:pPr>
      <w:rPr>
        <w:rFonts w:hint="default"/>
        <w:lang w:val="pt-br" w:eastAsia="en-US" w:bidi="ar-SA"/>
      </w:rPr>
    </w:lvl>
    <w:lvl w:ilvl="7">
      <w:start w:val="0"/>
      <w:numFmt w:val="bullet"/>
      <w:lvlText w:val="•"/>
      <w:lvlJc w:val="left"/>
      <w:pPr>
        <w:ind w:left="6984" w:hanging="260"/>
      </w:pPr>
      <w:rPr>
        <w:rFonts w:hint="default"/>
        <w:lang w:val="pt-br" w:eastAsia="en-US" w:bidi="ar-SA"/>
      </w:rPr>
    </w:lvl>
    <w:lvl w:ilvl="8">
      <w:start w:val="0"/>
      <w:numFmt w:val="bullet"/>
      <w:lvlText w:val="•"/>
      <w:lvlJc w:val="left"/>
      <w:pPr>
        <w:ind w:left="7965" w:hanging="260"/>
      </w:pPr>
      <w:rPr>
        <w:rFonts w:hint="default"/>
        <w:lang w:val="pt-br" w:eastAsia="en-US" w:bidi="ar-SA"/>
      </w:rPr>
    </w:lvl>
  </w:abstractNum>
  <w:abstractNum w:abstractNumId="23">
    <w:multiLevelType w:val="hybridMultilevel"/>
    <w:lvl w:ilvl="0">
      <w:start w:val="4"/>
      <w:numFmt w:val="upperRoman"/>
      <w:lvlText w:val="%1."/>
      <w:lvlJc w:val="left"/>
      <w:pPr>
        <w:ind w:left="1291" w:hanging="326"/>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1685" w:hanging="360"/>
      </w:pPr>
      <w:rPr>
        <w:rFonts w:hint="default" w:ascii="Symbol" w:hAnsi="Symbol" w:eastAsia="Symbol" w:cs="Symbol"/>
        <w:w w:val="100"/>
        <w:sz w:val="24"/>
        <w:szCs w:val="24"/>
        <w:lang w:val="pt-br" w:eastAsia="en-US" w:bidi="ar-SA"/>
      </w:rPr>
    </w:lvl>
    <w:lvl w:ilvl="2">
      <w:start w:val="0"/>
      <w:numFmt w:val="bullet"/>
      <w:lvlText w:val="•"/>
      <w:lvlJc w:val="left"/>
      <w:pPr>
        <w:ind w:left="2596" w:hanging="360"/>
      </w:pPr>
      <w:rPr>
        <w:rFonts w:hint="default"/>
        <w:lang w:val="pt-br" w:eastAsia="en-US" w:bidi="ar-SA"/>
      </w:rPr>
    </w:lvl>
    <w:lvl w:ilvl="3">
      <w:start w:val="0"/>
      <w:numFmt w:val="bullet"/>
      <w:lvlText w:val="•"/>
      <w:lvlJc w:val="left"/>
      <w:pPr>
        <w:ind w:left="3512" w:hanging="360"/>
      </w:pPr>
      <w:rPr>
        <w:rFonts w:hint="default"/>
        <w:lang w:val="pt-br" w:eastAsia="en-US" w:bidi="ar-SA"/>
      </w:rPr>
    </w:lvl>
    <w:lvl w:ilvl="4">
      <w:start w:val="0"/>
      <w:numFmt w:val="bullet"/>
      <w:lvlText w:val="•"/>
      <w:lvlJc w:val="left"/>
      <w:pPr>
        <w:ind w:left="4428" w:hanging="360"/>
      </w:pPr>
      <w:rPr>
        <w:rFonts w:hint="default"/>
        <w:lang w:val="pt-br" w:eastAsia="en-US" w:bidi="ar-SA"/>
      </w:rPr>
    </w:lvl>
    <w:lvl w:ilvl="5">
      <w:start w:val="0"/>
      <w:numFmt w:val="bullet"/>
      <w:lvlText w:val="•"/>
      <w:lvlJc w:val="left"/>
      <w:pPr>
        <w:ind w:left="5345" w:hanging="360"/>
      </w:pPr>
      <w:rPr>
        <w:rFonts w:hint="default"/>
        <w:lang w:val="pt-br" w:eastAsia="en-US" w:bidi="ar-SA"/>
      </w:rPr>
    </w:lvl>
    <w:lvl w:ilvl="6">
      <w:start w:val="0"/>
      <w:numFmt w:val="bullet"/>
      <w:lvlText w:val="•"/>
      <w:lvlJc w:val="left"/>
      <w:pPr>
        <w:ind w:left="6261" w:hanging="360"/>
      </w:pPr>
      <w:rPr>
        <w:rFonts w:hint="default"/>
        <w:lang w:val="pt-br" w:eastAsia="en-US" w:bidi="ar-SA"/>
      </w:rPr>
    </w:lvl>
    <w:lvl w:ilvl="7">
      <w:start w:val="0"/>
      <w:numFmt w:val="bullet"/>
      <w:lvlText w:val="•"/>
      <w:lvlJc w:val="left"/>
      <w:pPr>
        <w:ind w:left="7177" w:hanging="360"/>
      </w:pPr>
      <w:rPr>
        <w:rFonts w:hint="default"/>
        <w:lang w:val="pt-br" w:eastAsia="en-US" w:bidi="ar-SA"/>
      </w:rPr>
    </w:lvl>
    <w:lvl w:ilvl="8">
      <w:start w:val="0"/>
      <w:numFmt w:val="bullet"/>
      <w:lvlText w:val="•"/>
      <w:lvlJc w:val="left"/>
      <w:pPr>
        <w:ind w:left="8093" w:hanging="360"/>
      </w:pPr>
      <w:rPr>
        <w:rFonts w:hint="default"/>
        <w:lang w:val="pt-br" w:eastAsia="en-US" w:bidi="ar-SA"/>
      </w:rPr>
    </w:lvl>
  </w:abstractNum>
  <w:abstractNum w:abstractNumId="22">
    <w:multiLevelType w:val="hybridMultilevel"/>
    <w:lvl w:ilvl="0">
      <w:start w:val="1"/>
      <w:numFmt w:val="upperRoman"/>
      <w:lvlText w:val="%1."/>
      <w:lvlJc w:val="left"/>
      <w:pPr>
        <w:ind w:left="113" w:hanging="211"/>
        <w:jc w:val="left"/>
      </w:pPr>
      <w:rPr>
        <w:rFonts w:hint="default" w:ascii="Calibri" w:hAnsi="Calibri" w:eastAsia="Calibri" w:cs="Calibri"/>
        <w:b/>
        <w:bCs/>
        <w:w w:val="100"/>
        <w:sz w:val="24"/>
        <w:szCs w:val="24"/>
        <w:lang w:val="pt-br" w:eastAsia="en-US" w:bidi="ar-SA"/>
      </w:rPr>
    </w:lvl>
    <w:lvl w:ilvl="1">
      <w:start w:val="0"/>
      <w:numFmt w:val="bullet"/>
      <w:lvlText w:val="•"/>
      <w:lvlJc w:val="left"/>
      <w:pPr>
        <w:ind w:left="1100" w:hanging="211"/>
      </w:pPr>
      <w:rPr>
        <w:rFonts w:hint="default"/>
        <w:lang w:val="pt-br" w:eastAsia="en-US" w:bidi="ar-SA"/>
      </w:rPr>
    </w:lvl>
    <w:lvl w:ilvl="2">
      <w:start w:val="0"/>
      <w:numFmt w:val="bullet"/>
      <w:lvlText w:val="•"/>
      <w:lvlJc w:val="left"/>
      <w:pPr>
        <w:ind w:left="2081" w:hanging="211"/>
      </w:pPr>
      <w:rPr>
        <w:rFonts w:hint="default"/>
        <w:lang w:val="pt-br" w:eastAsia="en-US" w:bidi="ar-SA"/>
      </w:rPr>
    </w:lvl>
    <w:lvl w:ilvl="3">
      <w:start w:val="0"/>
      <w:numFmt w:val="bullet"/>
      <w:lvlText w:val="•"/>
      <w:lvlJc w:val="left"/>
      <w:pPr>
        <w:ind w:left="3061" w:hanging="211"/>
      </w:pPr>
      <w:rPr>
        <w:rFonts w:hint="default"/>
        <w:lang w:val="pt-br" w:eastAsia="en-US" w:bidi="ar-SA"/>
      </w:rPr>
    </w:lvl>
    <w:lvl w:ilvl="4">
      <w:start w:val="0"/>
      <w:numFmt w:val="bullet"/>
      <w:lvlText w:val="•"/>
      <w:lvlJc w:val="left"/>
      <w:pPr>
        <w:ind w:left="4042" w:hanging="211"/>
      </w:pPr>
      <w:rPr>
        <w:rFonts w:hint="default"/>
        <w:lang w:val="pt-br" w:eastAsia="en-US" w:bidi="ar-SA"/>
      </w:rPr>
    </w:lvl>
    <w:lvl w:ilvl="5">
      <w:start w:val="0"/>
      <w:numFmt w:val="bullet"/>
      <w:lvlText w:val="•"/>
      <w:lvlJc w:val="left"/>
      <w:pPr>
        <w:ind w:left="5023" w:hanging="211"/>
      </w:pPr>
      <w:rPr>
        <w:rFonts w:hint="default"/>
        <w:lang w:val="pt-br" w:eastAsia="en-US" w:bidi="ar-SA"/>
      </w:rPr>
    </w:lvl>
    <w:lvl w:ilvl="6">
      <w:start w:val="0"/>
      <w:numFmt w:val="bullet"/>
      <w:lvlText w:val="•"/>
      <w:lvlJc w:val="left"/>
      <w:pPr>
        <w:ind w:left="6003" w:hanging="211"/>
      </w:pPr>
      <w:rPr>
        <w:rFonts w:hint="default"/>
        <w:lang w:val="pt-br" w:eastAsia="en-US" w:bidi="ar-SA"/>
      </w:rPr>
    </w:lvl>
    <w:lvl w:ilvl="7">
      <w:start w:val="0"/>
      <w:numFmt w:val="bullet"/>
      <w:lvlText w:val="•"/>
      <w:lvlJc w:val="left"/>
      <w:pPr>
        <w:ind w:left="6984" w:hanging="211"/>
      </w:pPr>
      <w:rPr>
        <w:rFonts w:hint="default"/>
        <w:lang w:val="pt-br" w:eastAsia="en-US" w:bidi="ar-SA"/>
      </w:rPr>
    </w:lvl>
    <w:lvl w:ilvl="8">
      <w:start w:val="0"/>
      <w:numFmt w:val="bullet"/>
      <w:lvlText w:val="•"/>
      <w:lvlJc w:val="left"/>
      <w:pPr>
        <w:ind w:left="7965" w:hanging="211"/>
      </w:pPr>
      <w:rPr>
        <w:rFonts w:hint="default"/>
        <w:lang w:val="pt-br" w:eastAsia="en-US" w:bidi="ar-SA"/>
      </w:rPr>
    </w:lvl>
  </w:abstractNum>
  <w:abstractNum w:abstractNumId="21">
    <w:multiLevelType w:val="hybridMultilevel"/>
    <w:lvl w:ilvl="0">
      <w:start w:val="0"/>
      <w:numFmt w:val="bullet"/>
      <w:lvlText w:val="•"/>
      <w:lvlJc w:val="left"/>
      <w:pPr>
        <w:ind w:left="113" w:hanging="567"/>
      </w:pPr>
      <w:rPr>
        <w:rFonts w:hint="default" w:ascii="Calibri" w:hAnsi="Calibri" w:eastAsia="Calibri" w:cs="Calibri"/>
        <w:w w:val="100"/>
        <w:sz w:val="24"/>
        <w:szCs w:val="24"/>
        <w:lang w:val="pt-br" w:eastAsia="en-US" w:bidi="ar-SA"/>
      </w:rPr>
    </w:lvl>
    <w:lvl w:ilvl="1">
      <w:start w:val="0"/>
      <w:numFmt w:val="bullet"/>
      <w:lvlText w:val=""/>
      <w:lvlJc w:val="left"/>
      <w:pPr>
        <w:ind w:left="1685" w:hanging="360"/>
      </w:pPr>
      <w:rPr>
        <w:rFonts w:hint="default" w:ascii="Symbol" w:hAnsi="Symbol" w:eastAsia="Symbol" w:cs="Symbol"/>
        <w:w w:val="100"/>
        <w:sz w:val="24"/>
        <w:szCs w:val="24"/>
        <w:lang w:val="pt-br" w:eastAsia="en-US" w:bidi="ar-SA"/>
      </w:rPr>
    </w:lvl>
    <w:lvl w:ilvl="2">
      <w:start w:val="0"/>
      <w:numFmt w:val="bullet"/>
      <w:lvlText w:val="•"/>
      <w:lvlJc w:val="left"/>
      <w:pPr>
        <w:ind w:left="2596" w:hanging="360"/>
      </w:pPr>
      <w:rPr>
        <w:rFonts w:hint="default"/>
        <w:lang w:val="pt-br" w:eastAsia="en-US" w:bidi="ar-SA"/>
      </w:rPr>
    </w:lvl>
    <w:lvl w:ilvl="3">
      <w:start w:val="0"/>
      <w:numFmt w:val="bullet"/>
      <w:lvlText w:val="•"/>
      <w:lvlJc w:val="left"/>
      <w:pPr>
        <w:ind w:left="3512" w:hanging="360"/>
      </w:pPr>
      <w:rPr>
        <w:rFonts w:hint="default"/>
        <w:lang w:val="pt-br" w:eastAsia="en-US" w:bidi="ar-SA"/>
      </w:rPr>
    </w:lvl>
    <w:lvl w:ilvl="4">
      <w:start w:val="0"/>
      <w:numFmt w:val="bullet"/>
      <w:lvlText w:val="•"/>
      <w:lvlJc w:val="left"/>
      <w:pPr>
        <w:ind w:left="4428" w:hanging="360"/>
      </w:pPr>
      <w:rPr>
        <w:rFonts w:hint="default"/>
        <w:lang w:val="pt-br" w:eastAsia="en-US" w:bidi="ar-SA"/>
      </w:rPr>
    </w:lvl>
    <w:lvl w:ilvl="5">
      <w:start w:val="0"/>
      <w:numFmt w:val="bullet"/>
      <w:lvlText w:val="•"/>
      <w:lvlJc w:val="left"/>
      <w:pPr>
        <w:ind w:left="5345" w:hanging="360"/>
      </w:pPr>
      <w:rPr>
        <w:rFonts w:hint="default"/>
        <w:lang w:val="pt-br" w:eastAsia="en-US" w:bidi="ar-SA"/>
      </w:rPr>
    </w:lvl>
    <w:lvl w:ilvl="6">
      <w:start w:val="0"/>
      <w:numFmt w:val="bullet"/>
      <w:lvlText w:val="•"/>
      <w:lvlJc w:val="left"/>
      <w:pPr>
        <w:ind w:left="6261" w:hanging="360"/>
      </w:pPr>
      <w:rPr>
        <w:rFonts w:hint="default"/>
        <w:lang w:val="pt-br" w:eastAsia="en-US" w:bidi="ar-SA"/>
      </w:rPr>
    </w:lvl>
    <w:lvl w:ilvl="7">
      <w:start w:val="0"/>
      <w:numFmt w:val="bullet"/>
      <w:lvlText w:val="•"/>
      <w:lvlJc w:val="left"/>
      <w:pPr>
        <w:ind w:left="7177" w:hanging="360"/>
      </w:pPr>
      <w:rPr>
        <w:rFonts w:hint="default"/>
        <w:lang w:val="pt-br" w:eastAsia="en-US" w:bidi="ar-SA"/>
      </w:rPr>
    </w:lvl>
    <w:lvl w:ilvl="8">
      <w:start w:val="0"/>
      <w:numFmt w:val="bullet"/>
      <w:lvlText w:val="•"/>
      <w:lvlJc w:val="left"/>
      <w:pPr>
        <w:ind w:left="8093" w:hanging="360"/>
      </w:pPr>
      <w:rPr>
        <w:rFonts w:hint="default"/>
        <w:lang w:val="pt-br" w:eastAsia="en-US" w:bidi="ar-SA"/>
      </w:rPr>
    </w:lvl>
  </w:abstractNum>
  <w:abstractNum w:abstractNumId="20">
    <w:multiLevelType w:val="hybridMultilevel"/>
    <w:lvl w:ilvl="0">
      <w:start w:val="1"/>
      <w:numFmt w:val="decimal"/>
      <w:lvlText w:val="%1."/>
      <w:lvlJc w:val="left"/>
      <w:pPr>
        <w:ind w:left="1531" w:hanging="567"/>
        <w:jc w:val="left"/>
      </w:pPr>
      <w:rPr>
        <w:rFonts w:hint="default" w:ascii="Calibri" w:hAnsi="Calibri" w:eastAsia="Calibri" w:cs="Calibri"/>
        <w:b/>
        <w:bCs/>
        <w:w w:val="100"/>
        <w:sz w:val="24"/>
        <w:szCs w:val="24"/>
        <w:lang w:val="pt-br" w:eastAsia="en-US" w:bidi="ar-SA"/>
      </w:rPr>
    </w:lvl>
    <w:lvl w:ilvl="1">
      <w:start w:val="1"/>
      <w:numFmt w:val="decimal"/>
      <w:lvlText w:val="%1.%2"/>
      <w:lvlJc w:val="left"/>
      <w:pPr>
        <w:ind w:left="113" w:hanging="567"/>
        <w:jc w:val="left"/>
      </w:pPr>
      <w:rPr>
        <w:rFonts w:hint="default" w:ascii="Calibri" w:hAnsi="Calibri" w:eastAsia="Calibri" w:cs="Calibri"/>
        <w:b/>
        <w:bCs/>
        <w:w w:val="100"/>
        <w:sz w:val="24"/>
        <w:szCs w:val="24"/>
        <w:lang w:val="pt-br" w:eastAsia="en-US" w:bidi="ar-SA"/>
      </w:rPr>
    </w:lvl>
    <w:lvl w:ilvl="2">
      <w:start w:val="1"/>
      <w:numFmt w:val="upperRoman"/>
      <w:lvlText w:val="%3."/>
      <w:lvlJc w:val="left"/>
      <w:pPr>
        <w:ind w:left="1685" w:hanging="483"/>
        <w:jc w:val="right"/>
      </w:pPr>
      <w:rPr>
        <w:rFonts w:hint="default" w:ascii="Calibri" w:hAnsi="Calibri" w:eastAsia="Calibri" w:cs="Calibri"/>
        <w:spacing w:val="-1"/>
        <w:w w:val="100"/>
        <w:sz w:val="24"/>
        <w:szCs w:val="24"/>
        <w:lang w:val="pt-br" w:eastAsia="en-US" w:bidi="ar-SA"/>
      </w:rPr>
    </w:lvl>
    <w:lvl w:ilvl="3">
      <w:start w:val="0"/>
      <w:numFmt w:val="bullet"/>
      <w:lvlText w:val="•"/>
      <w:lvlJc w:val="left"/>
      <w:pPr>
        <w:ind w:left="2710" w:hanging="483"/>
      </w:pPr>
      <w:rPr>
        <w:rFonts w:hint="default"/>
        <w:lang w:val="pt-br" w:eastAsia="en-US" w:bidi="ar-SA"/>
      </w:rPr>
    </w:lvl>
    <w:lvl w:ilvl="4">
      <w:start w:val="0"/>
      <w:numFmt w:val="bullet"/>
      <w:lvlText w:val="•"/>
      <w:lvlJc w:val="left"/>
      <w:pPr>
        <w:ind w:left="3741" w:hanging="483"/>
      </w:pPr>
      <w:rPr>
        <w:rFonts w:hint="default"/>
        <w:lang w:val="pt-br" w:eastAsia="en-US" w:bidi="ar-SA"/>
      </w:rPr>
    </w:lvl>
    <w:lvl w:ilvl="5">
      <w:start w:val="0"/>
      <w:numFmt w:val="bullet"/>
      <w:lvlText w:val="•"/>
      <w:lvlJc w:val="left"/>
      <w:pPr>
        <w:ind w:left="4772" w:hanging="483"/>
      </w:pPr>
      <w:rPr>
        <w:rFonts w:hint="default"/>
        <w:lang w:val="pt-br" w:eastAsia="en-US" w:bidi="ar-SA"/>
      </w:rPr>
    </w:lvl>
    <w:lvl w:ilvl="6">
      <w:start w:val="0"/>
      <w:numFmt w:val="bullet"/>
      <w:lvlText w:val="•"/>
      <w:lvlJc w:val="left"/>
      <w:pPr>
        <w:ind w:left="5803" w:hanging="483"/>
      </w:pPr>
      <w:rPr>
        <w:rFonts w:hint="default"/>
        <w:lang w:val="pt-br" w:eastAsia="en-US" w:bidi="ar-SA"/>
      </w:rPr>
    </w:lvl>
    <w:lvl w:ilvl="7">
      <w:start w:val="0"/>
      <w:numFmt w:val="bullet"/>
      <w:lvlText w:val="•"/>
      <w:lvlJc w:val="left"/>
      <w:pPr>
        <w:ind w:left="6834" w:hanging="483"/>
      </w:pPr>
      <w:rPr>
        <w:rFonts w:hint="default"/>
        <w:lang w:val="pt-br" w:eastAsia="en-US" w:bidi="ar-SA"/>
      </w:rPr>
    </w:lvl>
    <w:lvl w:ilvl="8">
      <w:start w:val="0"/>
      <w:numFmt w:val="bullet"/>
      <w:lvlText w:val="•"/>
      <w:lvlJc w:val="left"/>
      <w:pPr>
        <w:ind w:left="7864" w:hanging="483"/>
      </w:pPr>
      <w:rPr>
        <w:rFonts w:hint="default"/>
        <w:lang w:val="pt-br" w:eastAsia="en-US" w:bidi="ar-SA"/>
      </w:rPr>
    </w:lvl>
  </w:abstractNum>
  <w:abstractNum w:abstractNumId="19">
    <w:multiLevelType w:val="hybridMultilevel"/>
    <w:lvl w:ilvl="0">
      <w:start w:val="0"/>
      <w:numFmt w:val="bullet"/>
      <w:lvlText w:val=""/>
      <w:lvlJc w:val="left"/>
      <w:pPr>
        <w:ind w:left="1985" w:hanging="284"/>
      </w:pPr>
      <w:rPr>
        <w:rFonts w:hint="default" w:ascii="Symbol" w:hAnsi="Symbol" w:eastAsia="Symbol" w:cs="Symbol"/>
        <w:w w:val="100"/>
        <w:sz w:val="21"/>
        <w:szCs w:val="21"/>
        <w:lang w:val="pt-br" w:eastAsia="en-US" w:bidi="ar-SA"/>
      </w:rPr>
    </w:lvl>
    <w:lvl w:ilvl="1">
      <w:start w:val="0"/>
      <w:numFmt w:val="bullet"/>
      <w:lvlText w:val="•"/>
      <w:lvlJc w:val="left"/>
      <w:pPr>
        <w:ind w:left="2972" w:hanging="284"/>
      </w:pPr>
      <w:rPr>
        <w:rFonts w:hint="default"/>
        <w:lang w:val="pt-br" w:eastAsia="en-US" w:bidi="ar-SA"/>
      </w:rPr>
    </w:lvl>
    <w:lvl w:ilvl="2">
      <w:start w:val="0"/>
      <w:numFmt w:val="bullet"/>
      <w:lvlText w:val="•"/>
      <w:lvlJc w:val="left"/>
      <w:pPr>
        <w:ind w:left="3965" w:hanging="284"/>
      </w:pPr>
      <w:rPr>
        <w:rFonts w:hint="default"/>
        <w:lang w:val="pt-br" w:eastAsia="en-US" w:bidi="ar-SA"/>
      </w:rPr>
    </w:lvl>
    <w:lvl w:ilvl="3">
      <w:start w:val="0"/>
      <w:numFmt w:val="bullet"/>
      <w:lvlText w:val="•"/>
      <w:lvlJc w:val="left"/>
      <w:pPr>
        <w:ind w:left="4957" w:hanging="284"/>
      </w:pPr>
      <w:rPr>
        <w:rFonts w:hint="default"/>
        <w:lang w:val="pt-br" w:eastAsia="en-US" w:bidi="ar-SA"/>
      </w:rPr>
    </w:lvl>
    <w:lvl w:ilvl="4">
      <w:start w:val="0"/>
      <w:numFmt w:val="bullet"/>
      <w:lvlText w:val="•"/>
      <w:lvlJc w:val="left"/>
      <w:pPr>
        <w:ind w:left="5950" w:hanging="284"/>
      </w:pPr>
      <w:rPr>
        <w:rFonts w:hint="default"/>
        <w:lang w:val="pt-br" w:eastAsia="en-US" w:bidi="ar-SA"/>
      </w:rPr>
    </w:lvl>
    <w:lvl w:ilvl="5">
      <w:start w:val="0"/>
      <w:numFmt w:val="bullet"/>
      <w:lvlText w:val="•"/>
      <w:lvlJc w:val="left"/>
      <w:pPr>
        <w:ind w:left="6943" w:hanging="284"/>
      </w:pPr>
      <w:rPr>
        <w:rFonts w:hint="default"/>
        <w:lang w:val="pt-br" w:eastAsia="en-US" w:bidi="ar-SA"/>
      </w:rPr>
    </w:lvl>
    <w:lvl w:ilvl="6">
      <w:start w:val="0"/>
      <w:numFmt w:val="bullet"/>
      <w:lvlText w:val="•"/>
      <w:lvlJc w:val="left"/>
      <w:pPr>
        <w:ind w:left="7935" w:hanging="284"/>
      </w:pPr>
      <w:rPr>
        <w:rFonts w:hint="default"/>
        <w:lang w:val="pt-br" w:eastAsia="en-US" w:bidi="ar-SA"/>
      </w:rPr>
    </w:lvl>
    <w:lvl w:ilvl="7">
      <w:start w:val="0"/>
      <w:numFmt w:val="bullet"/>
      <w:lvlText w:val="•"/>
      <w:lvlJc w:val="left"/>
      <w:pPr>
        <w:ind w:left="8928" w:hanging="284"/>
      </w:pPr>
      <w:rPr>
        <w:rFonts w:hint="default"/>
        <w:lang w:val="pt-br" w:eastAsia="en-US" w:bidi="ar-SA"/>
      </w:rPr>
    </w:lvl>
    <w:lvl w:ilvl="8">
      <w:start w:val="0"/>
      <w:numFmt w:val="bullet"/>
      <w:lvlText w:val="•"/>
      <w:lvlJc w:val="left"/>
      <w:pPr>
        <w:ind w:left="9921" w:hanging="284"/>
      </w:pPr>
      <w:rPr>
        <w:rFonts w:hint="default"/>
        <w:lang w:val="pt-br" w:eastAsia="en-US" w:bidi="ar-SA"/>
      </w:rPr>
    </w:lvl>
  </w:abstractNum>
  <w:abstractNum w:abstractNumId="18">
    <w:multiLevelType w:val="hybridMultilevel"/>
    <w:lvl w:ilvl="0">
      <w:start w:val="1"/>
      <w:numFmt w:val="upperRoman"/>
      <w:lvlText w:val="%1."/>
      <w:lvlJc w:val="left"/>
      <w:pPr>
        <w:ind w:left="3120" w:hanging="406"/>
        <w:jc w:val="right"/>
      </w:pPr>
      <w:rPr>
        <w:rFonts w:hint="default" w:ascii="Calibri" w:hAnsi="Calibri" w:eastAsia="Calibri" w:cs="Calibri"/>
        <w:spacing w:val="-1"/>
        <w:w w:val="100"/>
        <w:sz w:val="24"/>
        <w:szCs w:val="24"/>
        <w:lang w:val="pt-br" w:eastAsia="en-US" w:bidi="ar-SA"/>
      </w:rPr>
    </w:lvl>
    <w:lvl w:ilvl="1">
      <w:start w:val="0"/>
      <w:numFmt w:val="bullet"/>
      <w:lvlText w:val="•"/>
      <w:lvlJc w:val="left"/>
      <w:pPr>
        <w:ind w:left="3998" w:hanging="406"/>
      </w:pPr>
      <w:rPr>
        <w:rFonts w:hint="default"/>
        <w:lang w:val="pt-br" w:eastAsia="en-US" w:bidi="ar-SA"/>
      </w:rPr>
    </w:lvl>
    <w:lvl w:ilvl="2">
      <w:start w:val="0"/>
      <w:numFmt w:val="bullet"/>
      <w:lvlText w:val="•"/>
      <w:lvlJc w:val="left"/>
      <w:pPr>
        <w:ind w:left="4877" w:hanging="406"/>
      </w:pPr>
      <w:rPr>
        <w:rFonts w:hint="default"/>
        <w:lang w:val="pt-br" w:eastAsia="en-US" w:bidi="ar-SA"/>
      </w:rPr>
    </w:lvl>
    <w:lvl w:ilvl="3">
      <w:start w:val="0"/>
      <w:numFmt w:val="bullet"/>
      <w:lvlText w:val="•"/>
      <w:lvlJc w:val="left"/>
      <w:pPr>
        <w:ind w:left="5755" w:hanging="406"/>
      </w:pPr>
      <w:rPr>
        <w:rFonts w:hint="default"/>
        <w:lang w:val="pt-br" w:eastAsia="en-US" w:bidi="ar-SA"/>
      </w:rPr>
    </w:lvl>
    <w:lvl w:ilvl="4">
      <w:start w:val="0"/>
      <w:numFmt w:val="bullet"/>
      <w:lvlText w:val="•"/>
      <w:lvlJc w:val="left"/>
      <w:pPr>
        <w:ind w:left="6634" w:hanging="406"/>
      </w:pPr>
      <w:rPr>
        <w:rFonts w:hint="default"/>
        <w:lang w:val="pt-br" w:eastAsia="en-US" w:bidi="ar-SA"/>
      </w:rPr>
    </w:lvl>
    <w:lvl w:ilvl="5">
      <w:start w:val="0"/>
      <w:numFmt w:val="bullet"/>
      <w:lvlText w:val="•"/>
      <w:lvlJc w:val="left"/>
      <w:pPr>
        <w:ind w:left="7513" w:hanging="406"/>
      </w:pPr>
      <w:rPr>
        <w:rFonts w:hint="default"/>
        <w:lang w:val="pt-br" w:eastAsia="en-US" w:bidi="ar-SA"/>
      </w:rPr>
    </w:lvl>
    <w:lvl w:ilvl="6">
      <w:start w:val="0"/>
      <w:numFmt w:val="bullet"/>
      <w:lvlText w:val="•"/>
      <w:lvlJc w:val="left"/>
      <w:pPr>
        <w:ind w:left="8391" w:hanging="406"/>
      </w:pPr>
      <w:rPr>
        <w:rFonts w:hint="default"/>
        <w:lang w:val="pt-br" w:eastAsia="en-US" w:bidi="ar-SA"/>
      </w:rPr>
    </w:lvl>
    <w:lvl w:ilvl="7">
      <w:start w:val="0"/>
      <w:numFmt w:val="bullet"/>
      <w:lvlText w:val="•"/>
      <w:lvlJc w:val="left"/>
      <w:pPr>
        <w:ind w:left="9270" w:hanging="406"/>
      </w:pPr>
      <w:rPr>
        <w:rFonts w:hint="default"/>
        <w:lang w:val="pt-br" w:eastAsia="en-US" w:bidi="ar-SA"/>
      </w:rPr>
    </w:lvl>
    <w:lvl w:ilvl="8">
      <w:start w:val="0"/>
      <w:numFmt w:val="bullet"/>
      <w:lvlText w:val="•"/>
      <w:lvlJc w:val="left"/>
      <w:pPr>
        <w:ind w:left="10149" w:hanging="406"/>
      </w:pPr>
      <w:rPr>
        <w:rFonts w:hint="default"/>
        <w:lang w:val="pt-br" w:eastAsia="en-US" w:bidi="ar-SA"/>
      </w:rPr>
    </w:lvl>
  </w:abstractNum>
  <w:abstractNum w:abstractNumId="17">
    <w:multiLevelType w:val="hybridMultilevel"/>
    <w:lvl w:ilvl="0">
      <w:start w:val="0"/>
      <w:numFmt w:val="bullet"/>
      <w:lvlText w:val="*"/>
      <w:lvlJc w:val="left"/>
      <w:pPr>
        <w:ind w:left="1702" w:hanging="245"/>
      </w:pPr>
      <w:rPr>
        <w:rFonts w:hint="default" w:ascii="Calibri" w:hAnsi="Calibri" w:eastAsia="Calibri" w:cs="Calibri"/>
        <w:i/>
        <w:w w:val="100"/>
        <w:sz w:val="24"/>
        <w:szCs w:val="24"/>
        <w:lang w:val="pt-br" w:eastAsia="en-US" w:bidi="ar-SA"/>
      </w:rPr>
    </w:lvl>
    <w:lvl w:ilvl="1">
      <w:start w:val="0"/>
      <w:numFmt w:val="bullet"/>
      <w:lvlText w:val=""/>
      <w:lvlJc w:val="left"/>
      <w:pPr>
        <w:ind w:left="2834" w:hanging="281"/>
      </w:pPr>
      <w:rPr>
        <w:rFonts w:hint="default" w:ascii="Symbol" w:hAnsi="Symbol" w:eastAsia="Symbol" w:cs="Symbol"/>
        <w:color w:val="006666"/>
        <w:w w:val="99"/>
        <w:sz w:val="26"/>
        <w:szCs w:val="26"/>
        <w:lang w:val="pt-br" w:eastAsia="en-US" w:bidi="ar-SA"/>
      </w:rPr>
    </w:lvl>
    <w:lvl w:ilvl="2">
      <w:start w:val="0"/>
      <w:numFmt w:val="bullet"/>
      <w:lvlText w:val="•"/>
      <w:lvlJc w:val="left"/>
      <w:pPr>
        <w:ind w:left="3847" w:hanging="281"/>
      </w:pPr>
      <w:rPr>
        <w:rFonts w:hint="default"/>
        <w:lang w:val="pt-br" w:eastAsia="en-US" w:bidi="ar-SA"/>
      </w:rPr>
    </w:lvl>
    <w:lvl w:ilvl="3">
      <w:start w:val="0"/>
      <w:numFmt w:val="bullet"/>
      <w:lvlText w:val="•"/>
      <w:lvlJc w:val="left"/>
      <w:pPr>
        <w:ind w:left="4854" w:hanging="281"/>
      </w:pPr>
      <w:rPr>
        <w:rFonts w:hint="default"/>
        <w:lang w:val="pt-br" w:eastAsia="en-US" w:bidi="ar-SA"/>
      </w:rPr>
    </w:lvl>
    <w:lvl w:ilvl="4">
      <w:start w:val="0"/>
      <w:numFmt w:val="bullet"/>
      <w:lvlText w:val="•"/>
      <w:lvlJc w:val="left"/>
      <w:pPr>
        <w:ind w:left="5862" w:hanging="281"/>
      </w:pPr>
      <w:rPr>
        <w:rFonts w:hint="default"/>
        <w:lang w:val="pt-br" w:eastAsia="en-US" w:bidi="ar-SA"/>
      </w:rPr>
    </w:lvl>
    <w:lvl w:ilvl="5">
      <w:start w:val="0"/>
      <w:numFmt w:val="bullet"/>
      <w:lvlText w:val="•"/>
      <w:lvlJc w:val="left"/>
      <w:pPr>
        <w:ind w:left="6869" w:hanging="281"/>
      </w:pPr>
      <w:rPr>
        <w:rFonts w:hint="default"/>
        <w:lang w:val="pt-br" w:eastAsia="en-US" w:bidi="ar-SA"/>
      </w:rPr>
    </w:lvl>
    <w:lvl w:ilvl="6">
      <w:start w:val="0"/>
      <w:numFmt w:val="bullet"/>
      <w:lvlText w:val="•"/>
      <w:lvlJc w:val="left"/>
      <w:pPr>
        <w:ind w:left="7876" w:hanging="281"/>
      </w:pPr>
      <w:rPr>
        <w:rFonts w:hint="default"/>
        <w:lang w:val="pt-br" w:eastAsia="en-US" w:bidi="ar-SA"/>
      </w:rPr>
    </w:lvl>
    <w:lvl w:ilvl="7">
      <w:start w:val="0"/>
      <w:numFmt w:val="bullet"/>
      <w:lvlText w:val="•"/>
      <w:lvlJc w:val="left"/>
      <w:pPr>
        <w:ind w:left="8884" w:hanging="281"/>
      </w:pPr>
      <w:rPr>
        <w:rFonts w:hint="default"/>
        <w:lang w:val="pt-br" w:eastAsia="en-US" w:bidi="ar-SA"/>
      </w:rPr>
    </w:lvl>
    <w:lvl w:ilvl="8">
      <w:start w:val="0"/>
      <w:numFmt w:val="bullet"/>
      <w:lvlText w:val="•"/>
      <w:lvlJc w:val="left"/>
      <w:pPr>
        <w:ind w:left="9891" w:hanging="281"/>
      </w:pPr>
      <w:rPr>
        <w:rFonts w:hint="default"/>
        <w:lang w:val="pt-br" w:eastAsia="en-US" w:bidi="ar-SA"/>
      </w:rPr>
    </w:lvl>
  </w:abstractNum>
  <w:abstractNum w:abstractNumId="16">
    <w:multiLevelType w:val="hybridMultilevel"/>
    <w:lvl w:ilvl="0">
      <w:start w:val="1"/>
      <w:numFmt w:val="lowerLetter"/>
      <w:lvlText w:val="%1."/>
      <w:lvlJc w:val="left"/>
      <w:pPr>
        <w:ind w:left="3829" w:hanging="425"/>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4628" w:hanging="425"/>
      </w:pPr>
      <w:rPr>
        <w:rFonts w:hint="default"/>
        <w:lang w:val="pt-br" w:eastAsia="en-US" w:bidi="ar-SA"/>
      </w:rPr>
    </w:lvl>
    <w:lvl w:ilvl="2">
      <w:start w:val="0"/>
      <w:numFmt w:val="bullet"/>
      <w:lvlText w:val="•"/>
      <w:lvlJc w:val="left"/>
      <w:pPr>
        <w:ind w:left="5437" w:hanging="425"/>
      </w:pPr>
      <w:rPr>
        <w:rFonts w:hint="default"/>
        <w:lang w:val="pt-br" w:eastAsia="en-US" w:bidi="ar-SA"/>
      </w:rPr>
    </w:lvl>
    <w:lvl w:ilvl="3">
      <w:start w:val="0"/>
      <w:numFmt w:val="bullet"/>
      <w:lvlText w:val="•"/>
      <w:lvlJc w:val="left"/>
      <w:pPr>
        <w:ind w:left="6245" w:hanging="425"/>
      </w:pPr>
      <w:rPr>
        <w:rFonts w:hint="default"/>
        <w:lang w:val="pt-br" w:eastAsia="en-US" w:bidi="ar-SA"/>
      </w:rPr>
    </w:lvl>
    <w:lvl w:ilvl="4">
      <w:start w:val="0"/>
      <w:numFmt w:val="bullet"/>
      <w:lvlText w:val="•"/>
      <w:lvlJc w:val="left"/>
      <w:pPr>
        <w:ind w:left="7054" w:hanging="425"/>
      </w:pPr>
      <w:rPr>
        <w:rFonts w:hint="default"/>
        <w:lang w:val="pt-br" w:eastAsia="en-US" w:bidi="ar-SA"/>
      </w:rPr>
    </w:lvl>
    <w:lvl w:ilvl="5">
      <w:start w:val="0"/>
      <w:numFmt w:val="bullet"/>
      <w:lvlText w:val="•"/>
      <w:lvlJc w:val="left"/>
      <w:pPr>
        <w:ind w:left="7863" w:hanging="425"/>
      </w:pPr>
      <w:rPr>
        <w:rFonts w:hint="default"/>
        <w:lang w:val="pt-br" w:eastAsia="en-US" w:bidi="ar-SA"/>
      </w:rPr>
    </w:lvl>
    <w:lvl w:ilvl="6">
      <w:start w:val="0"/>
      <w:numFmt w:val="bullet"/>
      <w:lvlText w:val="•"/>
      <w:lvlJc w:val="left"/>
      <w:pPr>
        <w:ind w:left="8671" w:hanging="425"/>
      </w:pPr>
      <w:rPr>
        <w:rFonts w:hint="default"/>
        <w:lang w:val="pt-br" w:eastAsia="en-US" w:bidi="ar-SA"/>
      </w:rPr>
    </w:lvl>
    <w:lvl w:ilvl="7">
      <w:start w:val="0"/>
      <w:numFmt w:val="bullet"/>
      <w:lvlText w:val="•"/>
      <w:lvlJc w:val="left"/>
      <w:pPr>
        <w:ind w:left="9480" w:hanging="425"/>
      </w:pPr>
      <w:rPr>
        <w:rFonts w:hint="default"/>
        <w:lang w:val="pt-br" w:eastAsia="en-US" w:bidi="ar-SA"/>
      </w:rPr>
    </w:lvl>
    <w:lvl w:ilvl="8">
      <w:start w:val="0"/>
      <w:numFmt w:val="bullet"/>
      <w:lvlText w:val="•"/>
      <w:lvlJc w:val="left"/>
      <w:pPr>
        <w:ind w:left="10289" w:hanging="425"/>
      </w:pPr>
      <w:rPr>
        <w:rFonts w:hint="default"/>
        <w:lang w:val="pt-br" w:eastAsia="en-US" w:bidi="ar-SA"/>
      </w:rPr>
    </w:lvl>
  </w:abstractNum>
  <w:abstractNum w:abstractNumId="15">
    <w:multiLevelType w:val="hybridMultilevel"/>
    <w:lvl w:ilvl="0">
      <w:start w:val="1"/>
      <w:numFmt w:val="lowerLetter"/>
      <w:lvlText w:val="%1."/>
      <w:lvlJc w:val="left"/>
      <w:pPr>
        <w:ind w:left="3829" w:hanging="425"/>
        <w:jc w:val="left"/>
      </w:pPr>
      <w:rPr>
        <w:rFonts w:hint="default" w:ascii="Calibri" w:hAnsi="Calibri" w:eastAsia="Calibri" w:cs="Calibri"/>
        <w:b/>
        <w:bCs/>
        <w:spacing w:val="-1"/>
        <w:w w:val="100"/>
        <w:sz w:val="24"/>
        <w:szCs w:val="24"/>
        <w:lang w:val="pt-br" w:eastAsia="en-US" w:bidi="ar-SA"/>
      </w:rPr>
    </w:lvl>
    <w:lvl w:ilvl="1">
      <w:start w:val="0"/>
      <w:numFmt w:val="bullet"/>
      <w:lvlText w:val="o"/>
      <w:lvlJc w:val="left"/>
      <w:pPr>
        <w:ind w:left="4582" w:hanging="360"/>
      </w:pPr>
      <w:rPr>
        <w:rFonts w:hint="default" w:ascii="Courier New" w:hAnsi="Courier New" w:eastAsia="Courier New" w:cs="Courier New"/>
        <w:w w:val="100"/>
        <w:sz w:val="24"/>
        <w:szCs w:val="24"/>
        <w:lang w:val="pt-br" w:eastAsia="en-US" w:bidi="ar-SA"/>
      </w:rPr>
    </w:lvl>
    <w:lvl w:ilvl="2">
      <w:start w:val="0"/>
      <w:numFmt w:val="bullet"/>
      <w:lvlText w:val="•"/>
      <w:lvlJc w:val="left"/>
      <w:pPr>
        <w:ind w:left="5394" w:hanging="360"/>
      </w:pPr>
      <w:rPr>
        <w:rFonts w:hint="default"/>
        <w:lang w:val="pt-br" w:eastAsia="en-US" w:bidi="ar-SA"/>
      </w:rPr>
    </w:lvl>
    <w:lvl w:ilvl="3">
      <w:start w:val="0"/>
      <w:numFmt w:val="bullet"/>
      <w:lvlText w:val="•"/>
      <w:lvlJc w:val="left"/>
      <w:pPr>
        <w:ind w:left="6208" w:hanging="360"/>
      </w:pPr>
      <w:rPr>
        <w:rFonts w:hint="default"/>
        <w:lang w:val="pt-br" w:eastAsia="en-US" w:bidi="ar-SA"/>
      </w:rPr>
    </w:lvl>
    <w:lvl w:ilvl="4">
      <w:start w:val="0"/>
      <w:numFmt w:val="bullet"/>
      <w:lvlText w:val="•"/>
      <w:lvlJc w:val="left"/>
      <w:pPr>
        <w:ind w:left="7022" w:hanging="360"/>
      </w:pPr>
      <w:rPr>
        <w:rFonts w:hint="default"/>
        <w:lang w:val="pt-br" w:eastAsia="en-US" w:bidi="ar-SA"/>
      </w:rPr>
    </w:lvl>
    <w:lvl w:ilvl="5">
      <w:start w:val="0"/>
      <w:numFmt w:val="bullet"/>
      <w:lvlText w:val="•"/>
      <w:lvlJc w:val="left"/>
      <w:pPr>
        <w:ind w:left="7836" w:hanging="360"/>
      </w:pPr>
      <w:rPr>
        <w:rFonts w:hint="default"/>
        <w:lang w:val="pt-br" w:eastAsia="en-US" w:bidi="ar-SA"/>
      </w:rPr>
    </w:lvl>
    <w:lvl w:ilvl="6">
      <w:start w:val="0"/>
      <w:numFmt w:val="bullet"/>
      <w:lvlText w:val="•"/>
      <w:lvlJc w:val="left"/>
      <w:pPr>
        <w:ind w:left="8650" w:hanging="360"/>
      </w:pPr>
      <w:rPr>
        <w:rFonts w:hint="default"/>
        <w:lang w:val="pt-br" w:eastAsia="en-US" w:bidi="ar-SA"/>
      </w:rPr>
    </w:lvl>
    <w:lvl w:ilvl="7">
      <w:start w:val="0"/>
      <w:numFmt w:val="bullet"/>
      <w:lvlText w:val="•"/>
      <w:lvlJc w:val="left"/>
      <w:pPr>
        <w:ind w:left="9464" w:hanging="360"/>
      </w:pPr>
      <w:rPr>
        <w:rFonts w:hint="default"/>
        <w:lang w:val="pt-br" w:eastAsia="en-US" w:bidi="ar-SA"/>
      </w:rPr>
    </w:lvl>
    <w:lvl w:ilvl="8">
      <w:start w:val="0"/>
      <w:numFmt w:val="bullet"/>
      <w:lvlText w:val="•"/>
      <w:lvlJc w:val="left"/>
      <w:pPr>
        <w:ind w:left="10278" w:hanging="360"/>
      </w:pPr>
      <w:rPr>
        <w:rFonts w:hint="default"/>
        <w:lang w:val="pt-br" w:eastAsia="en-US" w:bidi="ar-SA"/>
      </w:rPr>
    </w:lvl>
  </w:abstractNum>
  <w:abstractNum w:abstractNumId="14">
    <w:multiLevelType w:val="hybridMultilevel"/>
    <w:lvl w:ilvl="0">
      <w:start w:val="1"/>
      <w:numFmt w:val="lowerLetter"/>
      <w:lvlText w:val="%1."/>
      <w:lvlJc w:val="left"/>
      <w:pPr>
        <w:ind w:left="3829" w:hanging="425"/>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4628" w:hanging="425"/>
      </w:pPr>
      <w:rPr>
        <w:rFonts w:hint="default"/>
        <w:lang w:val="pt-br" w:eastAsia="en-US" w:bidi="ar-SA"/>
      </w:rPr>
    </w:lvl>
    <w:lvl w:ilvl="2">
      <w:start w:val="0"/>
      <w:numFmt w:val="bullet"/>
      <w:lvlText w:val="•"/>
      <w:lvlJc w:val="left"/>
      <w:pPr>
        <w:ind w:left="5437" w:hanging="425"/>
      </w:pPr>
      <w:rPr>
        <w:rFonts w:hint="default"/>
        <w:lang w:val="pt-br" w:eastAsia="en-US" w:bidi="ar-SA"/>
      </w:rPr>
    </w:lvl>
    <w:lvl w:ilvl="3">
      <w:start w:val="0"/>
      <w:numFmt w:val="bullet"/>
      <w:lvlText w:val="•"/>
      <w:lvlJc w:val="left"/>
      <w:pPr>
        <w:ind w:left="6245" w:hanging="425"/>
      </w:pPr>
      <w:rPr>
        <w:rFonts w:hint="default"/>
        <w:lang w:val="pt-br" w:eastAsia="en-US" w:bidi="ar-SA"/>
      </w:rPr>
    </w:lvl>
    <w:lvl w:ilvl="4">
      <w:start w:val="0"/>
      <w:numFmt w:val="bullet"/>
      <w:lvlText w:val="•"/>
      <w:lvlJc w:val="left"/>
      <w:pPr>
        <w:ind w:left="7054" w:hanging="425"/>
      </w:pPr>
      <w:rPr>
        <w:rFonts w:hint="default"/>
        <w:lang w:val="pt-br" w:eastAsia="en-US" w:bidi="ar-SA"/>
      </w:rPr>
    </w:lvl>
    <w:lvl w:ilvl="5">
      <w:start w:val="0"/>
      <w:numFmt w:val="bullet"/>
      <w:lvlText w:val="•"/>
      <w:lvlJc w:val="left"/>
      <w:pPr>
        <w:ind w:left="7863" w:hanging="425"/>
      </w:pPr>
      <w:rPr>
        <w:rFonts w:hint="default"/>
        <w:lang w:val="pt-br" w:eastAsia="en-US" w:bidi="ar-SA"/>
      </w:rPr>
    </w:lvl>
    <w:lvl w:ilvl="6">
      <w:start w:val="0"/>
      <w:numFmt w:val="bullet"/>
      <w:lvlText w:val="•"/>
      <w:lvlJc w:val="left"/>
      <w:pPr>
        <w:ind w:left="8671" w:hanging="425"/>
      </w:pPr>
      <w:rPr>
        <w:rFonts w:hint="default"/>
        <w:lang w:val="pt-br" w:eastAsia="en-US" w:bidi="ar-SA"/>
      </w:rPr>
    </w:lvl>
    <w:lvl w:ilvl="7">
      <w:start w:val="0"/>
      <w:numFmt w:val="bullet"/>
      <w:lvlText w:val="•"/>
      <w:lvlJc w:val="left"/>
      <w:pPr>
        <w:ind w:left="9480" w:hanging="425"/>
      </w:pPr>
      <w:rPr>
        <w:rFonts w:hint="default"/>
        <w:lang w:val="pt-br" w:eastAsia="en-US" w:bidi="ar-SA"/>
      </w:rPr>
    </w:lvl>
    <w:lvl w:ilvl="8">
      <w:start w:val="0"/>
      <w:numFmt w:val="bullet"/>
      <w:lvlText w:val="•"/>
      <w:lvlJc w:val="left"/>
      <w:pPr>
        <w:ind w:left="10289" w:hanging="425"/>
      </w:pPr>
      <w:rPr>
        <w:rFonts w:hint="default"/>
        <w:lang w:val="pt-br" w:eastAsia="en-US" w:bidi="ar-SA"/>
      </w:rPr>
    </w:lvl>
  </w:abstractNum>
  <w:abstractNum w:abstractNumId="13">
    <w:multiLevelType w:val="hybridMultilevel"/>
    <w:lvl w:ilvl="0">
      <w:start w:val="1"/>
      <w:numFmt w:val="lowerLetter"/>
      <w:lvlText w:val="%1."/>
      <w:lvlJc w:val="left"/>
      <w:pPr>
        <w:ind w:left="3829" w:hanging="425"/>
        <w:jc w:val="left"/>
      </w:pPr>
      <w:rPr>
        <w:rFonts w:hint="default" w:ascii="Calibri" w:hAnsi="Calibri" w:eastAsia="Calibri" w:cs="Calibri"/>
        <w:b/>
        <w:bCs/>
        <w:spacing w:val="-1"/>
        <w:w w:val="100"/>
        <w:sz w:val="24"/>
        <w:szCs w:val="24"/>
        <w:lang w:val="pt-br" w:eastAsia="en-US" w:bidi="ar-SA"/>
      </w:rPr>
    </w:lvl>
    <w:lvl w:ilvl="1">
      <w:start w:val="0"/>
      <w:numFmt w:val="bullet"/>
      <w:lvlText w:val="o"/>
      <w:lvlJc w:val="left"/>
      <w:pPr>
        <w:ind w:left="4537" w:hanging="284"/>
      </w:pPr>
      <w:rPr>
        <w:rFonts w:hint="default" w:ascii="Courier New" w:hAnsi="Courier New" w:eastAsia="Courier New" w:cs="Courier New"/>
        <w:w w:val="100"/>
        <w:sz w:val="24"/>
        <w:szCs w:val="24"/>
        <w:lang w:val="pt-br" w:eastAsia="en-US" w:bidi="ar-SA"/>
      </w:rPr>
    </w:lvl>
    <w:lvl w:ilvl="2">
      <w:start w:val="0"/>
      <w:numFmt w:val="bullet"/>
      <w:lvlText w:val="•"/>
      <w:lvlJc w:val="left"/>
      <w:pPr>
        <w:ind w:left="5358" w:hanging="284"/>
      </w:pPr>
      <w:rPr>
        <w:rFonts w:hint="default"/>
        <w:lang w:val="pt-br" w:eastAsia="en-US" w:bidi="ar-SA"/>
      </w:rPr>
    </w:lvl>
    <w:lvl w:ilvl="3">
      <w:start w:val="0"/>
      <w:numFmt w:val="bullet"/>
      <w:lvlText w:val="•"/>
      <w:lvlJc w:val="left"/>
      <w:pPr>
        <w:ind w:left="6176" w:hanging="284"/>
      </w:pPr>
      <w:rPr>
        <w:rFonts w:hint="default"/>
        <w:lang w:val="pt-br" w:eastAsia="en-US" w:bidi="ar-SA"/>
      </w:rPr>
    </w:lvl>
    <w:lvl w:ilvl="4">
      <w:start w:val="0"/>
      <w:numFmt w:val="bullet"/>
      <w:lvlText w:val="•"/>
      <w:lvlJc w:val="left"/>
      <w:pPr>
        <w:ind w:left="6995" w:hanging="284"/>
      </w:pPr>
      <w:rPr>
        <w:rFonts w:hint="default"/>
        <w:lang w:val="pt-br" w:eastAsia="en-US" w:bidi="ar-SA"/>
      </w:rPr>
    </w:lvl>
    <w:lvl w:ilvl="5">
      <w:start w:val="0"/>
      <w:numFmt w:val="bullet"/>
      <w:lvlText w:val="•"/>
      <w:lvlJc w:val="left"/>
      <w:pPr>
        <w:ind w:left="7813" w:hanging="284"/>
      </w:pPr>
      <w:rPr>
        <w:rFonts w:hint="default"/>
        <w:lang w:val="pt-br" w:eastAsia="en-US" w:bidi="ar-SA"/>
      </w:rPr>
    </w:lvl>
    <w:lvl w:ilvl="6">
      <w:start w:val="0"/>
      <w:numFmt w:val="bullet"/>
      <w:lvlText w:val="•"/>
      <w:lvlJc w:val="left"/>
      <w:pPr>
        <w:ind w:left="8632" w:hanging="284"/>
      </w:pPr>
      <w:rPr>
        <w:rFonts w:hint="default"/>
        <w:lang w:val="pt-br" w:eastAsia="en-US" w:bidi="ar-SA"/>
      </w:rPr>
    </w:lvl>
    <w:lvl w:ilvl="7">
      <w:start w:val="0"/>
      <w:numFmt w:val="bullet"/>
      <w:lvlText w:val="•"/>
      <w:lvlJc w:val="left"/>
      <w:pPr>
        <w:ind w:left="9450" w:hanging="284"/>
      </w:pPr>
      <w:rPr>
        <w:rFonts w:hint="default"/>
        <w:lang w:val="pt-br" w:eastAsia="en-US" w:bidi="ar-SA"/>
      </w:rPr>
    </w:lvl>
    <w:lvl w:ilvl="8">
      <w:start w:val="0"/>
      <w:numFmt w:val="bullet"/>
      <w:lvlText w:val="•"/>
      <w:lvlJc w:val="left"/>
      <w:pPr>
        <w:ind w:left="10269" w:hanging="284"/>
      </w:pPr>
      <w:rPr>
        <w:rFonts w:hint="default"/>
        <w:lang w:val="pt-br" w:eastAsia="en-US" w:bidi="ar-SA"/>
      </w:rPr>
    </w:lvl>
  </w:abstractNum>
  <w:abstractNum w:abstractNumId="12">
    <w:multiLevelType w:val="hybridMultilevel"/>
    <w:lvl w:ilvl="0">
      <w:start w:val="1"/>
      <w:numFmt w:val="lowerLetter"/>
      <w:lvlText w:val="%1."/>
      <w:lvlJc w:val="left"/>
      <w:pPr>
        <w:ind w:left="3829" w:hanging="425"/>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4628" w:hanging="425"/>
      </w:pPr>
      <w:rPr>
        <w:rFonts w:hint="default"/>
        <w:lang w:val="pt-br" w:eastAsia="en-US" w:bidi="ar-SA"/>
      </w:rPr>
    </w:lvl>
    <w:lvl w:ilvl="2">
      <w:start w:val="0"/>
      <w:numFmt w:val="bullet"/>
      <w:lvlText w:val="•"/>
      <w:lvlJc w:val="left"/>
      <w:pPr>
        <w:ind w:left="5437" w:hanging="425"/>
      </w:pPr>
      <w:rPr>
        <w:rFonts w:hint="default"/>
        <w:lang w:val="pt-br" w:eastAsia="en-US" w:bidi="ar-SA"/>
      </w:rPr>
    </w:lvl>
    <w:lvl w:ilvl="3">
      <w:start w:val="0"/>
      <w:numFmt w:val="bullet"/>
      <w:lvlText w:val="•"/>
      <w:lvlJc w:val="left"/>
      <w:pPr>
        <w:ind w:left="6245" w:hanging="425"/>
      </w:pPr>
      <w:rPr>
        <w:rFonts w:hint="default"/>
        <w:lang w:val="pt-br" w:eastAsia="en-US" w:bidi="ar-SA"/>
      </w:rPr>
    </w:lvl>
    <w:lvl w:ilvl="4">
      <w:start w:val="0"/>
      <w:numFmt w:val="bullet"/>
      <w:lvlText w:val="•"/>
      <w:lvlJc w:val="left"/>
      <w:pPr>
        <w:ind w:left="7054" w:hanging="425"/>
      </w:pPr>
      <w:rPr>
        <w:rFonts w:hint="default"/>
        <w:lang w:val="pt-br" w:eastAsia="en-US" w:bidi="ar-SA"/>
      </w:rPr>
    </w:lvl>
    <w:lvl w:ilvl="5">
      <w:start w:val="0"/>
      <w:numFmt w:val="bullet"/>
      <w:lvlText w:val="•"/>
      <w:lvlJc w:val="left"/>
      <w:pPr>
        <w:ind w:left="7863" w:hanging="425"/>
      </w:pPr>
      <w:rPr>
        <w:rFonts w:hint="default"/>
        <w:lang w:val="pt-br" w:eastAsia="en-US" w:bidi="ar-SA"/>
      </w:rPr>
    </w:lvl>
    <w:lvl w:ilvl="6">
      <w:start w:val="0"/>
      <w:numFmt w:val="bullet"/>
      <w:lvlText w:val="•"/>
      <w:lvlJc w:val="left"/>
      <w:pPr>
        <w:ind w:left="8671" w:hanging="425"/>
      </w:pPr>
      <w:rPr>
        <w:rFonts w:hint="default"/>
        <w:lang w:val="pt-br" w:eastAsia="en-US" w:bidi="ar-SA"/>
      </w:rPr>
    </w:lvl>
    <w:lvl w:ilvl="7">
      <w:start w:val="0"/>
      <w:numFmt w:val="bullet"/>
      <w:lvlText w:val="•"/>
      <w:lvlJc w:val="left"/>
      <w:pPr>
        <w:ind w:left="9480" w:hanging="425"/>
      </w:pPr>
      <w:rPr>
        <w:rFonts w:hint="default"/>
        <w:lang w:val="pt-br" w:eastAsia="en-US" w:bidi="ar-SA"/>
      </w:rPr>
    </w:lvl>
    <w:lvl w:ilvl="8">
      <w:start w:val="0"/>
      <w:numFmt w:val="bullet"/>
      <w:lvlText w:val="•"/>
      <w:lvlJc w:val="left"/>
      <w:pPr>
        <w:ind w:left="10289" w:hanging="425"/>
      </w:pPr>
      <w:rPr>
        <w:rFonts w:hint="default"/>
        <w:lang w:val="pt-br" w:eastAsia="en-US" w:bidi="ar-SA"/>
      </w:rPr>
    </w:lvl>
  </w:abstractNum>
  <w:abstractNum w:abstractNumId="11">
    <w:multiLevelType w:val="hybridMultilevel"/>
    <w:lvl w:ilvl="0">
      <w:start w:val="1"/>
      <w:numFmt w:val="lowerLetter"/>
      <w:lvlText w:val="%1."/>
      <w:lvlJc w:val="left"/>
      <w:pPr>
        <w:ind w:left="3829" w:hanging="425"/>
        <w:jc w:val="left"/>
      </w:pPr>
      <w:rPr>
        <w:rFonts w:hint="default" w:ascii="Calibri" w:hAnsi="Calibri" w:eastAsia="Calibri" w:cs="Calibri"/>
        <w:b/>
        <w:bCs/>
        <w:spacing w:val="-1"/>
        <w:w w:val="100"/>
        <w:sz w:val="24"/>
        <w:szCs w:val="24"/>
        <w:lang w:val="pt-br" w:eastAsia="en-US" w:bidi="ar-SA"/>
      </w:rPr>
    </w:lvl>
    <w:lvl w:ilvl="1">
      <w:start w:val="0"/>
      <w:numFmt w:val="bullet"/>
      <w:lvlText w:val="•"/>
      <w:lvlJc w:val="left"/>
      <w:pPr>
        <w:ind w:left="4628" w:hanging="425"/>
      </w:pPr>
      <w:rPr>
        <w:rFonts w:hint="default"/>
        <w:lang w:val="pt-br" w:eastAsia="en-US" w:bidi="ar-SA"/>
      </w:rPr>
    </w:lvl>
    <w:lvl w:ilvl="2">
      <w:start w:val="0"/>
      <w:numFmt w:val="bullet"/>
      <w:lvlText w:val="•"/>
      <w:lvlJc w:val="left"/>
      <w:pPr>
        <w:ind w:left="5437" w:hanging="425"/>
      </w:pPr>
      <w:rPr>
        <w:rFonts w:hint="default"/>
        <w:lang w:val="pt-br" w:eastAsia="en-US" w:bidi="ar-SA"/>
      </w:rPr>
    </w:lvl>
    <w:lvl w:ilvl="3">
      <w:start w:val="0"/>
      <w:numFmt w:val="bullet"/>
      <w:lvlText w:val="•"/>
      <w:lvlJc w:val="left"/>
      <w:pPr>
        <w:ind w:left="6245" w:hanging="425"/>
      </w:pPr>
      <w:rPr>
        <w:rFonts w:hint="default"/>
        <w:lang w:val="pt-br" w:eastAsia="en-US" w:bidi="ar-SA"/>
      </w:rPr>
    </w:lvl>
    <w:lvl w:ilvl="4">
      <w:start w:val="0"/>
      <w:numFmt w:val="bullet"/>
      <w:lvlText w:val="•"/>
      <w:lvlJc w:val="left"/>
      <w:pPr>
        <w:ind w:left="7054" w:hanging="425"/>
      </w:pPr>
      <w:rPr>
        <w:rFonts w:hint="default"/>
        <w:lang w:val="pt-br" w:eastAsia="en-US" w:bidi="ar-SA"/>
      </w:rPr>
    </w:lvl>
    <w:lvl w:ilvl="5">
      <w:start w:val="0"/>
      <w:numFmt w:val="bullet"/>
      <w:lvlText w:val="•"/>
      <w:lvlJc w:val="left"/>
      <w:pPr>
        <w:ind w:left="7863" w:hanging="425"/>
      </w:pPr>
      <w:rPr>
        <w:rFonts w:hint="default"/>
        <w:lang w:val="pt-br" w:eastAsia="en-US" w:bidi="ar-SA"/>
      </w:rPr>
    </w:lvl>
    <w:lvl w:ilvl="6">
      <w:start w:val="0"/>
      <w:numFmt w:val="bullet"/>
      <w:lvlText w:val="•"/>
      <w:lvlJc w:val="left"/>
      <w:pPr>
        <w:ind w:left="8671" w:hanging="425"/>
      </w:pPr>
      <w:rPr>
        <w:rFonts w:hint="default"/>
        <w:lang w:val="pt-br" w:eastAsia="en-US" w:bidi="ar-SA"/>
      </w:rPr>
    </w:lvl>
    <w:lvl w:ilvl="7">
      <w:start w:val="0"/>
      <w:numFmt w:val="bullet"/>
      <w:lvlText w:val="•"/>
      <w:lvlJc w:val="left"/>
      <w:pPr>
        <w:ind w:left="9480" w:hanging="425"/>
      </w:pPr>
      <w:rPr>
        <w:rFonts w:hint="default"/>
        <w:lang w:val="pt-br" w:eastAsia="en-US" w:bidi="ar-SA"/>
      </w:rPr>
    </w:lvl>
    <w:lvl w:ilvl="8">
      <w:start w:val="0"/>
      <w:numFmt w:val="bullet"/>
      <w:lvlText w:val="•"/>
      <w:lvlJc w:val="left"/>
      <w:pPr>
        <w:ind w:left="10289" w:hanging="425"/>
      </w:pPr>
      <w:rPr>
        <w:rFonts w:hint="default"/>
        <w:lang w:val="pt-br" w:eastAsia="en-US" w:bidi="ar-SA"/>
      </w:rPr>
    </w:lvl>
  </w:abstractNum>
  <w:abstractNum w:abstractNumId="10">
    <w:multiLevelType w:val="hybridMultilevel"/>
    <w:lvl w:ilvl="0">
      <w:start w:val="0"/>
      <w:numFmt w:val="bullet"/>
      <w:lvlText w:val=""/>
      <w:lvlJc w:val="left"/>
      <w:pPr>
        <w:ind w:left="2834" w:hanging="281"/>
      </w:pPr>
      <w:rPr>
        <w:rFonts w:hint="default"/>
        <w:w w:val="99"/>
        <w:lang w:val="pt-br" w:eastAsia="en-US" w:bidi="ar-SA"/>
      </w:rPr>
    </w:lvl>
    <w:lvl w:ilvl="1">
      <w:start w:val="0"/>
      <w:numFmt w:val="bullet"/>
      <w:lvlText w:val="o"/>
      <w:lvlJc w:val="left"/>
      <w:pPr>
        <w:ind w:left="3404" w:hanging="426"/>
      </w:pPr>
      <w:rPr>
        <w:rFonts w:hint="default" w:ascii="Courier New" w:hAnsi="Courier New" w:eastAsia="Courier New" w:cs="Courier New"/>
        <w:w w:val="100"/>
        <w:sz w:val="24"/>
        <w:szCs w:val="24"/>
        <w:lang w:val="pt-br" w:eastAsia="en-US" w:bidi="ar-SA"/>
      </w:rPr>
    </w:lvl>
    <w:lvl w:ilvl="2">
      <w:start w:val="0"/>
      <w:numFmt w:val="bullet"/>
      <w:lvlText w:val="o"/>
      <w:lvlJc w:val="left"/>
      <w:pPr>
        <w:ind w:left="3829" w:hanging="425"/>
      </w:pPr>
      <w:rPr>
        <w:rFonts w:hint="default" w:ascii="Courier New" w:hAnsi="Courier New" w:eastAsia="Courier New" w:cs="Courier New"/>
        <w:w w:val="100"/>
        <w:sz w:val="24"/>
        <w:szCs w:val="24"/>
        <w:lang w:val="pt-br" w:eastAsia="en-US" w:bidi="ar-SA"/>
      </w:rPr>
    </w:lvl>
    <w:lvl w:ilvl="3">
      <w:start w:val="0"/>
      <w:numFmt w:val="bullet"/>
      <w:lvlText w:val="•"/>
      <w:lvlJc w:val="left"/>
      <w:pPr>
        <w:ind w:left="4830" w:hanging="425"/>
      </w:pPr>
      <w:rPr>
        <w:rFonts w:hint="default"/>
        <w:lang w:val="pt-br" w:eastAsia="en-US" w:bidi="ar-SA"/>
      </w:rPr>
    </w:lvl>
    <w:lvl w:ilvl="4">
      <w:start w:val="0"/>
      <w:numFmt w:val="bullet"/>
      <w:lvlText w:val="•"/>
      <w:lvlJc w:val="left"/>
      <w:pPr>
        <w:ind w:left="5841" w:hanging="425"/>
      </w:pPr>
      <w:rPr>
        <w:rFonts w:hint="default"/>
        <w:lang w:val="pt-br" w:eastAsia="en-US" w:bidi="ar-SA"/>
      </w:rPr>
    </w:lvl>
    <w:lvl w:ilvl="5">
      <w:start w:val="0"/>
      <w:numFmt w:val="bullet"/>
      <w:lvlText w:val="•"/>
      <w:lvlJc w:val="left"/>
      <w:pPr>
        <w:ind w:left="6852" w:hanging="425"/>
      </w:pPr>
      <w:rPr>
        <w:rFonts w:hint="default"/>
        <w:lang w:val="pt-br" w:eastAsia="en-US" w:bidi="ar-SA"/>
      </w:rPr>
    </w:lvl>
    <w:lvl w:ilvl="6">
      <w:start w:val="0"/>
      <w:numFmt w:val="bullet"/>
      <w:lvlText w:val="•"/>
      <w:lvlJc w:val="left"/>
      <w:pPr>
        <w:ind w:left="7863" w:hanging="425"/>
      </w:pPr>
      <w:rPr>
        <w:rFonts w:hint="default"/>
        <w:lang w:val="pt-br" w:eastAsia="en-US" w:bidi="ar-SA"/>
      </w:rPr>
    </w:lvl>
    <w:lvl w:ilvl="7">
      <w:start w:val="0"/>
      <w:numFmt w:val="bullet"/>
      <w:lvlText w:val="•"/>
      <w:lvlJc w:val="left"/>
      <w:pPr>
        <w:ind w:left="8874" w:hanging="425"/>
      </w:pPr>
      <w:rPr>
        <w:rFonts w:hint="default"/>
        <w:lang w:val="pt-br" w:eastAsia="en-US" w:bidi="ar-SA"/>
      </w:rPr>
    </w:lvl>
    <w:lvl w:ilvl="8">
      <w:start w:val="0"/>
      <w:numFmt w:val="bullet"/>
      <w:lvlText w:val="•"/>
      <w:lvlJc w:val="left"/>
      <w:pPr>
        <w:ind w:left="9884" w:hanging="425"/>
      </w:pPr>
      <w:rPr>
        <w:rFonts w:hint="default"/>
        <w:lang w:val="pt-br" w:eastAsia="en-US" w:bidi="ar-SA"/>
      </w:rPr>
    </w:lvl>
  </w:abstractNum>
  <w:abstractNum w:abstractNumId="9">
    <w:multiLevelType w:val="hybridMultilevel"/>
    <w:lvl w:ilvl="0">
      <w:start w:val="0"/>
      <w:numFmt w:val="bullet"/>
      <w:lvlText w:val=""/>
      <w:lvlJc w:val="left"/>
      <w:pPr>
        <w:ind w:left="2834" w:hanging="281"/>
      </w:pPr>
      <w:rPr>
        <w:rFonts w:hint="default" w:ascii="Symbol" w:hAnsi="Symbol" w:eastAsia="Symbol" w:cs="Symbol"/>
        <w:w w:val="100"/>
        <w:sz w:val="24"/>
        <w:szCs w:val="24"/>
        <w:lang w:val="pt-br" w:eastAsia="en-US" w:bidi="ar-SA"/>
      </w:rPr>
    </w:lvl>
    <w:lvl w:ilvl="1">
      <w:start w:val="0"/>
      <w:numFmt w:val="bullet"/>
      <w:lvlText w:val="•"/>
      <w:lvlJc w:val="left"/>
      <w:pPr>
        <w:ind w:left="3746" w:hanging="281"/>
      </w:pPr>
      <w:rPr>
        <w:rFonts w:hint="default"/>
        <w:lang w:val="pt-br" w:eastAsia="en-US" w:bidi="ar-SA"/>
      </w:rPr>
    </w:lvl>
    <w:lvl w:ilvl="2">
      <w:start w:val="0"/>
      <w:numFmt w:val="bullet"/>
      <w:lvlText w:val="•"/>
      <w:lvlJc w:val="left"/>
      <w:pPr>
        <w:ind w:left="4653" w:hanging="281"/>
      </w:pPr>
      <w:rPr>
        <w:rFonts w:hint="default"/>
        <w:lang w:val="pt-br" w:eastAsia="en-US" w:bidi="ar-SA"/>
      </w:rPr>
    </w:lvl>
    <w:lvl w:ilvl="3">
      <w:start w:val="0"/>
      <w:numFmt w:val="bullet"/>
      <w:lvlText w:val="•"/>
      <w:lvlJc w:val="left"/>
      <w:pPr>
        <w:ind w:left="5559" w:hanging="281"/>
      </w:pPr>
      <w:rPr>
        <w:rFonts w:hint="default"/>
        <w:lang w:val="pt-br" w:eastAsia="en-US" w:bidi="ar-SA"/>
      </w:rPr>
    </w:lvl>
    <w:lvl w:ilvl="4">
      <w:start w:val="0"/>
      <w:numFmt w:val="bullet"/>
      <w:lvlText w:val="•"/>
      <w:lvlJc w:val="left"/>
      <w:pPr>
        <w:ind w:left="6466" w:hanging="281"/>
      </w:pPr>
      <w:rPr>
        <w:rFonts w:hint="default"/>
        <w:lang w:val="pt-br" w:eastAsia="en-US" w:bidi="ar-SA"/>
      </w:rPr>
    </w:lvl>
    <w:lvl w:ilvl="5">
      <w:start w:val="0"/>
      <w:numFmt w:val="bullet"/>
      <w:lvlText w:val="•"/>
      <w:lvlJc w:val="left"/>
      <w:pPr>
        <w:ind w:left="7373" w:hanging="281"/>
      </w:pPr>
      <w:rPr>
        <w:rFonts w:hint="default"/>
        <w:lang w:val="pt-br" w:eastAsia="en-US" w:bidi="ar-SA"/>
      </w:rPr>
    </w:lvl>
    <w:lvl w:ilvl="6">
      <w:start w:val="0"/>
      <w:numFmt w:val="bullet"/>
      <w:lvlText w:val="•"/>
      <w:lvlJc w:val="left"/>
      <w:pPr>
        <w:ind w:left="8279" w:hanging="281"/>
      </w:pPr>
      <w:rPr>
        <w:rFonts w:hint="default"/>
        <w:lang w:val="pt-br" w:eastAsia="en-US" w:bidi="ar-SA"/>
      </w:rPr>
    </w:lvl>
    <w:lvl w:ilvl="7">
      <w:start w:val="0"/>
      <w:numFmt w:val="bullet"/>
      <w:lvlText w:val="•"/>
      <w:lvlJc w:val="left"/>
      <w:pPr>
        <w:ind w:left="9186" w:hanging="281"/>
      </w:pPr>
      <w:rPr>
        <w:rFonts w:hint="default"/>
        <w:lang w:val="pt-br" w:eastAsia="en-US" w:bidi="ar-SA"/>
      </w:rPr>
    </w:lvl>
    <w:lvl w:ilvl="8">
      <w:start w:val="0"/>
      <w:numFmt w:val="bullet"/>
      <w:lvlText w:val="•"/>
      <w:lvlJc w:val="left"/>
      <w:pPr>
        <w:ind w:left="10093" w:hanging="281"/>
      </w:pPr>
      <w:rPr>
        <w:rFonts w:hint="default"/>
        <w:lang w:val="pt-br" w:eastAsia="en-US" w:bidi="ar-SA"/>
      </w:rPr>
    </w:lvl>
  </w:abstractNum>
  <w:abstractNum w:abstractNumId="8">
    <w:multiLevelType w:val="hybridMultilevel"/>
    <w:lvl w:ilvl="0">
      <w:start w:val="0"/>
      <w:numFmt w:val="bullet"/>
      <w:lvlText w:val=""/>
      <w:lvlJc w:val="left"/>
      <w:pPr>
        <w:ind w:left="3142" w:hanging="360"/>
      </w:pPr>
      <w:rPr>
        <w:rFonts w:hint="default" w:ascii="Symbol" w:hAnsi="Symbol" w:eastAsia="Symbol" w:cs="Symbol"/>
        <w:w w:val="100"/>
        <w:sz w:val="24"/>
        <w:szCs w:val="24"/>
        <w:lang w:val="pt-br" w:eastAsia="en-US" w:bidi="ar-SA"/>
      </w:rPr>
    </w:lvl>
    <w:lvl w:ilvl="1">
      <w:start w:val="0"/>
      <w:numFmt w:val="bullet"/>
      <w:lvlText w:val="•"/>
      <w:lvlJc w:val="left"/>
      <w:pPr>
        <w:ind w:left="4016" w:hanging="360"/>
      </w:pPr>
      <w:rPr>
        <w:rFonts w:hint="default"/>
        <w:lang w:val="pt-br" w:eastAsia="en-US" w:bidi="ar-SA"/>
      </w:rPr>
    </w:lvl>
    <w:lvl w:ilvl="2">
      <w:start w:val="0"/>
      <w:numFmt w:val="bullet"/>
      <w:lvlText w:val="•"/>
      <w:lvlJc w:val="left"/>
      <w:pPr>
        <w:ind w:left="4893" w:hanging="360"/>
      </w:pPr>
      <w:rPr>
        <w:rFonts w:hint="default"/>
        <w:lang w:val="pt-br" w:eastAsia="en-US" w:bidi="ar-SA"/>
      </w:rPr>
    </w:lvl>
    <w:lvl w:ilvl="3">
      <w:start w:val="0"/>
      <w:numFmt w:val="bullet"/>
      <w:lvlText w:val="•"/>
      <w:lvlJc w:val="left"/>
      <w:pPr>
        <w:ind w:left="5769" w:hanging="360"/>
      </w:pPr>
      <w:rPr>
        <w:rFonts w:hint="default"/>
        <w:lang w:val="pt-br" w:eastAsia="en-US" w:bidi="ar-SA"/>
      </w:rPr>
    </w:lvl>
    <w:lvl w:ilvl="4">
      <w:start w:val="0"/>
      <w:numFmt w:val="bullet"/>
      <w:lvlText w:val="•"/>
      <w:lvlJc w:val="left"/>
      <w:pPr>
        <w:ind w:left="6646" w:hanging="360"/>
      </w:pPr>
      <w:rPr>
        <w:rFonts w:hint="default"/>
        <w:lang w:val="pt-br" w:eastAsia="en-US" w:bidi="ar-SA"/>
      </w:rPr>
    </w:lvl>
    <w:lvl w:ilvl="5">
      <w:start w:val="0"/>
      <w:numFmt w:val="bullet"/>
      <w:lvlText w:val="•"/>
      <w:lvlJc w:val="left"/>
      <w:pPr>
        <w:ind w:left="7523" w:hanging="360"/>
      </w:pPr>
      <w:rPr>
        <w:rFonts w:hint="default"/>
        <w:lang w:val="pt-br" w:eastAsia="en-US" w:bidi="ar-SA"/>
      </w:rPr>
    </w:lvl>
    <w:lvl w:ilvl="6">
      <w:start w:val="0"/>
      <w:numFmt w:val="bullet"/>
      <w:lvlText w:val="•"/>
      <w:lvlJc w:val="left"/>
      <w:pPr>
        <w:ind w:left="8399" w:hanging="360"/>
      </w:pPr>
      <w:rPr>
        <w:rFonts w:hint="default"/>
        <w:lang w:val="pt-br" w:eastAsia="en-US" w:bidi="ar-SA"/>
      </w:rPr>
    </w:lvl>
    <w:lvl w:ilvl="7">
      <w:start w:val="0"/>
      <w:numFmt w:val="bullet"/>
      <w:lvlText w:val="•"/>
      <w:lvlJc w:val="left"/>
      <w:pPr>
        <w:ind w:left="9276" w:hanging="360"/>
      </w:pPr>
      <w:rPr>
        <w:rFonts w:hint="default"/>
        <w:lang w:val="pt-br" w:eastAsia="en-US" w:bidi="ar-SA"/>
      </w:rPr>
    </w:lvl>
    <w:lvl w:ilvl="8">
      <w:start w:val="0"/>
      <w:numFmt w:val="bullet"/>
      <w:lvlText w:val="•"/>
      <w:lvlJc w:val="left"/>
      <w:pPr>
        <w:ind w:left="10153" w:hanging="360"/>
      </w:pPr>
      <w:rPr>
        <w:rFonts w:hint="default"/>
        <w:lang w:val="pt-br" w:eastAsia="en-US" w:bidi="ar-SA"/>
      </w:rPr>
    </w:lvl>
  </w:abstractNum>
  <w:abstractNum w:abstractNumId="7">
    <w:multiLevelType w:val="hybridMultilevel"/>
    <w:lvl w:ilvl="0">
      <w:start w:val="1"/>
      <w:numFmt w:val="lowerLetter"/>
      <w:lvlText w:val="%1)"/>
      <w:lvlJc w:val="left"/>
      <w:pPr>
        <w:ind w:left="2795" w:hanging="242"/>
        <w:jc w:val="left"/>
      </w:pPr>
      <w:rPr>
        <w:rFonts w:hint="default" w:ascii="Calibri" w:hAnsi="Calibri" w:eastAsia="Calibri" w:cs="Calibri"/>
        <w:w w:val="100"/>
        <w:sz w:val="24"/>
        <w:szCs w:val="24"/>
        <w:lang w:val="pt-br" w:eastAsia="en-US" w:bidi="ar-SA"/>
      </w:rPr>
    </w:lvl>
    <w:lvl w:ilvl="1">
      <w:start w:val="0"/>
      <w:numFmt w:val="bullet"/>
      <w:lvlText w:val="•"/>
      <w:lvlJc w:val="left"/>
      <w:pPr>
        <w:ind w:left="3710" w:hanging="242"/>
      </w:pPr>
      <w:rPr>
        <w:rFonts w:hint="default"/>
        <w:lang w:val="pt-br" w:eastAsia="en-US" w:bidi="ar-SA"/>
      </w:rPr>
    </w:lvl>
    <w:lvl w:ilvl="2">
      <w:start w:val="0"/>
      <w:numFmt w:val="bullet"/>
      <w:lvlText w:val="•"/>
      <w:lvlJc w:val="left"/>
      <w:pPr>
        <w:ind w:left="4621" w:hanging="242"/>
      </w:pPr>
      <w:rPr>
        <w:rFonts w:hint="default"/>
        <w:lang w:val="pt-br" w:eastAsia="en-US" w:bidi="ar-SA"/>
      </w:rPr>
    </w:lvl>
    <w:lvl w:ilvl="3">
      <w:start w:val="0"/>
      <w:numFmt w:val="bullet"/>
      <w:lvlText w:val="•"/>
      <w:lvlJc w:val="left"/>
      <w:pPr>
        <w:ind w:left="5531" w:hanging="242"/>
      </w:pPr>
      <w:rPr>
        <w:rFonts w:hint="default"/>
        <w:lang w:val="pt-br" w:eastAsia="en-US" w:bidi="ar-SA"/>
      </w:rPr>
    </w:lvl>
    <w:lvl w:ilvl="4">
      <w:start w:val="0"/>
      <w:numFmt w:val="bullet"/>
      <w:lvlText w:val="•"/>
      <w:lvlJc w:val="left"/>
      <w:pPr>
        <w:ind w:left="6442" w:hanging="242"/>
      </w:pPr>
      <w:rPr>
        <w:rFonts w:hint="default"/>
        <w:lang w:val="pt-br" w:eastAsia="en-US" w:bidi="ar-SA"/>
      </w:rPr>
    </w:lvl>
    <w:lvl w:ilvl="5">
      <w:start w:val="0"/>
      <w:numFmt w:val="bullet"/>
      <w:lvlText w:val="•"/>
      <w:lvlJc w:val="left"/>
      <w:pPr>
        <w:ind w:left="7353" w:hanging="242"/>
      </w:pPr>
      <w:rPr>
        <w:rFonts w:hint="default"/>
        <w:lang w:val="pt-br" w:eastAsia="en-US" w:bidi="ar-SA"/>
      </w:rPr>
    </w:lvl>
    <w:lvl w:ilvl="6">
      <w:start w:val="0"/>
      <w:numFmt w:val="bullet"/>
      <w:lvlText w:val="•"/>
      <w:lvlJc w:val="left"/>
      <w:pPr>
        <w:ind w:left="8263" w:hanging="242"/>
      </w:pPr>
      <w:rPr>
        <w:rFonts w:hint="default"/>
        <w:lang w:val="pt-br" w:eastAsia="en-US" w:bidi="ar-SA"/>
      </w:rPr>
    </w:lvl>
    <w:lvl w:ilvl="7">
      <w:start w:val="0"/>
      <w:numFmt w:val="bullet"/>
      <w:lvlText w:val="•"/>
      <w:lvlJc w:val="left"/>
      <w:pPr>
        <w:ind w:left="9174" w:hanging="242"/>
      </w:pPr>
      <w:rPr>
        <w:rFonts w:hint="default"/>
        <w:lang w:val="pt-br" w:eastAsia="en-US" w:bidi="ar-SA"/>
      </w:rPr>
    </w:lvl>
    <w:lvl w:ilvl="8">
      <w:start w:val="0"/>
      <w:numFmt w:val="bullet"/>
      <w:lvlText w:val="•"/>
      <w:lvlJc w:val="left"/>
      <w:pPr>
        <w:ind w:left="10085" w:hanging="242"/>
      </w:pPr>
      <w:rPr>
        <w:rFonts w:hint="default"/>
        <w:lang w:val="pt-br" w:eastAsia="en-US" w:bidi="ar-SA"/>
      </w:rPr>
    </w:lvl>
  </w:abstractNum>
  <w:abstractNum w:abstractNumId="6">
    <w:multiLevelType w:val="hybridMultilevel"/>
    <w:lvl w:ilvl="0">
      <w:start w:val="1"/>
      <w:numFmt w:val="lowerLetter"/>
      <w:lvlText w:val="%1."/>
      <w:lvlJc w:val="left"/>
      <w:pPr>
        <w:ind w:left="3994" w:hanging="360"/>
        <w:jc w:val="left"/>
      </w:pPr>
      <w:rPr>
        <w:rFonts w:hint="default" w:ascii="Calibri" w:hAnsi="Calibri" w:eastAsia="Calibri" w:cs="Calibri"/>
        <w:w w:val="100"/>
        <w:sz w:val="24"/>
        <w:szCs w:val="24"/>
        <w:lang w:val="pt-br" w:eastAsia="en-US" w:bidi="ar-SA"/>
      </w:rPr>
    </w:lvl>
    <w:lvl w:ilvl="1">
      <w:start w:val="0"/>
      <w:numFmt w:val="bullet"/>
      <w:lvlText w:val="•"/>
      <w:lvlJc w:val="left"/>
      <w:pPr>
        <w:ind w:left="4790" w:hanging="360"/>
      </w:pPr>
      <w:rPr>
        <w:rFonts w:hint="default"/>
        <w:lang w:val="pt-br" w:eastAsia="en-US" w:bidi="ar-SA"/>
      </w:rPr>
    </w:lvl>
    <w:lvl w:ilvl="2">
      <w:start w:val="0"/>
      <w:numFmt w:val="bullet"/>
      <w:lvlText w:val="•"/>
      <w:lvlJc w:val="left"/>
      <w:pPr>
        <w:ind w:left="5581" w:hanging="360"/>
      </w:pPr>
      <w:rPr>
        <w:rFonts w:hint="default"/>
        <w:lang w:val="pt-br" w:eastAsia="en-US" w:bidi="ar-SA"/>
      </w:rPr>
    </w:lvl>
    <w:lvl w:ilvl="3">
      <w:start w:val="0"/>
      <w:numFmt w:val="bullet"/>
      <w:lvlText w:val="•"/>
      <w:lvlJc w:val="left"/>
      <w:pPr>
        <w:ind w:left="6371" w:hanging="360"/>
      </w:pPr>
      <w:rPr>
        <w:rFonts w:hint="default"/>
        <w:lang w:val="pt-br" w:eastAsia="en-US" w:bidi="ar-SA"/>
      </w:rPr>
    </w:lvl>
    <w:lvl w:ilvl="4">
      <w:start w:val="0"/>
      <w:numFmt w:val="bullet"/>
      <w:lvlText w:val="•"/>
      <w:lvlJc w:val="left"/>
      <w:pPr>
        <w:ind w:left="7162" w:hanging="360"/>
      </w:pPr>
      <w:rPr>
        <w:rFonts w:hint="default"/>
        <w:lang w:val="pt-br" w:eastAsia="en-US" w:bidi="ar-SA"/>
      </w:rPr>
    </w:lvl>
    <w:lvl w:ilvl="5">
      <w:start w:val="0"/>
      <w:numFmt w:val="bullet"/>
      <w:lvlText w:val="•"/>
      <w:lvlJc w:val="left"/>
      <w:pPr>
        <w:ind w:left="7953" w:hanging="360"/>
      </w:pPr>
      <w:rPr>
        <w:rFonts w:hint="default"/>
        <w:lang w:val="pt-br" w:eastAsia="en-US" w:bidi="ar-SA"/>
      </w:rPr>
    </w:lvl>
    <w:lvl w:ilvl="6">
      <w:start w:val="0"/>
      <w:numFmt w:val="bullet"/>
      <w:lvlText w:val="•"/>
      <w:lvlJc w:val="left"/>
      <w:pPr>
        <w:ind w:left="8743" w:hanging="360"/>
      </w:pPr>
      <w:rPr>
        <w:rFonts w:hint="default"/>
        <w:lang w:val="pt-br" w:eastAsia="en-US" w:bidi="ar-SA"/>
      </w:rPr>
    </w:lvl>
    <w:lvl w:ilvl="7">
      <w:start w:val="0"/>
      <w:numFmt w:val="bullet"/>
      <w:lvlText w:val="•"/>
      <w:lvlJc w:val="left"/>
      <w:pPr>
        <w:ind w:left="9534" w:hanging="360"/>
      </w:pPr>
      <w:rPr>
        <w:rFonts w:hint="default"/>
        <w:lang w:val="pt-br" w:eastAsia="en-US" w:bidi="ar-SA"/>
      </w:rPr>
    </w:lvl>
    <w:lvl w:ilvl="8">
      <w:start w:val="0"/>
      <w:numFmt w:val="bullet"/>
      <w:lvlText w:val="•"/>
      <w:lvlJc w:val="left"/>
      <w:pPr>
        <w:ind w:left="10325" w:hanging="360"/>
      </w:pPr>
      <w:rPr>
        <w:rFonts w:hint="default"/>
        <w:lang w:val="pt-br" w:eastAsia="en-US" w:bidi="ar-SA"/>
      </w:rPr>
    </w:lvl>
  </w:abstractNum>
  <w:abstractNum w:abstractNumId="5">
    <w:multiLevelType w:val="hybridMultilevel"/>
    <w:lvl w:ilvl="0">
      <w:start w:val="1"/>
      <w:numFmt w:val="upperLetter"/>
      <w:lvlText w:val="%1."/>
      <w:lvlJc w:val="left"/>
      <w:pPr>
        <w:ind w:left="2914" w:hanging="360"/>
        <w:jc w:val="left"/>
      </w:pPr>
      <w:rPr>
        <w:rFonts w:hint="default" w:ascii="Calibri" w:hAnsi="Calibri" w:eastAsia="Calibri" w:cs="Calibri"/>
        <w:b/>
        <w:bCs/>
        <w:w w:val="100"/>
        <w:sz w:val="24"/>
        <w:szCs w:val="24"/>
        <w:lang w:val="pt-br" w:eastAsia="en-US" w:bidi="ar-SA"/>
      </w:rPr>
    </w:lvl>
    <w:lvl w:ilvl="1">
      <w:start w:val="1"/>
      <w:numFmt w:val="upperRoman"/>
      <w:lvlText w:val="%2."/>
      <w:lvlJc w:val="left"/>
      <w:pPr>
        <w:ind w:left="3274" w:hanging="491"/>
        <w:jc w:val="right"/>
      </w:pPr>
      <w:rPr>
        <w:rFonts w:hint="default"/>
        <w:b/>
        <w:bCs/>
        <w:w w:val="100"/>
        <w:lang w:val="pt-br" w:eastAsia="en-US" w:bidi="ar-SA"/>
      </w:rPr>
    </w:lvl>
    <w:lvl w:ilvl="2">
      <w:start w:val="1"/>
      <w:numFmt w:val="lowerLetter"/>
      <w:lvlText w:val="%3)"/>
      <w:lvlJc w:val="left"/>
      <w:pPr>
        <w:ind w:left="3687" w:hanging="284"/>
        <w:jc w:val="left"/>
      </w:pPr>
      <w:rPr>
        <w:rFonts w:hint="default" w:ascii="Calibri" w:hAnsi="Calibri" w:eastAsia="Calibri" w:cs="Calibri"/>
        <w:w w:val="100"/>
        <w:sz w:val="24"/>
        <w:szCs w:val="24"/>
        <w:lang w:val="pt-br" w:eastAsia="en-US" w:bidi="ar-SA"/>
      </w:rPr>
    </w:lvl>
    <w:lvl w:ilvl="3">
      <w:start w:val="0"/>
      <w:numFmt w:val="bullet"/>
      <w:lvlText w:val="•"/>
      <w:lvlJc w:val="left"/>
      <w:pPr>
        <w:ind w:left="3680" w:hanging="284"/>
      </w:pPr>
      <w:rPr>
        <w:rFonts w:hint="default"/>
        <w:lang w:val="pt-br" w:eastAsia="en-US" w:bidi="ar-SA"/>
      </w:rPr>
    </w:lvl>
    <w:lvl w:ilvl="4">
      <w:start w:val="0"/>
      <w:numFmt w:val="bullet"/>
      <w:lvlText w:val="•"/>
      <w:lvlJc w:val="left"/>
      <w:pPr>
        <w:ind w:left="4855" w:hanging="284"/>
      </w:pPr>
      <w:rPr>
        <w:rFonts w:hint="default"/>
        <w:lang w:val="pt-br" w:eastAsia="en-US" w:bidi="ar-SA"/>
      </w:rPr>
    </w:lvl>
    <w:lvl w:ilvl="5">
      <w:start w:val="0"/>
      <w:numFmt w:val="bullet"/>
      <w:lvlText w:val="•"/>
      <w:lvlJc w:val="left"/>
      <w:pPr>
        <w:ind w:left="6030" w:hanging="284"/>
      </w:pPr>
      <w:rPr>
        <w:rFonts w:hint="default"/>
        <w:lang w:val="pt-br" w:eastAsia="en-US" w:bidi="ar-SA"/>
      </w:rPr>
    </w:lvl>
    <w:lvl w:ilvl="6">
      <w:start w:val="0"/>
      <w:numFmt w:val="bullet"/>
      <w:lvlText w:val="•"/>
      <w:lvlJc w:val="left"/>
      <w:pPr>
        <w:ind w:left="7205" w:hanging="284"/>
      </w:pPr>
      <w:rPr>
        <w:rFonts w:hint="default"/>
        <w:lang w:val="pt-br" w:eastAsia="en-US" w:bidi="ar-SA"/>
      </w:rPr>
    </w:lvl>
    <w:lvl w:ilvl="7">
      <w:start w:val="0"/>
      <w:numFmt w:val="bullet"/>
      <w:lvlText w:val="•"/>
      <w:lvlJc w:val="left"/>
      <w:pPr>
        <w:ind w:left="8380" w:hanging="284"/>
      </w:pPr>
      <w:rPr>
        <w:rFonts w:hint="default"/>
        <w:lang w:val="pt-br" w:eastAsia="en-US" w:bidi="ar-SA"/>
      </w:rPr>
    </w:lvl>
    <w:lvl w:ilvl="8">
      <w:start w:val="0"/>
      <w:numFmt w:val="bullet"/>
      <w:lvlText w:val="•"/>
      <w:lvlJc w:val="left"/>
      <w:pPr>
        <w:ind w:left="9556" w:hanging="284"/>
      </w:pPr>
      <w:rPr>
        <w:rFonts w:hint="default"/>
        <w:lang w:val="pt-br" w:eastAsia="en-US" w:bidi="ar-SA"/>
      </w:rPr>
    </w:lvl>
  </w:abstractNum>
  <w:abstractNum w:abstractNumId="4">
    <w:multiLevelType w:val="hybridMultilevel"/>
    <w:lvl w:ilvl="0">
      <w:start w:val="0"/>
      <w:numFmt w:val="bullet"/>
      <w:lvlText w:val=""/>
      <w:lvlJc w:val="left"/>
      <w:pPr>
        <w:ind w:left="2834" w:hanging="281"/>
      </w:pPr>
      <w:rPr>
        <w:rFonts w:hint="default" w:ascii="Symbol" w:hAnsi="Symbol" w:eastAsia="Symbol" w:cs="Symbol"/>
        <w:w w:val="100"/>
        <w:sz w:val="24"/>
        <w:szCs w:val="24"/>
        <w:lang w:val="pt-br" w:eastAsia="en-US" w:bidi="ar-SA"/>
      </w:rPr>
    </w:lvl>
    <w:lvl w:ilvl="1">
      <w:start w:val="0"/>
      <w:numFmt w:val="bullet"/>
      <w:lvlText w:val="•"/>
      <w:lvlJc w:val="left"/>
      <w:pPr>
        <w:ind w:left="3746" w:hanging="281"/>
      </w:pPr>
      <w:rPr>
        <w:rFonts w:hint="default"/>
        <w:lang w:val="pt-br" w:eastAsia="en-US" w:bidi="ar-SA"/>
      </w:rPr>
    </w:lvl>
    <w:lvl w:ilvl="2">
      <w:start w:val="0"/>
      <w:numFmt w:val="bullet"/>
      <w:lvlText w:val="•"/>
      <w:lvlJc w:val="left"/>
      <w:pPr>
        <w:ind w:left="4653" w:hanging="281"/>
      </w:pPr>
      <w:rPr>
        <w:rFonts w:hint="default"/>
        <w:lang w:val="pt-br" w:eastAsia="en-US" w:bidi="ar-SA"/>
      </w:rPr>
    </w:lvl>
    <w:lvl w:ilvl="3">
      <w:start w:val="0"/>
      <w:numFmt w:val="bullet"/>
      <w:lvlText w:val="•"/>
      <w:lvlJc w:val="left"/>
      <w:pPr>
        <w:ind w:left="5559" w:hanging="281"/>
      </w:pPr>
      <w:rPr>
        <w:rFonts w:hint="default"/>
        <w:lang w:val="pt-br" w:eastAsia="en-US" w:bidi="ar-SA"/>
      </w:rPr>
    </w:lvl>
    <w:lvl w:ilvl="4">
      <w:start w:val="0"/>
      <w:numFmt w:val="bullet"/>
      <w:lvlText w:val="•"/>
      <w:lvlJc w:val="left"/>
      <w:pPr>
        <w:ind w:left="6466" w:hanging="281"/>
      </w:pPr>
      <w:rPr>
        <w:rFonts w:hint="default"/>
        <w:lang w:val="pt-br" w:eastAsia="en-US" w:bidi="ar-SA"/>
      </w:rPr>
    </w:lvl>
    <w:lvl w:ilvl="5">
      <w:start w:val="0"/>
      <w:numFmt w:val="bullet"/>
      <w:lvlText w:val="•"/>
      <w:lvlJc w:val="left"/>
      <w:pPr>
        <w:ind w:left="7373" w:hanging="281"/>
      </w:pPr>
      <w:rPr>
        <w:rFonts w:hint="default"/>
        <w:lang w:val="pt-br" w:eastAsia="en-US" w:bidi="ar-SA"/>
      </w:rPr>
    </w:lvl>
    <w:lvl w:ilvl="6">
      <w:start w:val="0"/>
      <w:numFmt w:val="bullet"/>
      <w:lvlText w:val="•"/>
      <w:lvlJc w:val="left"/>
      <w:pPr>
        <w:ind w:left="8279" w:hanging="281"/>
      </w:pPr>
      <w:rPr>
        <w:rFonts w:hint="default"/>
        <w:lang w:val="pt-br" w:eastAsia="en-US" w:bidi="ar-SA"/>
      </w:rPr>
    </w:lvl>
    <w:lvl w:ilvl="7">
      <w:start w:val="0"/>
      <w:numFmt w:val="bullet"/>
      <w:lvlText w:val="•"/>
      <w:lvlJc w:val="left"/>
      <w:pPr>
        <w:ind w:left="9186" w:hanging="281"/>
      </w:pPr>
      <w:rPr>
        <w:rFonts w:hint="default"/>
        <w:lang w:val="pt-br" w:eastAsia="en-US" w:bidi="ar-SA"/>
      </w:rPr>
    </w:lvl>
    <w:lvl w:ilvl="8">
      <w:start w:val="0"/>
      <w:numFmt w:val="bullet"/>
      <w:lvlText w:val="•"/>
      <w:lvlJc w:val="left"/>
      <w:pPr>
        <w:ind w:left="10093" w:hanging="281"/>
      </w:pPr>
      <w:rPr>
        <w:rFonts w:hint="default"/>
        <w:lang w:val="pt-br" w:eastAsia="en-US" w:bidi="ar-SA"/>
      </w:rPr>
    </w:lvl>
  </w:abstractNum>
  <w:abstractNum w:abstractNumId="3">
    <w:multiLevelType w:val="hybridMultilevel"/>
    <w:lvl w:ilvl="0">
      <w:start w:val="3"/>
      <w:numFmt w:val="decimal"/>
      <w:lvlText w:val="%1"/>
      <w:lvlJc w:val="left"/>
      <w:pPr>
        <w:ind w:left="2973" w:hanging="420"/>
        <w:jc w:val="left"/>
      </w:pPr>
      <w:rPr>
        <w:rFonts w:hint="default"/>
        <w:lang w:val="pt-br" w:eastAsia="en-US" w:bidi="ar-SA"/>
      </w:rPr>
    </w:lvl>
    <w:lvl w:ilvl="1">
      <w:start w:val="1"/>
      <w:numFmt w:val="decimal"/>
      <w:lvlText w:val="%1.%2."/>
      <w:lvlJc w:val="left"/>
      <w:pPr>
        <w:ind w:left="2973" w:hanging="420"/>
        <w:jc w:val="left"/>
      </w:pPr>
      <w:rPr>
        <w:rFonts w:hint="default" w:ascii="Calibri" w:hAnsi="Calibri" w:eastAsia="Calibri" w:cs="Calibri"/>
        <w:w w:val="100"/>
        <w:sz w:val="24"/>
        <w:szCs w:val="24"/>
        <w:lang w:val="pt-br" w:eastAsia="en-US" w:bidi="ar-SA"/>
      </w:rPr>
    </w:lvl>
    <w:lvl w:ilvl="2">
      <w:start w:val="0"/>
      <w:numFmt w:val="bullet"/>
      <w:lvlText w:val="•"/>
      <w:lvlJc w:val="left"/>
      <w:pPr>
        <w:ind w:left="4765" w:hanging="420"/>
      </w:pPr>
      <w:rPr>
        <w:rFonts w:hint="default"/>
        <w:lang w:val="pt-br" w:eastAsia="en-US" w:bidi="ar-SA"/>
      </w:rPr>
    </w:lvl>
    <w:lvl w:ilvl="3">
      <w:start w:val="0"/>
      <w:numFmt w:val="bullet"/>
      <w:lvlText w:val="•"/>
      <w:lvlJc w:val="left"/>
      <w:pPr>
        <w:ind w:left="5657" w:hanging="420"/>
      </w:pPr>
      <w:rPr>
        <w:rFonts w:hint="default"/>
        <w:lang w:val="pt-br" w:eastAsia="en-US" w:bidi="ar-SA"/>
      </w:rPr>
    </w:lvl>
    <w:lvl w:ilvl="4">
      <w:start w:val="0"/>
      <w:numFmt w:val="bullet"/>
      <w:lvlText w:val="•"/>
      <w:lvlJc w:val="left"/>
      <w:pPr>
        <w:ind w:left="6550" w:hanging="420"/>
      </w:pPr>
      <w:rPr>
        <w:rFonts w:hint="default"/>
        <w:lang w:val="pt-br" w:eastAsia="en-US" w:bidi="ar-SA"/>
      </w:rPr>
    </w:lvl>
    <w:lvl w:ilvl="5">
      <w:start w:val="0"/>
      <w:numFmt w:val="bullet"/>
      <w:lvlText w:val="•"/>
      <w:lvlJc w:val="left"/>
      <w:pPr>
        <w:ind w:left="7443" w:hanging="420"/>
      </w:pPr>
      <w:rPr>
        <w:rFonts w:hint="default"/>
        <w:lang w:val="pt-br" w:eastAsia="en-US" w:bidi="ar-SA"/>
      </w:rPr>
    </w:lvl>
    <w:lvl w:ilvl="6">
      <w:start w:val="0"/>
      <w:numFmt w:val="bullet"/>
      <w:lvlText w:val="•"/>
      <w:lvlJc w:val="left"/>
      <w:pPr>
        <w:ind w:left="8335" w:hanging="420"/>
      </w:pPr>
      <w:rPr>
        <w:rFonts w:hint="default"/>
        <w:lang w:val="pt-br" w:eastAsia="en-US" w:bidi="ar-SA"/>
      </w:rPr>
    </w:lvl>
    <w:lvl w:ilvl="7">
      <w:start w:val="0"/>
      <w:numFmt w:val="bullet"/>
      <w:lvlText w:val="•"/>
      <w:lvlJc w:val="left"/>
      <w:pPr>
        <w:ind w:left="9228" w:hanging="420"/>
      </w:pPr>
      <w:rPr>
        <w:rFonts w:hint="default"/>
        <w:lang w:val="pt-br" w:eastAsia="en-US" w:bidi="ar-SA"/>
      </w:rPr>
    </w:lvl>
    <w:lvl w:ilvl="8">
      <w:start w:val="0"/>
      <w:numFmt w:val="bullet"/>
      <w:lvlText w:val="•"/>
      <w:lvlJc w:val="left"/>
      <w:pPr>
        <w:ind w:left="10121" w:hanging="420"/>
      </w:pPr>
      <w:rPr>
        <w:rFonts w:hint="default"/>
        <w:lang w:val="pt-br" w:eastAsia="en-US" w:bidi="ar-SA"/>
      </w:rPr>
    </w:lvl>
  </w:abstractNum>
  <w:abstractNum w:abstractNumId="2">
    <w:multiLevelType w:val="hybridMultilevel"/>
    <w:lvl w:ilvl="0">
      <w:start w:val="1"/>
      <w:numFmt w:val="lowerRoman"/>
      <w:lvlText w:val="(%1)"/>
      <w:lvlJc w:val="left"/>
      <w:pPr>
        <w:ind w:left="4136" w:hanging="720"/>
        <w:jc w:val="left"/>
      </w:pPr>
      <w:rPr>
        <w:rFonts w:hint="default" w:ascii="Calibri" w:hAnsi="Calibri" w:eastAsia="Calibri" w:cs="Calibri"/>
        <w:b/>
        <w:bCs/>
        <w:w w:val="100"/>
        <w:sz w:val="24"/>
        <w:szCs w:val="24"/>
        <w:lang w:val="pt-br" w:eastAsia="en-US" w:bidi="ar-SA"/>
      </w:rPr>
    </w:lvl>
    <w:lvl w:ilvl="1">
      <w:start w:val="0"/>
      <w:numFmt w:val="bullet"/>
      <w:lvlText w:val="•"/>
      <w:lvlJc w:val="left"/>
      <w:pPr>
        <w:ind w:left="4916" w:hanging="720"/>
      </w:pPr>
      <w:rPr>
        <w:rFonts w:hint="default"/>
        <w:lang w:val="pt-br" w:eastAsia="en-US" w:bidi="ar-SA"/>
      </w:rPr>
    </w:lvl>
    <w:lvl w:ilvl="2">
      <w:start w:val="0"/>
      <w:numFmt w:val="bullet"/>
      <w:lvlText w:val="•"/>
      <w:lvlJc w:val="left"/>
      <w:pPr>
        <w:ind w:left="5693" w:hanging="720"/>
      </w:pPr>
      <w:rPr>
        <w:rFonts w:hint="default"/>
        <w:lang w:val="pt-br" w:eastAsia="en-US" w:bidi="ar-SA"/>
      </w:rPr>
    </w:lvl>
    <w:lvl w:ilvl="3">
      <w:start w:val="0"/>
      <w:numFmt w:val="bullet"/>
      <w:lvlText w:val="•"/>
      <w:lvlJc w:val="left"/>
      <w:pPr>
        <w:ind w:left="6469" w:hanging="720"/>
      </w:pPr>
      <w:rPr>
        <w:rFonts w:hint="default"/>
        <w:lang w:val="pt-br" w:eastAsia="en-US" w:bidi="ar-SA"/>
      </w:rPr>
    </w:lvl>
    <w:lvl w:ilvl="4">
      <w:start w:val="0"/>
      <w:numFmt w:val="bullet"/>
      <w:lvlText w:val="•"/>
      <w:lvlJc w:val="left"/>
      <w:pPr>
        <w:ind w:left="7246" w:hanging="720"/>
      </w:pPr>
      <w:rPr>
        <w:rFonts w:hint="default"/>
        <w:lang w:val="pt-br" w:eastAsia="en-US" w:bidi="ar-SA"/>
      </w:rPr>
    </w:lvl>
    <w:lvl w:ilvl="5">
      <w:start w:val="0"/>
      <w:numFmt w:val="bullet"/>
      <w:lvlText w:val="•"/>
      <w:lvlJc w:val="left"/>
      <w:pPr>
        <w:ind w:left="8023" w:hanging="720"/>
      </w:pPr>
      <w:rPr>
        <w:rFonts w:hint="default"/>
        <w:lang w:val="pt-br" w:eastAsia="en-US" w:bidi="ar-SA"/>
      </w:rPr>
    </w:lvl>
    <w:lvl w:ilvl="6">
      <w:start w:val="0"/>
      <w:numFmt w:val="bullet"/>
      <w:lvlText w:val="•"/>
      <w:lvlJc w:val="left"/>
      <w:pPr>
        <w:ind w:left="8799" w:hanging="720"/>
      </w:pPr>
      <w:rPr>
        <w:rFonts w:hint="default"/>
        <w:lang w:val="pt-br" w:eastAsia="en-US" w:bidi="ar-SA"/>
      </w:rPr>
    </w:lvl>
    <w:lvl w:ilvl="7">
      <w:start w:val="0"/>
      <w:numFmt w:val="bullet"/>
      <w:lvlText w:val="•"/>
      <w:lvlJc w:val="left"/>
      <w:pPr>
        <w:ind w:left="9576" w:hanging="720"/>
      </w:pPr>
      <w:rPr>
        <w:rFonts w:hint="default"/>
        <w:lang w:val="pt-br" w:eastAsia="en-US" w:bidi="ar-SA"/>
      </w:rPr>
    </w:lvl>
    <w:lvl w:ilvl="8">
      <w:start w:val="0"/>
      <w:numFmt w:val="bullet"/>
      <w:lvlText w:val="•"/>
      <w:lvlJc w:val="left"/>
      <w:pPr>
        <w:ind w:left="10353" w:hanging="720"/>
      </w:pPr>
      <w:rPr>
        <w:rFonts w:hint="default"/>
        <w:lang w:val="pt-br" w:eastAsia="en-US" w:bidi="ar-SA"/>
      </w:rPr>
    </w:lvl>
  </w:abstractNum>
  <w:abstractNum w:abstractNumId="1">
    <w:multiLevelType w:val="hybridMultilevel"/>
    <w:lvl w:ilvl="0">
      <w:start w:val="1"/>
      <w:numFmt w:val="decimal"/>
      <w:lvlText w:val="%1."/>
      <w:lvlJc w:val="left"/>
      <w:pPr>
        <w:ind w:left="2129" w:hanging="428"/>
        <w:jc w:val="left"/>
      </w:pPr>
      <w:rPr>
        <w:rFonts w:hint="default" w:ascii="Calibri" w:hAnsi="Calibri" w:eastAsia="Calibri" w:cs="Calibri"/>
        <w:b/>
        <w:bCs/>
        <w:color w:val="006666"/>
        <w:spacing w:val="-1"/>
        <w:w w:val="99"/>
        <w:sz w:val="32"/>
        <w:szCs w:val="32"/>
        <w:lang w:val="pt-br" w:eastAsia="en-US" w:bidi="ar-SA"/>
      </w:rPr>
    </w:lvl>
    <w:lvl w:ilvl="1">
      <w:start w:val="1"/>
      <w:numFmt w:val="decimal"/>
      <w:lvlText w:val="%1.%2"/>
      <w:lvlJc w:val="left"/>
      <w:pPr>
        <w:ind w:left="2978" w:hanging="425"/>
        <w:jc w:val="left"/>
      </w:pPr>
      <w:rPr>
        <w:rFonts w:hint="default" w:ascii="Calibri" w:hAnsi="Calibri" w:eastAsia="Calibri" w:cs="Calibri"/>
        <w:b/>
        <w:bCs/>
        <w:color w:val="006666"/>
        <w:spacing w:val="-1"/>
        <w:w w:val="100"/>
        <w:sz w:val="28"/>
        <w:szCs w:val="28"/>
        <w:lang w:val="pt-br" w:eastAsia="en-US" w:bidi="ar-SA"/>
      </w:rPr>
    </w:lvl>
    <w:lvl w:ilvl="2">
      <w:start w:val="1"/>
      <w:numFmt w:val="decimal"/>
      <w:lvlText w:val="%1.%2.%3"/>
      <w:lvlJc w:val="left"/>
      <w:pPr>
        <w:ind w:left="3120" w:hanging="567"/>
        <w:jc w:val="left"/>
      </w:pPr>
      <w:rPr>
        <w:rFonts w:hint="default" w:ascii="Calibri" w:hAnsi="Calibri" w:eastAsia="Calibri" w:cs="Calibri"/>
        <w:b/>
        <w:bCs/>
        <w:color w:val="006666"/>
        <w:w w:val="99"/>
        <w:sz w:val="26"/>
        <w:szCs w:val="26"/>
        <w:lang w:val="pt-br" w:eastAsia="en-US" w:bidi="ar-SA"/>
      </w:rPr>
    </w:lvl>
    <w:lvl w:ilvl="3">
      <w:start w:val="1"/>
      <w:numFmt w:val="lowerLetter"/>
      <w:lvlText w:val="%4."/>
      <w:lvlJc w:val="left"/>
      <w:pPr>
        <w:ind w:left="3829" w:hanging="425"/>
        <w:jc w:val="left"/>
      </w:pPr>
      <w:rPr>
        <w:rFonts w:hint="default" w:ascii="Calibri" w:hAnsi="Calibri" w:eastAsia="Calibri" w:cs="Calibri"/>
        <w:b/>
        <w:bCs/>
        <w:spacing w:val="-1"/>
        <w:w w:val="100"/>
        <w:sz w:val="24"/>
        <w:szCs w:val="24"/>
        <w:lang w:val="pt-br" w:eastAsia="en-US" w:bidi="ar-SA"/>
      </w:rPr>
    </w:lvl>
    <w:lvl w:ilvl="4">
      <w:start w:val="0"/>
      <w:numFmt w:val="bullet"/>
      <w:lvlText w:val="•"/>
      <w:lvlJc w:val="left"/>
      <w:pPr>
        <w:ind w:left="3820" w:hanging="425"/>
      </w:pPr>
      <w:rPr>
        <w:rFonts w:hint="default"/>
        <w:lang w:val="pt-br" w:eastAsia="en-US" w:bidi="ar-SA"/>
      </w:rPr>
    </w:lvl>
    <w:lvl w:ilvl="5">
      <w:start w:val="0"/>
      <w:numFmt w:val="bullet"/>
      <w:lvlText w:val="•"/>
      <w:lvlJc w:val="left"/>
      <w:pPr>
        <w:ind w:left="5167" w:hanging="425"/>
      </w:pPr>
      <w:rPr>
        <w:rFonts w:hint="default"/>
        <w:lang w:val="pt-br" w:eastAsia="en-US" w:bidi="ar-SA"/>
      </w:rPr>
    </w:lvl>
    <w:lvl w:ilvl="6">
      <w:start w:val="0"/>
      <w:numFmt w:val="bullet"/>
      <w:lvlText w:val="•"/>
      <w:lvlJc w:val="left"/>
      <w:pPr>
        <w:ind w:left="6515" w:hanging="425"/>
      </w:pPr>
      <w:rPr>
        <w:rFonts w:hint="default"/>
        <w:lang w:val="pt-br" w:eastAsia="en-US" w:bidi="ar-SA"/>
      </w:rPr>
    </w:lvl>
    <w:lvl w:ilvl="7">
      <w:start w:val="0"/>
      <w:numFmt w:val="bullet"/>
      <w:lvlText w:val="•"/>
      <w:lvlJc w:val="left"/>
      <w:pPr>
        <w:ind w:left="7863" w:hanging="425"/>
      </w:pPr>
      <w:rPr>
        <w:rFonts w:hint="default"/>
        <w:lang w:val="pt-br" w:eastAsia="en-US" w:bidi="ar-SA"/>
      </w:rPr>
    </w:lvl>
    <w:lvl w:ilvl="8">
      <w:start w:val="0"/>
      <w:numFmt w:val="bullet"/>
      <w:lvlText w:val="•"/>
      <w:lvlJc w:val="left"/>
      <w:pPr>
        <w:ind w:left="9210" w:hanging="425"/>
      </w:pPr>
      <w:rPr>
        <w:rFonts w:hint="default"/>
        <w:lang w:val="pt-br" w:eastAsia="en-US" w:bidi="ar-SA"/>
      </w:rPr>
    </w:lvl>
  </w:abstractNum>
  <w:abstractNum w:abstractNumId="0">
    <w:multiLevelType w:val="hybridMultilevel"/>
    <w:lvl w:ilvl="0">
      <w:start w:val="1"/>
      <w:numFmt w:val="decimal"/>
      <w:lvlText w:val="%1."/>
      <w:lvlJc w:val="left"/>
      <w:pPr>
        <w:ind w:left="2141" w:hanging="440"/>
        <w:jc w:val="left"/>
      </w:pPr>
      <w:rPr>
        <w:rFonts w:hint="default" w:ascii="Calibri" w:hAnsi="Calibri" w:eastAsia="Calibri" w:cs="Calibri"/>
        <w:b/>
        <w:bCs/>
        <w:spacing w:val="-1"/>
        <w:w w:val="99"/>
        <w:sz w:val="20"/>
        <w:szCs w:val="20"/>
        <w:lang w:val="pt-br" w:eastAsia="en-US" w:bidi="ar-SA"/>
      </w:rPr>
    </w:lvl>
    <w:lvl w:ilvl="1">
      <w:start w:val="1"/>
      <w:numFmt w:val="decimal"/>
      <w:lvlText w:val="%1.%2"/>
      <w:lvlJc w:val="left"/>
      <w:pPr>
        <w:ind w:left="2582" w:hanging="660"/>
        <w:jc w:val="left"/>
      </w:pPr>
      <w:rPr>
        <w:rFonts w:hint="default" w:ascii="Calibri" w:hAnsi="Calibri" w:eastAsia="Calibri" w:cs="Calibri"/>
        <w:w w:val="99"/>
        <w:sz w:val="20"/>
        <w:szCs w:val="20"/>
        <w:lang w:val="pt-br" w:eastAsia="en-US" w:bidi="ar-SA"/>
      </w:rPr>
    </w:lvl>
    <w:lvl w:ilvl="2">
      <w:start w:val="1"/>
      <w:numFmt w:val="decimal"/>
      <w:lvlText w:val="%1.%2.%3"/>
      <w:lvlJc w:val="left"/>
      <w:pPr>
        <w:ind w:left="2801" w:hanging="660"/>
        <w:jc w:val="left"/>
      </w:pPr>
      <w:rPr>
        <w:rFonts w:hint="default" w:ascii="Calibri" w:hAnsi="Calibri" w:eastAsia="Calibri" w:cs="Calibri"/>
        <w:i/>
        <w:w w:val="99"/>
        <w:sz w:val="20"/>
        <w:szCs w:val="20"/>
        <w:lang w:val="pt-br" w:eastAsia="en-US" w:bidi="ar-SA"/>
      </w:rPr>
    </w:lvl>
    <w:lvl w:ilvl="3">
      <w:start w:val="0"/>
      <w:numFmt w:val="bullet"/>
      <w:lvlText w:val="•"/>
      <w:lvlJc w:val="left"/>
      <w:pPr>
        <w:ind w:left="3938" w:hanging="660"/>
      </w:pPr>
      <w:rPr>
        <w:rFonts w:hint="default"/>
        <w:lang w:val="pt-br" w:eastAsia="en-US" w:bidi="ar-SA"/>
      </w:rPr>
    </w:lvl>
    <w:lvl w:ilvl="4">
      <w:start w:val="0"/>
      <w:numFmt w:val="bullet"/>
      <w:lvlText w:val="•"/>
      <w:lvlJc w:val="left"/>
      <w:pPr>
        <w:ind w:left="5076" w:hanging="660"/>
      </w:pPr>
      <w:rPr>
        <w:rFonts w:hint="default"/>
        <w:lang w:val="pt-br" w:eastAsia="en-US" w:bidi="ar-SA"/>
      </w:rPr>
    </w:lvl>
    <w:lvl w:ilvl="5">
      <w:start w:val="0"/>
      <w:numFmt w:val="bullet"/>
      <w:lvlText w:val="•"/>
      <w:lvlJc w:val="left"/>
      <w:pPr>
        <w:ind w:left="6214" w:hanging="660"/>
      </w:pPr>
      <w:rPr>
        <w:rFonts w:hint="default"/>
        <w:lang w:val="pt-br" w:eastAsia="en-US" w:bidi="ar-SA"/>
      </w:rPr>
    </w:lvl>
    <w:lvl w:ilvl="6">
      <w:start w:val="0"/>
      <w:numFmt w:val="bullet"/>
      <w:lvlText w:val="•"/>
      <w:lvlJc w:val="left"/>
      <w:pPr>
        <w:ind w:left="7353" w:hanging="660"/>
      </w:pPr>
      <w:rPr>
        <w:rFonts w:hint="default"/>
        <w:lang w:val="pt-br" w:eastAsia="en-US" w:bidi="ar-SA"/>
      </w:rPr>
    </w:lvl>
    <w:lvl w:ilvl="7">
      <w:start w:val="0"/>
      <w:numFmt w:val="bullet"/>
      <w:lvlText w:val="•"/>
      <w:lvlJc w:val="left"/>
      <w:pPr>
        <w:ind w:left="8491" w:hanging="660"/>
      </w:pPr>
      <w:rPr>
        <w:rFonts w:hint="default"/>
        <w:lang w:val="pt-br" w:eastAsia="en-US" w:bidi="ar-SA"/>
      </w:rPr>
    </w:lvl>
    <w:lvl w:ilvl="8">
      <w:start w:val="0"/>
      <w:numFmt w:val="bullet"/>
      <w:lvlText w:val="•"/>
      <w:lvlJc w:val="left"/>
      <w:pPr>
        <w:ind w:left="9629" w:hanging="660"/>
      </w:pPr>
      <w:rPr>
        <w:rFonts w:hint="default"/>
        <w:lang w:val="pt-br"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br" w:eastAsia="en-US" w:bidi="ar-SA"/>
    </w:rPr>
  </w:style>
  <w:style w:styleId="TOC1" w:type="paragraph">
    <w:name w:val="TOC 1"/>
    <w:basedOn w:val="Normal"/>
    <w:uiPriority w:val="1"/>
    <w:qFormat/>
    <w:pPr>
      <w:spacing w:before="140"/>
      <w:ind w:left="2141" w:hanging="440"/>
    </w:pPr>
    <w:rPr>
      <w:rFonts w:ascii="Calibri" w:hAnsi="Calibri" w:eastAsia="Calibri" w:cs="Calibri"/>
      <w:b/>
      <w:bCs/>
      <w:sz w:val="20"/>
      <w:szCs w:val="20"/>
      <w:lang w:val="pt-br" w:eastAsia="en-US" w:bidi="ar-SA"/>
    </w:rPr>
  </w:style>
  <w:style w:styleId="TOC2" w:type="paragraph">
    <w:name w:val="TOC 2"/>
    <w:basedOn w:val="Normal"/>
    <w:uiPriority w:val="1"/>
    <w:qFormat/>
    <w:pPr>
      <w:spacing w:before="140"/>
      <w:ind w:left="2582" w:hanging="661"/>
    </w:pPr>
    <w:rPr>
      <w:rFonts w:ascii="Calibri" w:hAnsi="Calibri" w:eastAsia="Calibri" w:cs="Calibri"/>
      <w:sz w:val="16"/>
      <w:szCs w:val="16"/>
      <w:lang w:val="pt-br" w:eastAsia="en-US" w:bidi="ar-SA"/>
    </w:rPr>
  </w:style>
  <w:style w:styleId="TOC3" w:type="paragraph">
    <w:name w:val="TOC 3"/>
    <w:basedOn w:val="Normal"/>
    <w:uiPriority w:val="1"/>
    <w:qFormat/>
    <w:pPr>
      <w:spacing w:before="20"/>
      <w:ind w:left="2582" w:hanging="661"/>
    </w:pPr>
    <w:rPr>
      <w:rFonts w:ascii="Calibri" w:hAnsi="Calibri" w:eastAsia="Calibri" w:cs="Calibri"/>
      <w:b/>
      <w:bCs/>
      <w:i/>
      <w:lang w:val="pt-br" w:eastAsia="en-US" w:bidi="ar-SA"/>
    </w:rPr>
  </w:style>
  <w:style w:styleId="TOC4" w:type="paragraph">
    <w:name w:val="TOC 4"/>
    <w:basedOn w:val="Normal"/>
    <w:uiPriority w:val="1"/>
    <w:qFormat/>
    <w:pPr>
      <w:spacing w:before="19"/>
      <w:ind w:left="2801" w:hanging="661"/>
    </w:pPr>
    <w:rPr>
      <w:rFonts w:ascii="Calibri" w:hAnsi="Calibri" w:eastAsia="Calibri" w:cs="Calibri"/>
      <w:i/>
      <w:sz w:val="20"/>
      <w:szCs w:val="20"/>
      <w:lang w:val="pt-br" w:eastAsia="en-US" w:bidi="ar-SA"/>
    </w:rPr>
  </w:style>
  <w:style w:styleId="BodyText" w:type="paragraph">
    <w:name w:val="Body Text"/>
    <w:basedOn w:val="Normal"/>
    <w:uiPriority w:val="1"/>
    <w:qFormat/>
    <w:pPr/>
    <w:rPr>
      <w:rFonts w:ascii="Calibri" w:hAnsi="Calibri" w:eastAsia="Calibri" w:cs="Calibri"/>
      <w:sz w:val="24"/>
      <w:szCs w:val="24"/>
      <w:lang w:val="pt-br" w:eastAsia="en-US" w:bidi="ar-SA"/>
    </w:rPr>
  </w:style>
  <w:style w:styleId="Heading1" w:type="paragraph">
    <w:name w:val="Heading 1"/>
    <w:basedOn w:val="Normal"/>
    <w:uiPriority w:val="1"/>
    <w:qFormat/>
    <w:pPr>
      <w:spacing w:before="10"/>
      <w:ind w:left="113" w:right="174"/>
      <w:jc w:val="both"/>
      <w:outlineLvl w:val="1"/>
    </w:pPr>
    <w:rPr>
      <w:rFonts w:ascii="Calibri Light" w:hAnsi="Calibri Light" w:eastAsia="Calibri Light" w:cs="Calibri Light"/>
      <w:sz w:val="44"/>
      <w:szCs w:val="44"/>
      <w:lang w:val="pt-br" w:eastAsia="en-US" w:bidi="ar-SA"/>
    </w:rPr>
  </w:style>
  <w:style w:styleId="Heading2" w:type="paragraph">
    <w:name w:val="Heading 2"/>
    <w:basedOn w:val="Normal"/>
    <w:uiPriority w:val="1"/>
    <w:qFormat/>
    <w:pPr>
      <w:spacing w:before="35"/>
      <w:ind w:left="1702"/>
      <w:outlineLvl w:val="2"/>
    </w:pPr>
    <w:rPr>
      <w:rFonts w:ascii="Calibri" w:hAnsi="Calibri" w:eastAsia="Calibri" w:cs="Calibri"/>
      <w:b/>
      <w:bCs/>
      <w:sz w:val="32"/>
      <w:szCs w:val="32"/>
      <w:lang w:val="pt-br" w:eastAsia="en-US" w:bidi="ar-SA"/>
    </w:rPr>
  </w:style>
  <w:style w:styleId="Heading3" w:type="paragraph">
    <w:name w:val="Heading 3"/>
    <w:basedOn w:val="Normal"/>
    <w:uiPriority w:val="1"/>
    <w:qFormat/>
    <w:pPr>
      <w:ind w:left="2978" w:hanging="425"/>
      <w:outlineLvl w:val="3"/>
    </w:pPr>
    <w:rPr>
      <w:rFonts w:ascii="Calibri" w:hAnsi="Calibri" w:eastAsia="Calibri" w:cs="Calibri"/>
      <w:b/>
      <w:bCs/>
      <w:sz w:val="28"/>
      <w:szCs w:val="28"/>
      <w:lang w:val="pt-br" w:eastAsia="en-US" w:bidi="ar-SA"/>
    </w:rPr>
  </w:style>
  <w:style w:styleId="Heading4" w:type="paragraph">
    <w:name w:val="Heading 4"/>
    <w:basedOn w:val="Normal"/>
    <w:uiPriority w:val="1"/>
    <w:qFormat/>
    <w:pPr>
      <w:ind w:left="2834" w:hanging="567"/>
      <w:outlineLvl w:val="4"/>
    </w:pPr>
    <w:rPr>
      <w:rFonts w:ascii="Calibri" w:hAnsi="Calibri" w:eastAsia="Calibri" w:cs="Calibri"/>
      <w:b/>
      <w:bCs/>
      <w:sz w:val="26"/>
      <w:szCs w:val="26"/>
      <w:lang w:val="pt-br" w:eastAsia="en-US" w:bidi="ar-SA"/>
    </w:rPr>
  </w:style>
  <w:style w:styleId="Heading5" w:type="paragraph">
    <w:name w:val="Heading 5"/>
    <w:basedOn w:val="Normal"/>
    <w:uiPriority w:val="1"/>
    <w:qFormat/>
    <w:pPr>
      <w:ind w:left="1702"/>
      <w:outlineLvl w:val="5"/>
    </w:pPr>
    <w:rPr>
      <w:rFonts w:ascii="Calibri" w:hAnsi="Calibri" w:eastAsia="Calibri" w:cs="Calibri"/>
      <w:b/>
      <w:bCs/>
      <w:sz w:val="24"/>
      <w:szCs w:val="24"/>
      <w:lang w:val="pt-br" w:eastAsia="en-US" w:bidi="ar-SA"/>
    </w:rPr>
  </w:style>
  <w:style w:styleId="ListParagraph" w:type="paragraph">
    <w:name w:val="List Paragraph"/>
    <w:basedOn w:val="Normal"/>
    <w:uiPriority w:val="1"/>
    <w:qFormat/>
    <w:pPr>
      <w:ind w:left="2834" w:hanging="425"/>
    </w:pPr>
    <w:rPr>
      <w:rFonts w:ascii="Calibri" w:hAnsi="Calibri" w:eastAsia="Calibri" w:cs="Calibri"/>
      <w:lang w:val="pt-br" w:eastAsia="en-US" w:bidi="ar-SA"/>
    </w:rPr>
  </w:style>
  <w:style w:styleId="TableParagraph" w:type="paragraph">
    <w:name w:val="Table Paragraph"/>
    <w:basedOn w:val="Normal"/>
    <w:uiPriority w:val="1"/>
    <w:qFormat/>
    <w:pPr/>
    <w:rPr>
      <w:rFonts w:ascii="Calibri" w:hAnsi="Calibri" w:eastAsia="Calibri" w:cs="Calibri"/>
      <w:lang w:val="pt-b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hyperlink" Target="http://www.estrategiaods.org.br/"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transparencia.caubr.gov.br/deliberacaoplenaria-dpobr-0084-03/" TargetMode="Externa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mailto:planejamento@caubr.gov.br" TargetMode="Externa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eader" Target="header4.xml"/><Relationship Id="rId30" Type="http://schemas.openxmlformats.org/officeDocument/2006/relationships/footer" Target="footer4.xml"/><Relationship Id="rId31" Type="http://schemas.openxmlformats.org/officeDocument/2006/relationships/header" Target="header5.xml"/><Relationship Id="rId32" Type="http://schemas.openxmlformats.org/officeDocument/2006/relationships/footer" Target="footer5.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header" Target="header9.xml"/><Relationship Id="rId40" Type="http://schemas.openxmlformats.org/officeDocument/2006/relationships/footer" Target="footer9.xml"/><Relationship Id="rId41" Type="http://schemas.openxmlformats.org/officeDocument/2006/relationships/header" Target="header10.xml"/><Relationship Id="rId42" Type="http://schemas.openxmlformats.org/officeDocument/2006/relationships/footer" Target="footer10.xml"/><Relationship Id="rId43" Type="http://schemas.openxmlformats.org/officeDocument/2006/relationships/header" Target="header11.xml"/><Relationship Id="rId44" Type="http://schemas.openxmlformats.org/officeDocument/2006/relationships/footer" Target="footer11.xml"/><Relationship Id="rId45" Type="http://schemas.openxmlformats.org/officeDocument/2006/relationships/header" Target="header12.xml"/><Relationship Id="rId46" Type="http://schemas.openxmlformats.org/officeDocument/2006/relationships/footer" Target="footer12.xml"/><Relationship Id="rId47" Type="http://schemas.openxmlformats.org/officeDocument/2006/relationships/header" Target="header13.xml"/><Relationship Id="rId48" Type="http://schemas.openxmlformats.org/officeDocument/2006/relationships/footer" Target="footer13.xml"/><Relationship Id="rId49" Type="http://schemas.openxmlformats.org/officeDocument/2006/relationships/header" Target="header14.xml"/><Relationship Id="rId50" Type="http://schemas.openxmlformats.org/officeDocument/2006/relationships/footer" Target="footer14.xml"/><Relationship Id="rId51" Type="http://schemas.openxmlformats.org/officeDocument/2006/relationships/header" Target="header15.xml"/><Relationship Id="rId52" Type="http://schemas.openxmlformats.org/officeDocument/2006/relationships/footer" Target="footer15.xml"/><Relationship Id="rId53" Type="http://schemas.openxmlformats.org/officeDocument/2006/relationships/header" Target="header16.xml"/><Relationship Id="rId54" Type="http://schemas.openxmlformats.org/officeDocument/2006/relationships/footer" Target="footer16.xml"/><Relationship Id="rId55" Type="http://schemas.openxmlformats.org/officeDocument/2006/relationships/header" Target="header17.xml"/><Relationship Id="rId56" Type="http://schemas.openxmlformats.org/officeDocument/2006/relationships/footer" Target="footer17.xml"/><Relationship Id="rId57" Type="http://schemas.openxmlformats.org/officeDocument/2006/relationships/image" Target="media/image16.jpeg"/><Relationship Id="rId58" Type="http://schemas.openxmlformats.org/officeDocument/2006/relationships/image" Target="media/image17.jpeg"/><Relationship Id="rId59" Type="http://schemas.openxmlformats.org/officeDocument/2006/relationships/header" Target="header18.xml"/><Relationship Id="rId60" Type="http://schemas.openxmlformats.org/officeDocument/2006/relationships/footer" Target="footer18.xml"/><Relationship Id="rId61" Type="http://schemas.openxmlformats.org/officeDocument/2006/relationships/header" Target="header19.xml"/><Relationship Id="rId62" Type="http://schemas.openxmlformats.org/officeDocument/2006/relationships/footer" Target="footer19.xml"/><Relationship Id="rId63" Type="http://schemas.openxmlformats.org/officeDocument/2006/relationships/image" Target="media/image18.jpeg"/><Relationship Id="rId64" Type="http://schemas.openxmlformats.org/officeDocument/2006/relationships/header" Target="header20.xml"/><Relationship Id="rId65" Type="http://schemas.openxmlformats.org/officeDocument/2006/relationships/footer" Target="footer20.xml"/><Relationship Id="rId66" Type="http://schemas.openxmlformats.org/officeDocument/2006/relationships/header" Target="header21.xml"/><Relationship Id="rId67" Type="http://schemas.openxmlformats.org/officeDocument/2006/relationships/footer" Target="footer21.xml"/><Relationship Id="rId68" Type="http://schemas.openxmlformats.org/officeDocument/2006/relationships/image" Target="media/image19.jpeg"/><Relationship Id="rId69" Type="http://schemas.openxmlformats.org/officeDocument/2006/relationships/image" Target="media/image20.jpeg"/><Relationship Id="rId70" Type="http://schemas.openxmlformats.org/officeDocument/2006/relationships/header" Target="header22.xml"/><Relationship Id="rId71" Type="http://schemas.openxmlformats.org/officeDocument/2006/relationships/footer" Target="footer22.xml"/><Relationship Id="rId72" Type="http://schemas.openxmlformats.org/officeDocument/2006/relationships/header" Target="header23.xml"/><Relationship Id="rId73" Type="http://schemas.openxmlformats.org/officeDocument/2006/relationships/footer" Target="footer23.xml"/><Relationship Id="rId74" Type="http://schemas.openxmlformats.org/officeDocument/2006/relationships/image" Target="media/image21.jpeg"/><Relationship Id="rId75" Type="http://schemas.openxmlformats.org/officeDocument/2006/relationships/header" Target="header24.xml"/><Relationship Id="rId76" Type="http://schemas.openxmlformats.org/officeDocument/2006/relationships/footer" Target="footer24.xml"/><Relationship Id="rId77" Type="http://schemas.openxmlformats.org/officeDocument/2006/relationships/image" Target="media/image22.png"/><Relationship Id="rId78" Type="http://schemas.openxmlformats.org/officeDocument/2006/relationships/image" Target="media/image23.png"/><Relationship Id="rId79" Type="http://schemas.openxmlformats.org/officeDocument/2006/relationships/image" Target="media/image24.png"/><Relationship Id="rId80" Type="http://schemas.openxmlformats.org/officeDocument/2006/relationships/image" Target="media/image25.png"/><Relationship Id="rId81" Type="http://schemas.openxmlformats.org/officeDocument/2006/relationships/image" Target="media/image26.png"/><Relationship Id="rId82" Type="http://schemas.openxmlformats.org/officeDocument/2006/relationships/image" Target="media/image27.png"/><Relationship Id="rId8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6.jpeg"/></Relationships>

</file>

<file path=word/_rels/header11.xml.rels><?xml version="1.0" encoding="UTF-8" standalone="yes"?>
<Relationships xmlns="http://schemas.openxmlformats.org/package/2006/relationships"><Relationship Id="rId1" Type="http://schemas.openxmlformats.org/officeDocument/2006/relationships/image" Target="media/image16.jpeg"/></Relationships>

</file>

<file path=word/_rels/header12.xml.rels><?xml version="1.0" encoding="UTF-8" standalone="yes"?>
<Relationships xmlns="http://schemas.openxmlformats.org/package/2006/relationships"><Relationship Id="rId1" Type="http://schemas.openxmlformats.org/officeDocument/2006/relationships/image" Target="media/image16.jpeg"/></Relationships>

</file>

<file path=word/_rels/header14.xml.rels><?xml version="1.0" encoding="UTF-8" standalone="yes"?>
<Relationships xmlns="http://schemas.openxmlformats.org/package/2006/relationships"><Relationship Id="rId1" Type="http://schemas.openxmlformats.org/officeDocument/2006/relationships/image" Target="media/image16.jpeg"/></Relationships>

</file>

<file path=word/_rels/header15.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24.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16.jpeg"/></Relationships>

</file>

<file path=word/_rels/header9.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Vivianne Cristine S F da Silva</dc:creator>
  <dcterms:created xsi:type="dcterms:W3CDTF">2020-09-29T17:16:06Z</dcterms:created>
  <dcterms:modified xsi:type="dcterms:W3CDTF">2020-09-29T17:16:06Z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2020-09-28T00:00:00Z</vt:filetime>
  </property>
  <property fmtid="{D5CDD505-2E9C-101B-9397-08002B2CF9AE}" pid="3" name="Creator">
    <vt:lpwstr>Microsoft® Word 2016</vt:lpwstr>
  </property>
  <property fmtid="{D5CDD505-2E9C-101B-9397-08002B2CF9AE}" pid="4" name="LastSaved">
    <vt:filetime>2020-09-29T00:00:00Z</vt:filetime>
  </property>
</Properties>
</file>