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17B99" w:rsidRDefault="00D17B99">
      <w:pPr>
        <w:widowControl w:val="0"/>
        <w:tabs>
          <w:tab w:val="start" w:pos="52.55pt"/>
        </w:tabs>
        <w:ind w:start="-35.65pt" w:end="0.0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71.3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03"/>
        <w:gridCol w:w="7524"/>
      </w:tblGrid>
      <w:tr w:rsidR="00D17B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5.1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06721B">
            <w:pPr>
              <w:ind w:start="1.70pt" w:end="0.0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6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D17B99">
            <w:pPr>
              <w:widowControl w:val="0"/>
              <w:ind w:start="1.70pt" w:end="0.05p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17B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5.1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06721B">
            <w:pPr>
              <w:ind w:start="1.70pt" w:end="0.0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6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06721B">
            <w:pPr>
              <w:widowControl w:val="0"/>
              <w:ind w:start="1.70pt" w:end="0.0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17B9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5.1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06721B">
            <w:pPr>
              <w:ind w:start="1.70pt" w:end="0.0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6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17B99" w:rsidRDefault="0006721B">
            <w:pPr>
              <w:widowControl w:val="0"/>
              <w:ind w:start="1.70pt" w:end="0.0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DA PROPOSTA DE ANTEPROJETO DE RESOLUÇÃO QUE TRATA O DESLOCAMENTO NO CAU</w:t>
            </w:r>
          </w:p>
        </w:tc>
      </w:tr>
    </w:tbl>
    <w:p w:rsidR="00D17B99" w:rsidRDefault="0006721B">
      <w:pPr>
        <w:pBdr>
          <w:top w:val="single" w:sz="8" w:space="1" w:color="7F7F7F"/>
          <w:bottom w:val="single" w:sz="8" w:space="1" w:color="7F7F7F"/>
        </w:pBdr>
        <w:shd w:val="clear" w:color="auto" w:fill="F2F2F2"/>
        <w:ind w:end="0.05pt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</w:rPr>
        <w:t>13</w:t>
      </w:r>
      <w:r>
        <w:rPr>
          <w:rFonts w:ascii="Times New Roman" w:hAnsi="Times New Roman"/>
          <w:smallCaps/>
          <w:sz w:val="22"/>
          <w:szCs w:val="22"/>
          <w:lang w:eastAsia="pt-BR"/>
        </w:rPr>
        <w:t>/2020 – (COA – CAU/BR)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 - DF, na sede do CAU/BR, no dia 3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 xml:space="preserve"> de janeiro de 2020, no uso das competências que lhe confere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inciso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hAnsi="Times New Roman"/>
          <w:sz w:val="22"/>
          <w:szCs w:val="22"/>
        </w:rPr>
        <w:t>102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</w:t>
      </w:r>
      <w:r>
        <w:rPr>
          <w:rFonts w:ascii="Times New Roman" w:hAnsi="Times New Roman"/>
          <w:sz w:val="22"/>
          <w:szCs w:val="22"/>
          <w:lang w:eastAsia="pt-BR"/>
        </w:rPr>
        <w:t xml:space="preserve">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</w:pPr>
      <w:r>
        <w:rPr>
          <w:rFonts w:ascii="Times New Roman" w:hAnsi="Times New Roman"/>
          <w:sz w:val="22"/>
          <w:szCs w:val="22"/>
        </w:rPr>
        <w:t xml:space="preserve">Considerando as Resoluções CAU/BR n° 47, de 9 de maio de 2013, n° 70, de 23 de janeiro de 2014, n° 99, de 9 de janeiro de 2015, n° 113, de 13 de janeiro de 2016, que </w:t>
      </w:r>
      <w:r>
        <w:rPr>
          <w:rStyle w:val="Forte"/>
          <w:rFonts w:ascii="Times New Roman" w:hAnsi="Times New Roman"/>
          <w:b w:val="0"/>
          <w:sz w:val="22"/>
          <w:szCs w:val="22"/>
        </w:rPr>
        <w:t>dispõem sobre os deslocamentos a serviço no âmbito do Conselho de Arquitetura</w:t>
      </w:r>
      <w:r>
        <w:rPr>
          <w:rStyle w:val="Forte"/>
          <w:rFonts w:ascii="Times New Roman" w:hAnsi="Times New Roman"/>
          <w:b w:val="0"/>
          <w:sz w:val="22"/>
          <w:szCs w:val="22"/>
        </w:rPr>
        <w:t xml:space="preserve"> e Urbanismo do Brasil (CAU/BR) e dos Conselhos de Arquitetura e Urbanismo dos Estados e do Distrito Federal (CAU/UF) e dão outras providências;</w:t>
      </w:r>
    </w:p>
    <w:p w:rsidR="00D17B99" w:rsidRDefault="00D17B99">
      <w:pPr>
        <w:ind w:end="0.05pt"/>
        <w:jc w:val="both"/>
      </w:pPr>
    </w:p>
    <w:p w:rsidR="00D17B99" w:rsidRDefault="0006721B">
      <w:pPr>
        <w:ind w:end="0.05pt"/>
        <w:jc w:val="both"/>
      </w:pPr>
      <w:r>
        <w:rPr>
          <w:rFonts w:ascii="Times New Roman" w:eastAsia="Times New Roman" w:hAnsi="Times New Roman"/>
          <w:sz w:val="22"/>
          <w:szCs w:val="22"/>
        </w:rPr>
        <w:t>Considerando o ofício n° 3936/2019-PRDF/4°OAACOE, referente ao Inquérito Civil n°1.16.000.000938/2091-22 e Rec</w:t>
      </w:r>
      <w:r>
        <w:rPr>
          <w:rFonts w:ascii="Times New Roman" w:eastAsia="Times New Roman" w:hAnsi="Times New Roman"/>
          <w:sz w:val="22"/>
          <w:szCs w:val="22"/>
        </w:rPr>
        <w:t xml:space="preserve">omendação 24/2019, do Ministério Público Federal, encaminhado à Presidência do CAU/BR, em 31 de maio de 2019, e posteriormente encaminhada à COA-CAU/BR, em 06 de junho de 2019, por meio do Protocolo SICCAU 883433/2019,o qual recomenda a revogação dos art. </w:t>
      </w:r>
      <w:r>
        <w:rPr>
          <w:rFonts w:ascii="Times New Roman" w:eastAsia="Times New Roman" w:hAnsi="Times New Roman"/>
          <w:sz w:val="22"/>
          <w:szCs w:val="22"/>
        </w:rPr>
        <w:t xml:space="preserve">6°, parágrafo único, III e dos artigos 9° e 10 da Resolução CAU/BR n° 47/2013, bem como a suspensão imediata do pagamento das verbas referentes a esses dispositivos, no prazo de </w:t>
      </w:r>
      <w:r>
        <w:rPr>
          <w:rFonts w:ascii="Times New Roman" w:hAnsi="Times New Roman"/>
          <w:sz w:val="22"/>
          <w:szCs w:val="22"/>
        </w:rPr>
        <w:t>15 (quinze) dias úteis, contados a partir de 31 de maio de 2019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a auditoria de conformidade na modalidade de Fiscalização de Orientação Centralizada – FOC, do TCU, a qual foi concebida com o objetivo de avaliar, em âmbito nacional, a regularidade das despesas e outros aspectos da gestão dos conselhos de fiscalização p</w:t>
      </w:r>
      <w:r>
        <w:rPr>
          <w:rFonts w:ascii="Times New Roman" w:hAnsi="Times New Roman"/>
          <w:sz w:val="22"/>
          <w:szCs w:val="22"/>
        </w:rPr>
        <w:t xml:space="preserve">rofissional; 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atualização e adequação às normas vigentes quanto à forma de pagamento dos valores de diária, auxílio-traslado e representações e demais indenizações, no âmbito do CAU/BR e dos CAU/UF;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</w:t>
      </w:r>
      <w:r>
        <w:rPr>
          <w:rFonts w:ascii="Times New Roman" w:hAnsi="Times New Roman"/>
          <w:sz w:val="22"/>
          <w:szCs w:val="22"/>
        </w:rPr>
        <w:t>CAU/BR n° 104, de 26 de junho de 2015, a qual dispõe sobre os procedimentos para aprovação dos atos administrativos do tipo resolução, deliberação e proposta, de competência do CAU;</w:t>
      </w:r>
    </w:p>
    <w:p w:rsidR="00D17B99" w:rsidRDefault="00D17B99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</w:pPr>
      <w:r>
        <w:rPr>
          <w:rFonts w:ascii="Times New Roman" w:hAnsi="Times New Roman"/>
          <w:sz w:val="22"/>
          <w:szCs w:val="22"/>
        </w:rPr>
        <w:t>Considerando as competências da Comissão de Planejamento e Finanças do CA</w:t>
      </w:r>
      <w:r>
        <w:rPr>
          <w:rFonts w:ascii="Times New Roman" w:hAnsi="Times New Roman"/>
          <w:sz w:val="22"/>
          <w:szCs w:val="22"/>
        </w:rPr>
        <w:t>U/BR (CPFI-CAU/BR), descritas no art. 103 do Regimento Interno do CAU/BR; e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17B99" w:rsidRDefault="00D17B99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D17B99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</w:t>
      </w:r>
      <w:r>
        <w:rPr>
          <w:rFonts w:ascii="Times New Roman" w:hAnsi="Times New Roman"/>
          <w:b/>
          <w:sz w:val="22"/>
          <w:szCs w:val="22"/>
          <w:lang w:eastAsia="pt-BR"/>
        </w:rPr>
        <w:t>BERA:</w:t>
      </w:r>
    </w:p>
    <w:p w:rsidR="00D17B99" w:rsidRDefault="00D17B99">
      <w:pPr>
        <w:ind w:end="0.05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proposta de </w:t>
      </w:r>
      <w:r>
        <w:rPr>
          <w:rFonts w:ascii="Times New Roman" w:hAnsi="Times New Roman"/>
          <w:sz w:val="22"/>
          <w:szCs w:val="22"/>
        </w:rPr>
        <w:t>anteprojeto de resolução que disporá sobre os deslocamentos a serviço no âmbito do Conselho de Arquitetura e Urbanismo do Brasil (CAU/BR) e dos Conselhos de Arquitetura e Urbanismo dos Estados e do Distrito Federal (CAU/UF)</w:t>
      </w:r>
    </w:p>
    <w:p w:rsidR="00D17B99" w:rsidRDefault="00D17B99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06721B">
      <w:pPr>
        <w:ind w:end="0.0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>Solicitar à Presidência que encaminhe a proposta de anteprojeto de resolução para a apreciação e deliberação da CPFI-CAU/BR.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D17B99" w:rsidRDefault="0006721B">
      <w:pPr>
        <w:ind w:end="0.0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3- Solicitar que após a apreciação da CPFI-CAU/BR, o anteprojeto de resolução seja encaminhado aos CAU/UF e aos conselheiros</w:t>
      </w:r>
      <w:r>
        <w:rPr>
          <w:rFonts w:ascii="Times New Roman" w:hAnsi="Times New Roman"/>
          <w:sz w:val="22"/>
          <w:szCs w:val="22"/>
        </w:rPr>
        <w:t xml:space="preserve"> federais para contribuição no prazo de 30 (trinta) dias, para consolidação pela COA-CAU/BR.</w:t>
      </w:r>
    </w:p>
    <w:p w:rsidR="00D17B99" w:rsidRDefault="00D17B99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D17B99" w:rsidRDefault="0006721B">
      <w:pPr>
        <w:ind w:end="0.05pt"/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3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 xml:space="preserve"> de janeiro de 2020.</w:t>
      </w:r>
    </w:p>
    <w:p w:rsidR="00D17B99" w:rsidRDefault="00D17B99">
      <w:pPr>
        <w:ind w:end="0.05pt"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B99" w:rsidRDefault="0006721B">
      <w:pPr>
        <w:autoSpaceDE w:val="0"/>
        <w:ind w:end="0.05pt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D17B99" w:rsidRDefault="0006721B">
      <w:pPr>
        <w:autoSpaceDE w:val="0"/>
        <w:ind w:end="0.05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17B99" w:rsidRDefault="00D17B99">
      <w:pPr>
        <w:autoSpaceDE w:val="0"/>
        <w:ind w:end="0.05pt"/>
        <w:rPr>
          <w:rFonts w:ascii="Times New Roman" w:eastAsia="Calibri" w:hAnsi="Times New Roman"/>
          <w:sz w:val="22"/>
          <w:szCs w:val="22"/>
          <w:lang w:eastAsia="pt-BR"/>
        </w:rPr>
      </w:pPr>
    </w:p>
    <w:p w:rsidR="00D17B99" w:rsidRDefault="0006721B">
      <w:pPr>
        <w:autoSpaceDE w:val="0"/>
        <w:ind w:end="0.05pt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(RS)                    ___________________________________</w:t>
      </w:r>
    </w:p>
    <w:p w:rsidR="00D17B99" w:rsidRDefault="0006721B">
      <w:pPr>
        <w:autoSpaceDE w:val="0"/>
        <w:ind w:end="0.05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D17B99" w:rsidRDefault="00D17B99">
      <w:pPr>
        <w:autoSpaceDE w:val="0"/>
        <w:ind w:end="0.05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06721B">
      <w:pPr>
        <w:tabs>
          <w:tab w:val="center" w:pos="212.60pt"/>
          <w:tab w:val="end" w:pos="425.20pt"/>
        </w:tabs>
        <w:ind w:end="0.05pt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17B99" w:rsidRDefault="0006721B">
      <w:pPr>
        <w:autoSpaceDE w:val="0"/>
        <w:ind w:end="0.05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17B99" w:rsidRDefault="00D17B99">
      <w:pPr>
        <w:autoSpaceDE w:val="0"/>
        <w:ind w:end="0.05pt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17B99" w:rsidRDefault="0006721B">
      <w:pPr>
        <w:autoSpaceDE w:val="0"/>
        <w:ind w:end="0.05pt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17B99" w:rsidRDefault="0006721B">
      <w:pPr>
        <w:autoSpaceDE w:val="0"/>
        <w:ind w:end="0.05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7B99" w:rsidRDefault="00D17B99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7B99" w:rsidRDefault="00D17B99">
      <w:pPr>
        <w:pStyle w:val="Corpodetexto"/>
        <w:ind w:end="7.10pt"/>
        <w:rPr>
          <w:sz w:val="22"/>
          <w:szCs w:val="22"/>
        </w:rPr>
      </w:pPr>
    </w:p>
    <w:sectPr w:rsidR="00D17B99">
      <w:headerReference w:type="default" r:id="rId6"/>
      <w:footerReference w:type="default" r:id="rId7"/>
      <w:pgSz w:w="595pt" w:h="842pt"/>
      <w:pgMar w:top="85.10pt" w:right="49.25pt" w:bottom="70.90pt" w:left="77.95pt" w:header="0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6721B">
      <w:r>
        <w:separator/>
      </w:r>
    </w:p>
  </w:endnote>
  <w:endnote w:type="continuationSeparator" w:id="0">
    <w:p w:rsidR="00000000" w:rsidRDefault="000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7E56" w:rsidRDefault="000672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C27E56" w:rsidRDefault="000672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6721B">
      <w:r>
        <w:rPr>
          <w:color w:val="000000"/>
        </w:rPr>
        <w:separator/>
      </w:r>
    </w:p>
  </w:footnote>
  <w:footnote w:type="continuationSeparator" w:id="0">
    <w:p w:rsidR="00000000" w:rsidRDefault="000672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7E56" w:rsidRDefault="0006721B">
    <w:pPr>
      <w:pStyle w:val="Cabealho"/>
      <w:tabs>
        <w:tab w:val="clear" w:pos="216pt"/>
        <w:tab w:val="start" w:pos="144pt"/>
        <w:tab w:val="start" w:pos="306pt"/>
      </w:tabs>
      <w:ind w:start="-77.95pt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0" cy="1080765"/>
          <wp:effectExtent l="0" t="0" r="3180" b="5085"/>
          <wp:docPr id="1" name="Imagem 64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7B99"/>
    <w:rsid w:val="0006721B"/>
    <w:rsid w:val="00D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CFD243-F705-4F8C-BD12-5A14707E1B7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widowControl w:val="0"/>
      <w:autoSpaceDE w:val="0"/>
      <w:spacing w:before="2pt"/>
      <w:outlineLvl w:val="2"/>
    </w:pPr>
    <w:rPr>
      <w:rFonts w:ascii="Calibri Light" w:eastAsia="Times New Roman" w:hAnsi="Calibri Light"/>
      <w:color w:val="1F4D78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  <w:lang w:eastAsia="en-US"/>
    </w:rPr>
  </w:style>
  <w:style w:type="character" w:customStyle="1" w:styleId="Ttulo3Char">
    <w:name w:val="Título 3 Char"/>
    <w:rPr>
      <w:rFonts w:ascii="Calibri Light" w:eastAsia="Times New Roman" w:hAnsi="Calibri Light"/>
      <w:color w:val="1F4D78"/>
      <w:sz w:val="24"/>
      <w:szCs w:val="24"/>
      <w:lang w:bidi="pt-BR"/>
    </w:rPr>
  </w:style>
  <w:style w:type="paragraph" w:customStyle="1" w:styleId="OBS">
    <w:name w:val="OBS"/>
    <w:basedOn w:val="Normal"/>
    <w:pPr>
      <w:widowControl w:val="0"/>
      <w:autoSpaceDE w:val="0"/>
      <w:jc w:val="both"/>
    </w:pPr>
    <w:rPr>
      <w:rFonts w:ascii="Times New Roman" w:eastAsia="Times New Roman" w:hAnsi="Times New Roman"/>
      <w:color w:val="FF0000"/>
      <w:sz w:val="20"/>
      <w:szCs w:val="22"/>
      <w:lang w:eastAsia="pt-BR" w:bidi="pt-BR"/>
    </w:rPr>
  </w:style>
  <w:style w:type="character" w:customStyle="1" w:styleId="OBSChar">
    <w:name w:val="OBS Char"/>
    <w:rPr>
      <w:rFonts w:ascii="Times New Roman" w:eastAsia="Times New Roman" w:hAnsi="Times New Roman"/>
      <w:color w:val="FF0000"/>
      <w:szCs w:val="22"/>
      <w:lang w:bidi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widowControl w:val="0"/>
      <w:autoSpaceDE w:val="0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lang w:bidi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lang w:bidi="pt-BR"/>
    </w:rPr>
  </w:style>
  <w:style w:type="paragraph" w:customStyle="1" w:styleId="Citao">
    <w:name w:val="#Citação"/>
    <w:pPr>
      <w:suppressAutoHyphens/>
      <w:spacing w:before="6pt" w:after="6pt"/>
      <w:ind w:start="56.70pt" w:end="14.20pt" w:firstLine="28.35pt"/>
      <w:jc w:val="both"/>
    </w:pPr>
    <w:rPr>
      <w:rFonts w:ascii="Times New Roman" w:eastAsia="Times New Roman" w:hAnsi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2020-02-11T11:16:00Z</cp:lastPrinted>
  <dcterms:created xsi:type="dcterms:W3CDTF">2020-02-12T19:08:00Z</dcterms:created>
  <dcterms:modified xsi:type="dcterms:W3CDTF">2020-02-12T19:08:00Z</dcterms:modified>
</cp:coreProperties>
</file>