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FC6825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FC6825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FC6825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E83A7FC" w:rsidR="00B82D73" w:rsidRPr="00FC6825" w:rsidRDefault="000663ED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FC6825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PROTOCOLO SICCAU Nº 1257415/2021</w:t>
            </w:r>
          </w:p>
        </w:tc>
      </w:tr>
      <w:tr w:rsidR="00943001" w:rsidRPr="00FC6825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FC6825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26EF9F" w:rsidR="00B82D73" w:rsidRPr="00FC6825" w:rsidRDefault="000663ED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FC682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 E CAU/UF</w:t>
            </w:r>
          </w:p>
        </w:tc>
      </w:tr>
      <w:tr w:rsidR="00943001" w:rsidRPr="00FC6825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FC6825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74015A3" w:rsidR="00B82D73" w:rsidRPr="00FC6825" w:rsidRDefault="000663ED" w:rsidP="000663ED">
            <w:pPr>
              <w:widowControl w:val="0"/>
              <w:spacing w:after="0" w:line="240" w:lineRule="auto"/>
              <w:ind w:left="40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FC6825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PROJETO DE RESOLUÇÃO QUE ALTERA A CLÁUSULA DE VIGÊNCIA DA RESOLUÇÃO CAU/BR Nº 224, DE 23 DE SETEMBRO DE 2022, QUE ALTERA A RESOLUÇÃO CAU/BR Nº 143, DE 23 DE JUNHO DE 2017</w:t>
            </w:r>
          </w:p>
        </w:tc>
      </w:tr>
    </w:tbl>
    <w:p w14:paraId="6DE39438" w14:textId="77777777" w:rsidR="004126EE" w:rsidRPr="00FC6825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FC6825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43E891DE" w:rsidR="004C0BF6" w:rsidRPr="00FC6825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FC682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 xml:space="preserve">DELIBERAÇÃO PLENÁRIA DPOBR N° </w:t>
      </w:r>
      <w:r w:rsidR="000663ED" w:rsidRPr="00FC682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0132-06</w:t>
      </w:r>
      <w:r w:rsidRPr="00FC6825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FC6825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339BCF4D" w:rsidR="004C0BF6" w:rsidRPr="00FC6825" w:rsidRDefault="000663ED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FC6825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Aprova o projeto de resolução que “Altera a cláusula de vigência da Resolução CAU/BR n° 224, de 23 de setembro de 2022, que altera a Resolução CAU/BR nº 143, de 23 de junho de 2017, que ‘Dispõe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providências’”.</w:t>
      </w:r>
    </w:p>
    <w:p w14:paraId="5E4134B1" w14:textId="77777777" w:rsidR="00806249" w:rsidRPr="00FC6825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77777777" w:rsidR="004C0BF6" w:rsidRPr="00FC6825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>. 2°, 4° e 30 do Regimento Interno do CAU/BR, reunido ordinariamente por meio de reunião híbrida, nos dias 24 e 25 de janeiro de 2023, após análise do assunto em epígrafe, e</w:t>
      </w:r>
    </w:p>
    <w:p w14:paraId="4C69208E" w14:textId="77777777" w:rsidR="004C0BF6" w:rsidRPr="00FC6825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5E010E8" w14:textId="2ADB5B7C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 xml:space="preserve">Considerando a Resolução CAU/BR nº 224, aprovada pelo Plenário do CAU/BR, em </w:t>
      </w:r>
      <w:r w:rsidRPr="00FC6825">
        <w:rPr>
          <w:rFonts w:asciiTheme="majorHAnsi" w:eastAsia="Times New Roman" w:hAnsiTheme="majorHAnsi" w:cstheme="majorHAnsi"/>
          <w:color w:val="auto"/>
          <w:sz w:val="24"/>
          <w:szCs w:val="24"/>
          <w:lang w:eastAsia="pt-BR"/>
        </w:rPr>
        <w:t xml:space="preserve">23 de setembro de 2022, e publicada em </w:t>
      </w:r>
      <w:r w:rsidRPr="00FC6825">
        <w:rPr>
          <w:rFonts w:asciiTheme="majorHAnsi" w:hAnsiTheme="majorHAnsi" w:cstheme="majorHAnsi"/>
          <w:color w:val="auto"/>
          <w:sz w:val="24"/>
          <w:szCs w:val="24"/>
        </w:rPr>
        <w:t>10 de novembro de 2022, que “Dispõe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providências”;</w:t>
      </w:r>
    </w:p>
    <w:p w14:paraId="452EDB2A" w14:textId="77777777" w:rsidR="000663ED" w:rsidRPr="00FC6825" w:rsidRDefault="000663ED" w:rsidP="000663ED">
      <w:pPr>
        <w:spacing w:after="0"/>
        <w:jc w:val="both"/>
        <w:rPr>
          <w:rFonts w:asciiTheme="majorHAnsi" w:eastAsia="Times New Roman" w:hAnsiTheme="majorHAnsi" w:cstheme="majorHAnsi"/>
          <w:color w:val="auto"/>
          <w:sz w:val="24"/>
          <w:szCs w:val="24"/>
          <w:lang w:eastAsia="pt-BR"/>
        </w:rPr>
      </w:pPr>
    </w:p>
    <w:p w14:paraId="3DE8218E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>Considerando que o art. 5º da Resolução CAU/BR nº 224, de 2022, estabelece que “Esta Resolução entra em vigor após 90 (noventa) dias contados de sua publicação”;</w:t>
      </w:r>
    </w:p>
    <w:p w14:paraId="3462EC42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0F40658E" w14:textId="0D5C119E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>Considerando as dúvidas e sugestões apresentadas pelos CAU/UF participantes do “9º Treinamento Técnico para as Assessorias Técnica e Jurídica das CED-CAU/UF”, realizado nos dias 24 e 25 de outubro de 2022, na sede do CAU/BR, que tratou das “Novidades na Resolução CAU/BR nº 143/2017, que dispõe sobre o processo ético-disciplinar”;</w:t>
      </w:r>
    </w:p>
    <w:p w14:paraId="520E668F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7D8A7365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>Considerando que as principais dúvidas e sugestões dos CAU/UF participantes quanto à entrada em vigor da Resolução CAU/BR n° 224, de 2022, versaram sobre as novas regras de competência judicante (com julgamento pela CED-CAU/UF, e recurso para o respectivo Plenário), e sobre a nova forma de aplicação da sanção (“dosimetria”), com alegação de pouco tempo para implantação das novas regras processuais, que inclui capacitações locais e redefinição de procedimentos internos;</w:t>
      </w:r>
    </w:p>
    <w:p w14:paraId="2D5A6557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5FAD2049" w14:textId="4379EC9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>Considerando a importância de atender ao pleito dos CAU/UF participantes do 9º Treinamento Técnico da CED-CAU/BR, proporcionando um prazo maior para adaptação às novas regras de competência judicante e dosimetria estabelecidas pela Resolução CAU/BR n° 224, de 2022;</w:t>
      </w:r>
    </w:p>
    <w:p w14:paraId="7FEE81F9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38004E5F" w14:textId="613DB09A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>Considerando que a referida prorrogação evitará potenciais conflitos com a implantação da nova resolução que tratará sobre a fiscalização do exercício profissional (Resolução CAU/BR nº 198, de 15 de dezembro de 2020), cuja vigência se iniciará em 27 de março de 2023, nos termos do art. 1º da Resolução CAU/BR nº 226, de 25 de novembro de 2022; bem como proporcionará um prazo maior para as adequações do Módulo Ético no Sistema de Informação e Comunicação do CAU (SICCAU); e</w:t>
      </w:r>
    </w:p>
    <w:p w14:paraId="2609CE57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4DDE13D7" w14:textId="7ECB67DA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FC6825">
        <w:rPr>
          <w:rFonts w:asciiTheme="majorHAnsi" w:hAnsiTheme="majorHAnsi" w:cstheme="majorHAnsi"/>
          <w:color w:val="auto"/>
          <w:sz w:val="24"/>
          <w:szCs w:val="24"/>
        </w:rPr>
        <w:t>Considerando a Deliberação nº 001/2023 – CED-CAU/BR, de 17 de janeiro de 2023, que aprovou o projeto de resolução para alterar a cláusula de vigência (art. 5º) da Resolução CAU/BR nº 224, de 23 de setembro de 2022.</w:t>
      </w:r>
    </w:p>
    <w:p w14:paraId="16ACEB59" w14:textId="77777777" w:rsidR="000663ED" w:rsidRPr="00FC6825" w:rsidRDefault="000663ED" w:rsidP="000663ED">
      <w:pPr>
        <w:spacing w:after="0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0E75AD18" w14:textId="77777777" w:rsidR="00806249" w:rsidRPr="00FC6825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FC6825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6078459C" w14:textId="011365E4" w:rsidR="000663ED" w:rsidRPr="00FC6825" w:rsidRDefault="004C0BF6" w:rsidP="000663ED">
      <w:pPr>
        <w:pStyle w:val="PargrafodaLista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Aprovar </w:t>
      </w:r>
      <w:r w:rsidR="000663ED"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>o projeto de resolução que altera a cláusula de vigência da Resolução CAU/BR n° 224, de 23 de setembro de 2022; e</w:t>
      </w:r>
    </w:p>
    <w:p w14:paraId="39560468" w14:textId="77777777" w:rsidR="000663ED" w:rsidRPr="00FC6825" w:rsidRDefault="000663ED" w:rsidP="000663ED">
      <w:pPr>
        <w:pStyle w:val="PargrafodaLista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58E260A" w14:textId="3C7499D0" w:rsidR="000663ED" w:rsidRPr="00FC6825" w:rsidRDefault="000663ED" w:rsidP="000663ED">
      <w:pPr>
        <w:pStyle w:val="PargrafodaLista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8AC666F" w14:textId="77777777" w:rsidR="00806249" w:rsidRPr="00FC6825" w:rsidRDefault="00806249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FC6825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FC6825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FC6825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371FC2A3" w:rsidR="00806249" w:rsidRPr="00FC6825" w:rsidRDefault="00806249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Brasília, </w:t>
      </w:r>
      <w:r w:rsidR="004C0BF6"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24 de janeiro </w:t>
      </w:r>
      <w:r w:rsidR="004C0BF6" w:rsidRPr="00FC6825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FC682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FC682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FC682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FC682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FC6825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FC6825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FC6825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61FD681F" w14:textId="6FD5EA43" w:rsidR="000663ED" w:rsidRPr="00FC6825" w:rsidRDefault="000663ED" w:rsidP="000663E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C6825">
        <w:rPr>
          <w:rFonts w:asciiTheme="majorHAnsi" w:eastAsia="Calibri" w:hAnsiTheme="majorHAnsi" w:cstheme="majorHAnsi"/>
          <w:sz w:val="24"/>
          <w:szCs w:val="24"/>
        </w:rPr>
        <w:lastRenderedPageBreak/>
        <w:t>132ª REUNIÃO PLENÁRIA ORDINÁRIA DO CAU/BR</w:t>
      </w:r>
    </w:p>
    <w:p w14:paraId="519063A6" w14:textId="77777777" w:rsidR="000663ED" w:rsidRPr="00FC6825" w:rsidRDefault="000663ED" w:rsidP="000663ED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FC6825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663ED" w:rsidRPr="00FC6825" w14:paraId="015A5884" w14:textId="77777777" w:rsidTr="00B20398">
        <w:tc>
          <w:tcPr>
            <w:tcW w:w="1043" w:type="dxa"/>
            <w:vMerge w:val="restart"/>
            <w:shd w:val="clear" w:color="auto" w:fill="auto"/>
            <w:vAlign w:val="center"/>
          </w:tcPr>
          <w:p w14:paraId="2B4BB0D8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1CC2AA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08C4C5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0663ED" w:rsidRPr="00FC6825" w14:paraId="265641B8" w14:textId="77777777" w:rsidTr="00B20398">
        <w:tc>
          <w:tcPr>
            <w:tcW w:w="1043" w:type="dxa"/>
            <w:vMerge/>
            <w:shd w:val="clear" w:color="auto" w:fill="auto"/>
            <w:vAlign w:val="center"/>
          </w:tcPr>
          <w:p w14:paraId="0202736F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31314A3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0B6FB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7CA91E6" w14:textId="77777777" w:rsidR="000663ED" w:rsidRPr="00FC6825" w:rsidRDefault="000663ED" w:rsidP="00B20398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14BD38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4FF045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0663ED" w:rsidRPr="00FC6825" w14:paraId="173FA40F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23E797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A786B17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38B1260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0C97C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26D6A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068595" w14:textId="77777777" w:rsidR="000663ED" w:rsidRPr="00FC6825" w:rsidRDefault="000663ED" w:rsidP="00B20398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31A37CB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85A1BF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49B1579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C938AD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412ED3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ADFF4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277AE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49C6A4B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F33451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82AF318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22BCE09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01113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FF5230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00CD0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394BF03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A8ECA5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F8B67AF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215741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12CC0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29FB3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9647C3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0DDB670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4A2E17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5D6FB3B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2370B5D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FDB84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9433B8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90FA3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627F2FC8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0B10C4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48EF7AA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7BBFDAAB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34CEE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F151D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DDCFF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7EE1E5D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5906B0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6627185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29A9BE2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F0B8E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F274D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797748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4E3C7C05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3A4E14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6D2364C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979E41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2F2D9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F45298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11642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52B6F7FC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6EA0DD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C1DF7FC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4BF2CC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25B66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D3896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4BE5A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4DA0829C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546C17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1C39DA0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882D2D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DFB2D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DD8E9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B3390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213AFCE8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BF812D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ACB6168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7764A640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4ACC6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915015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BA116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4384C46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050B3F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F8D6E38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FCA176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F0F268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9062C3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29AAA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67B9B17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6E6C84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245F565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0E3FDAF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87DBD3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08D870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640FA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4EB232A4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DA11B9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DE6CAD7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3A004B6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59C28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897908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F511A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2CF2328F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4D9FA9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DF2E752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AA0EEDB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F83EF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9584A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0E76D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1A905B1A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8A559D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00354AE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AD47F9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2F786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2A07B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77CA1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13D14A19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03B569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C534321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143157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9C47B5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77C8C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5EC5A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74F04D9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145DEC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B641375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94B387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C2C3B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DC099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67ECB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2ECF0D13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DD8D78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B8918EC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58DF7E5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6BBDDF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5FD7E5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EA5BC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2F7EC0B3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356572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381B490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71F8AC3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F4754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440BD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8647D5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0FE723C3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B3527E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6707FD7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4E553A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C784A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383FE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F9315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041F1F83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53B00E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295D61C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7943E5E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D6F6B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C41F8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95ADA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36C15E5E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088E8D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8518646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A98F71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4CB22F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C73B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D007A0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3623890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4DFC70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1DA28AE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9578CC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C17C65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CE2C6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8AFD4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0C86EB3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4C8B51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F89579F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2F36D9F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FC10DC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C3B75A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01D3BAB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663ED" w:rsidRPr="00FC6825" w14:paraId="2FBB7748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FA3329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F897CBE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68835E7C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CCB69B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861FF0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842CE6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4E13CA2A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DBC538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B29DACD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FBB9BB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5108D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CC8EF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94C344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7190D2CC" w14:textId="77777777" w:rsidTr="00B20398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683F8B84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8D8341F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FC6825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9547C0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27E30D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3E4BE2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F1CEA1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663ED" w:rsidRPr="00FC6825" w14:paraId="6E86BDAA" w14:textId="77777777" w:rsidTr="00B20398">
        <w:trPr>
          <w:trHeight w:val="132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3D3EB" w14:textId="77777777" w:rsidR="000663ED" w:rsidRPr="00FC6825" w:rsidRDefault="000663ED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5C94B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2D823CE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8E25C57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EFD72E3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C2D3CE9" w14:textId="77777777" w:rsidR="000663ED" w:rsidRPr="00FC6825" w:rsidRDefault="000663ED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0663ED" w:rsidRPr="00FC6825" w14:paraId="4BF7787B" w14:textId="77777777" w:rsidTr="00B2039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E8CB61E" w14:textId="7C88F589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7F8C7DE1" w14:textId="2D4089DF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Reunião Plenária Ordinária Nº 132/2022</w:t>
            </w:r>
          </w:p>
          <w:p w14:paraId="4BC61F11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24/1/2023</w:t>
            </w:r>
          </w:p>
          <w:p w14:paraId="1EAABF93" w14:textId="77777777" w:rsidR="000663ED" w:rsidRPr="00FC6825" w:rsidRDefault="000663ED" w:rsidP="00B203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Matéria em votação: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7.6. Projeto de Deliberação Plenária que aprova projeto de resolução que prorroga o início de vigência da Resolução CAU/BR n° 224, de 23 de setembro de 2022, que alterou o processo ético-disciplinar estabelecido pela Resolução CAU/BR nº 143, de 23 de junho de 2017.</w:t>
            </w:r>
          </w:p>
          <w:p w14:paraId="43D9C2A2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(27</w:t>
            </w:r>
            <w:proofErr w:type="gramStart"/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FC682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140C9633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(27)</w:t>
            </w:r>
          </w:p>
          <w:p w14:paraId="687CDD68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49C95610" w14:textId="77777777" w:rsidR="000663ED" w:rsidRPr="00FC6825" w:rsidRDefault="000663ED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FC68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FC6825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27703042" w14:textId="77777777" w:rsidR="003757CE" w:rsidRDefault="003757CE" w:rsidP="00AB7BE0">
      <w:pPr>
        <w:spacing w:after="0" w:line="240" w:lineRule="auto"/>
        <w:ind w:left="567"/>
        <w:jc w:val="both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  <w:sectPr w:rsidR="003757CE" w:rsidSect="00D57684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EE3700A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RESOLUÇÃO Nº 232, DE 25 DE JANEIRO DE 2023</w:t>
      </w:r>
    </w:p>
    <w:p w14:paraId="564E244C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0ED34A55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Altera a cláusula de vigência da Resolução CAU/BR n° 224, de 23 de setembro de 2022, que altera a Resolução CAU/BR nº 143, de 23 de junho de 2017, que “Dispõe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providências”.</w:t>
      </w:r>
    </w:p>
    <w:p w14:paraId="5AD766BC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148D1B8F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0466E796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0132-06/2023, adotada na Reunião Plenária n° 132, realizada nos dias 24 e 25 de janeiro de 2023;</w:t>
      </w:r>
    </w:p>
    <w:p w14:paraId="7ACF2687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7805FC5B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18AF1DE1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RESOLVE:</w:t>
      </w:r>
    </w:p>
    <w:p w14:paraId="111A0D18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2F7508B8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37DC3AC2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Art. 1° A Resolução CAU/BR n° 224, de 23 de setembro de 2022, publicada no Diário Oficial da União, Edição n° 213, Seção 1, Páginas 212 a 218, de 10 de novembro de 2022, que “Altera a Resolução CAU/BR nº 143, de 23 de junho de 2017, que ‘dispõe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providências’”, passa a vigorar com a seguinte alteração:</w:t>
      </w:r>
    </w:p>
    <w:p w14:paraId="16C6FBFF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6ABE1F1B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“Art. 5º Esta Resolução entra em vigor: </w:t>
      </w:r>
    </w:p>
    <w:p w14:paraId="1ABC34DD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4144C4E6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I - </w:t>
      </w:r>
      <w:proofErr w:type="gram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quanto</w:t>
      </w:r>
      <w:proofErr w:type="gram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às alterações promovidas pelo art. 1º, relativamente ao art. 2º; às Seções III e IV, do Capítulo I, incluindo os </w:t>
      </w:r>
      <w:proofErr w:type="spell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arts</w:t>
      </w:r>
      <w:proofErr w:type="spell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. 4º-A e 4º-B, e respectivos parágrafos; ao art. 5º, §§ 1º-A e 3º; ao art. 9º, § 2º; ao art. 10; à Subseção II, da Seção I, do Capítulo III, incluindo os </w:t>
      </w:r>
      <w:proofErr w:type="spell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arts</w:t>
      </w:r>
      <w:proofErr w:type="spell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. 11, I, e 11-A; ao art. 12,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ao 5º; ao art. 13, §§ 1º, 1º-A e 3º; à Subseção IV-A, da Seção I, do Capítulo III, incluindo os </w:t>
      </w:r>
      <w:proofErr w:type="spell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arts</w:t>
      </w:r>
      <w:proofErr w:type="spell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. 13-A e 13-B, e respectivos parágrafos; ao art. 14,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2º, 2º-A e 5º; ao art. 15,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incisos, e §§ 1º ao 3º; ao art. 16,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2º, 4º e 5º; ao art. 18,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ao 4º; ao art. 20, § 1º, V, § 1º-A e §2º; ao art. 21, § 1º; ao art. 22, §§ 2º ao 5º; ao art. 30, §§ 1º e 2º; ao art. 36, § 3º; ao art. 77;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e 2º; ao art. 78,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2º ao 4º; ao art. 80, §§ 2º e 4º; ao art. 82,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2º e 3º; ao art. 83, parágrafo único; ao art. 84; ao art. 85,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ao 3º; ao art. 86, parágrafo único; ao art. 87; ao art. 88,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e 2º; ao Capítulo IX-A, incluindo o art. 91-A,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ao 8º; ao art. 98-A; ao art. 99; ao art. 99-A; ao art. 100, I, II, V a X, e §§ 3º e 4º; ao art. 109, VI, e §§ 1º e 2º; ao art. 110,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e 2º; ao art. 111, </w:t>
      </w:r>
      <w:r w:rsidRPr="003757C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t-BR"/>
        </w:rPr>
        <w:t>caput</w:t>
      </w: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e §§ 1º ao 3º; ao art. 112, §§ 3º e 4º; ao art. 113, V; e ao art. 120-A, 90 (noventa) dias após sua publicação;</w:t>
      </w:r>
    </w:p>
    <w:p w14:paraId="06427164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3E04C7E5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II - </w:t>
      </w:r>
      <w:proofErr w:type="gram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quanto</w:t>
      </w:r>
      <w:proofErr w:type="gram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às demais alterações promovidas pelo art. 1º, em 1º de junho de 2023;</w:t>
      </w:r>
    </w:p>
    <w:p w14:paraId="5875695E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2B581870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III - quanto ao art. 2º, em 1º de junho de 2023;</w:t>
      </w:r>
    </w:p>
    <w:p w14:paraId="6DAE39A1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4FE5D77D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IV - </w:t>
      </w:r>
      <w:proofErr w:type="gram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quanto</w:t>
      </w:r>
      <w:proofErr w:type="gram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ao art. 3º, 90 (noventa) dias após sua publicação;</w:t>
      </w:r>
    </w:p>
    <w:p w14:paraId="3F88B5F2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7AB8CF17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V - </w:t>
      </w:r>
      <w:proofErr w:type="gram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quanto</w:t>
      </w:r>
      <w:proofErr w:type="gramEnd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aos incisos I, II, XII a XX, do art. 4º, 90 (noventa) dias após sua publicação;</w:t>
      </w:r>
    </w:p>
    <w:p w14:paraId="1EED9ED1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1CF27C56" w14:textId="77777777" w:rsidR="003757CE" w:rsidRPr="003757CE" w:rsidRDefault="003757CE" w:rsidP="003757CE">
      <w:pPr>
        <w:tabs>
          <w:tab w:val="left" w:pos="5112"/>
        </w:tabs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VI - quanto aos demais incisos do art. 4º, em 1º de junho de </w:t>
      </w:r>
      <w:proofErr w:type="gramStart"/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2023.”</w:t>
      </w:r>
      <w:proofErr w:type="gramEnd"/>
    </w:p>
    <w:p w14:paraId="1D98C2DD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pt-BR"/>
        </w:rPr>
      </w:pPr>
    </w:p>
    <w:p w14:paraId="0878670A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Art. 2° Esta Resolução entra em vigor na data de sua publicação.</w:t>
      </w:r>
    </w:p>
    <w:p w14:paraId="0E159A71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6DD2902E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Brasília, 25 de janeiro de 2023.</w:t>
      </w:r>
    </w:p>
    <w:p w14:paraId="41F21837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7F97D835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7F4E6E79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7EF116A8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01FF313B" w14:textId="77777777" w:rsidR="003757CE" w:rsidRPr="003757CE" w:rsidRDefault="003757CE" w:rsidP="003757CE">
      <w:pPr>
        <w:tabs>
          <w:tab w:val="left" w:pos="5112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36106433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NADIA SOMEKH</w:t>
      </w:r>
    </w:p>
    <w:p w14:paraId="2DE0C21C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3757CE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Presidente do CAU/BR</w:t>
      </w:r>
    </w:p>
    <w:p w14:paraId="719433D4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5D955056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4437EB0D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30413C92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51BD87A0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6F08F61D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45D6B371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58AEC819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443F3CF3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49121643" w14:textId="77777777" w:rsid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0A1616DA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bookmarkStart w:id="0" w:name="_GoBack"/>
      <w:bookmarkEnd w:id="0"/>
    </w:p>
    <w:p w14:paraId="55ECD5F7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79D94576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1F4AACD1" w14:textId="77777777" w:rsidR="003757CE" w:rsidRPr="003757CE" w:rsidRDefault="003757CE" w:rsidP="003757CE">
      <w:pPr>
        <w:tabs>
          <w:tab w:val="left" w:pos="5112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</w:p>
    <w:p w14:paraId="0ED4859A" w14:textId="77777777" w:rsidR="003757CE" w:rsidRPr="003757CE" w:rsidRDefault="003757CE" w:rsidP="003757CE">
      <w:pPr>
        <w:pStyle w:val="NormalWeb"/>
        <w:spacing w:before="2" w:after="2"/>
        <w:jc w:val="center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3757CE">
        <w:rPr>
          <w:rFonts w:asciiTheme="minorHAnsi" w:hAnsiTheme="minorHAnsi" w:cstheme="minorHAnsi"/>
          <w:sz w:val="24"/>
          <w:szCs w:val="24"/>
        </w:rPr>
        <w:t>[Publicada</w:t>
      </w:r>
      <w:proofErr w:type="gramEnd"/>
      <w:r w:rsidRPr="003757CE">
        <w:rPr>
          <w:rFonts w:asciiTheme="minorHAnsi" w:hAnsiTheme="minorHAnsi" w:cstheme="minorHAnsi"/>
          <w:sz w:val="24"/>
          <w:szCs w:val="24"/>
        </w:rPr>
        <w:t xml:space="preserve"> no Diário Oficial da União, Edição nº 26, Seção 1, Página 200, de 6 de fevereiro de 2023]</w:t>
      </w:r>
    </w:p>
    <w:p w14:paraId="7496EAD7" w14:textId="2CED5204" w:rsidR="00806249" w:rsidRPr="00FC6825" w:rsidRDefault="00806249" w:rsidP="00AB7BE0">
      <w:pPr>
        <w:spacing w:after="0" w:line="240" w:lineRule="auto"/>
        <w:ind w:left="567"/>
        <w:jc w:val="both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</w:pPr>
    </w:p>
    <w:sectPr w:rsidR="00806249" w:rsidRPr="00FC6825" w:rsidSect="00D5768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71187F">
          <w:rPr>
            <w:b/>
            <w:bCs/>
            <w:noProof/>
            <w:color w:val="008080"/>
          </w:rPr>
          <w:t>2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A1F"/>
    <w:multiLevelType w:val="hybridMultilevel"/>
    <w:tmpl w:val="14F07D0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663ED"/>
    <w:rsid w:val="00071C49"/>
    <w:rsid w:val="00076A2E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757CE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1187F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6825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82ade07a-6c26-4821-a308-1e7006d52e0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CB87A-E6CC-45FD-A0D0-9E334CFE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2</cp:revision>
  <cp:lastPrinted>2023-02-01T14:25:00Z</cp:lastPrinted>
  <dcterms:created xsi:type="dcterms:W3CDTF">2023-03-09T18:37:00Z</dcterms:created>
  <dcterms:modified xsi:type="dcterms:W3CDTF">2023-03-09T18:37:00Z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