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60.70pt" w:type="dxa"/>
        <w:tblInd w:w="5.6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014"/>
        <w:gridCol w:w="7200"/>
      </w:tblGrid>
      <w:tr w:rsidR="0059362E" w:rsidRPr="00395978">
        <w:tblPrEx>
          <w:tblCellMar>
            <w:top w:w="0pt" w:type="dxa"/>
            <w:bottom w:w="0pt" w:type="dxa"/>
          </w:tblCellMar>
        </w:tblPrEx>
        <w:trPr>
          <w:cantSplit/>
          <w:trHeight w:val="283"/>
        </w:trPr>
        <w:tc>
          <w:tcPr>
            <w:tcW w:w="100.70pt" w:type="dxa"/>
            <w:tcBorders>
              <w:top w:val="single" w:sz="8" w:space="0" w:color="7F7F7F"/>
              <w:bottom w:val="single" w:sz="8" w:space="0" w:color="7F7F7F"/>
              <w:end w:val="single" w:sz="8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9362E" w:rsidRPr="00395978" w:rsidRDefault="00452D8E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 w:rsidRPr="00395978"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pt" w:type="dxa"/>
            <w:tcBorders>
              <w:top w:val="single" w:sz="8" w:space="0" w:color="7F7F7F"/>
              <w:start w:val="single" w:sz="8" w:space="0" w:color="7F7F7F"/>
              <w:bottom w:val="single" w:sz="8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9362E" w:rsidRPr="00395978" w:rsidRDefault="0059362E">
            <w:pPr>
              <w:widowControl w:val="0"/>
              <w:rPr>
                <w:rFonts w:ascii="Times New Roman" w:hAnsi="Times New Roman"/>
                <w:bCs/>
                <w:strike/>
                <w:sz w:val="22"/>
                <w:szCs w:val="22"/>
                <w:lang w:eastAsia="pt-BR"/>
              </w:rPr>
            </w:pPr>
          </w:p>
        </w:tc>
      </w:tr>
      <w:tr w:rsidR="0059362E" w:rsidRPr="00395978">
        <w:tblPrEx>
          <w:tblCellMar>
            <w:top w:w="0pt" w:type="dxa"/>
            <w:bottom w:w="0pt" w:type="dxa"/>
          </w:tblCellMar>
        </w:tblPrEx>
        <w:trPr>
          <w:cantSplit/>
          <w:trHeight w:val="283"/>
        </w:trPr>
        <w:tc>
          <w:tcPr>
            <w:tcW w:w="100.70pt" w:type="dxa"/>
            <w:tcBorders>
              <w:top w:val="single" w:sz="8" w:space="0" w:color="7F7F7F"/>
              <w:bottom w:val="single" w:sz="8" w:space="0" w:color="7F7F7F"/>
              <w:end w:val="single" w:sz="8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9362E" w:rsidRPr="00395978" w:rsidRDefault="00452D8E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 w:rsidRPr="00395978"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pt" w:type="dxa"/>
            <w:tcBorders>
              <w:top w:val="single" w:sz="8" w:space="0" w:color="7F7F7F"/>
              <w:start w:val="single" w:sz="8" w:space="0" w:color="7F7F7F"/>
              <w:bottom w:val="single" w:sz="8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9362E" w:rsidRPr="00395978" w:rsidRDefault="00452D8E">
            <w:pPr>
              <w:widowControl w:val="0"/>
              <w:rPr>
                <w:rFonts w:ascii="Times New Roman" w:hAnsi="Times New Roman"/>
                <w:bCs/>
                <w:strike/>
                <w:sz w:val="22"/>
                <w:szCs w:val="22"/>
                <w:lang w:eastAsia="pt-BR"/>
              </w:rPr>
            </w:pPr>
            <w:r w:rsidRPr="00395978">
              <w:rPr>
                <w:rFonts w:ascii="Times New Roman" w:hAnsi="Times New Roman"/>
                <w:bCs/>
                <w:strike/>
                <w:sz w:val="22"/>
                <w:szCs w:val="22"/>
                <w:lang w:eastAsia="pt-BR"/>
              </w:rPr>
              <w:t>CAU/BR e CAU/UFs</w:t>
            </w:r>
          </w:p>
        </w:tc>
      </w:tr>
      <w:tr w:rsidR="0059362E" w:rsidRPr="00395978">
        <w:tblPrEx>
          <w:tblCellMar>
            <w:top w:w="0pt" w:type="dxa"/>
            <w:bottom w:w="0pt" w:type="dxa"/>
          </w:tblCellMar>
        </w:tblPrEx>
        <w:trPr>
          <w:cantSplit/>
          <w:trHeight w:val="283"/>
        </w:trPr>
        <w:tc>
          <w:tcPr>
            <w:tcW w:w="100.70pt" w:type="dxa"/>
            <w:tcBorders>
              <w:top w:val="single" w:sz="8" w:space="0" w:color="7F7F7F"/>
              <w:bottom w:val="single" w:sz="8" w:space="0" w:color="7F7F7F"/>
              <w:end w:val="single" w:sz="8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9362E" w:rsidRPr="00395978" w:rsidRDefault="00452D8E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 w:rsidRPr="00395978"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pt" w:type="dxa"/>
            <w:tcBorders>
              <w:top w:val="single" w:sz="8" w:space="0" w:color="7F7F7F"/>
              <w:start w:val="single" w:sz="8" w:space="0" w:color="7F7F7F"/>
              <w:bottom w:val="single" w:sz="8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9362E" w:rsidRPr="00395978" w:rsidRDefault="00452D8E">
            <w:pPr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95978">
              <w:rPr>
                <w:rFonts w:ascii="Times New Roman" w:hAnsi="Times New Roman"/>
                <w:strike/>
                <w:sz w:val="22"/>
                <w:szCs w:val="22"/>
              </w:rPr>
              <w:t>ALTERAÇÃO DAS DIRETRIZES PARA ELABORAÇÃO DO PLANO DE AÇÃO E ORÇAMENTO – EXERCÍCIO 2019 E UTILIZAÇÃO DO SUPERÁVIT FINANCEIRO PELO CAU/BR</w:t>
            </w:r>
            <w:r w:rsidRPr="00395978">
              <w:rPr>
                <w:rFonts w:ascii="Times New Roman" w:hAnsi="Times New Roman"/>
                <w:strike/>
                <w:sz w:val="22"/>
                <w:szCs w:val="22"/>
              </w:rPr>
              <w:t xml:space="preserve"> E PELOS CAU/UF.</w:t>
            </w:r>
          </w:p>
        </w:tc>
      </w:tr>
    </w:tbl>
    <w:p w:rsidR="0059362E" w:rsidRPr="00395978" w:rsidRDefault="00452D8E">
      <w:pPr>
        <w:pBdr>
          <w:top w:val="single" w:sz="8" w:space="0" w:color="7F7F7F"/>
          <w:bottom w:val="single" w:sz="8" w:space="1" w:color="7F7F7F"/>
        </w:pBdr>
        <w:shd w:val="clear" w:color="auto" w:fill="F2F2F2"/>
        <w:spacing w:before="6pt" w:after="6pt"/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 w:rsidRPr="00395978">
        <w:rPr>
          <w:rFonts w:ascii="Times New Roman" w:hAnsi="Times New Roman"/>
          <w:strike/>
          <w:sz w:val="22"/>
          <w:szCs w:val="22"/>
          <w:lang w:eastAsia="pt-BR"/>
        </w:rPr>
        <w:t>DELIBERAÇÃO PLENÁRIA DPOBR Nº 0084-03/2018</w:t>
      </w:r>
    </w:p>
    <w:p w:rsidR="0059362E" w:rsidRPr="00395978" w:rsidRDefault="00452D8E">
      <w:pPr>
        <w:ind w:start="255.15pt"/>
        <w:jc w:val="both"/>
        <w:rPr>
          <w:rFonts w:ascii="Times New Roman" w:hAnsi="Times New Roman"/>
          <w:strike/>
          <w:sz w:val="22"/>
          <w:szCs w:val="22"/>
        </w:rPr>
      </w:pPr>
      <w:r w:rsidRPr="00395978">
        <w:rPr>
          <w:rFonts w:ascii="Times New Roman" w:hAnsi="Times New Roman"/>
          <w:strike/>
          <w:sz w:val="22"/>
          <w:szCs w:val="22"/>
        </w:rPr>
        <w:t>Altera as Diretrizes para Elaboração do Plano de Ação e Orçamento – exercício 2019 e dispõe sobre a utilização do superávit financeiro pelo CAU/BR e pelos CAU/UF.</w:t>
      </w:r>
    </w:p>
    <w:p w:rsidR="0059362E" w:rsidRPr="00395978" w:rsidRDefault="0059362E">
      <w:pPr>
        <w:ind w:firstLine="85.05pt"/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59362E" w:rsidRPr="00395978" w:rsidRDefault="00452D8E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  <w:r w:rsidRPr="00395978">
        <w:rPr>
          <w:rFonts w:ascii="Times New Roman" w:eastAsia="Times New Roman" w:hAnsi="Times New Roman"/>
          <w:strike/>
          <w:sz w:val="22"/>
          <w:szCs w:val="22"/>
          <w:lang w:eastAsia="pt-BR"/>
        </w:rPr>
        <w:t>O PLENÁRIO DO CONSELHO DE ARQUI</w:t>
      </w:r>
      <w:r w:rsidRPr="00395978"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TETURA E URBANISMO DO BRASIL - CAU/BR no exercício das competências e prerrogativas de que tratam os artigos 2°, 4° e 30 do Regimento Interno do CAU/BR, reunido ordinariamente em Brasília/DF nos dias 22 e 23 de novembro de 2018, após análise do assunto em </w:t>
      </w:r>
      <w:r w:rsidRPr="00395978">
        <w:rPr>
          <w:rFonts w:ascii="Times New Roman" w:eastAsia="Times New Roman" w:hAnsi="Times New Roman"/>
          <w:strike/>
          <w:sz w:val="22"/>
          <w:szCs w:val="22"/>
          <w:lang w:eastAsia="pt-BR"/>
        </w:rPr>
        <w:t>epígrafe, e</w:t>
      </w:r>
    </w:p>
    <w:p w:rsidR="0059362E" w:rsidRPr="00395978" w:rsidRDefault="0059362E">
      <w:pPr>
        <w:pStyle w:val="Default"/>
        <w:jc w:val="center"/>
        <w:rPr>
          <w:rFonts w:eastAsia="Times New Roman"/>
          <w:b/>
          <w:strike/>
          <w:color w:val="auto"/>
          <w:sz w:val="22"/>
          <w:szCs w:val="22"/>
        </w:rPr>
      </w:pPr>
    </w:p>
    <w:p w:rsidR="0059362E" w:rsidRPr="00395978" w:rsidRDefault="00452D8E">
      <w:pPr>
        <w:tabs>
          <w:tab w:val="start" w:pos="70.90pt"/>
        </w:tabs>
        <w:jc w:val="both"/>
        <w:rPr>
          <w:strike/>
        </w:rPr>
      </w:pPr>
      <w:r w:rsidRPr="00395978">
        <w:rPr>
          <w:rFonts w:ascii="Times New Roman" w:hAnsi="Times New Roman"/>
          <w:strike/>
          <w:sz w:val="22"/>
          <w:szCs w:val="22"/>
        </w:rPr>
        <w:t xml:space="preserve">Considerando que nos termos do art. 24 da Lei 12.378, de 31 de dezembro de 2010, os Conselhos de Arquitetura e Urbanismo são </w:t>
      </w:r>
      <w:r w:rsidRPr="00395978">
        <w:rPr>
          <w:rFonts w:ascii="Times New Roman" w:hAnsi="Times New Roman"/>
          <w:strike/>
          <w:color w:val="000000"/>
          <w:sz w:val="22"/>
          <w:szCs w:val="22"/>
        </w:rPr>
        <w:t>autarquias dotadas de personalidade jurídica de direito público, com autonomia administrativa e financeira e estrutura</w:t>
      </w:r>
      <w:r w:rsidRPr="00395978">
        <w:rPr>
          <w:rFonts w:ascii="Times New Roman" w:hAnsi="Times New Roman"/>
          <w:strike/>
          <w:color w:val="000000"/>
          <w:sz w:val="22"/>
          <w:szCs w:val="22"/>
        </w:rPr>
        <w:t xml:space="preserve"> federativa, cujas atividades serão custeadas exclusivamente pelas próprias rendas;</w:t>
      </w: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hAnsi="Times New Roman"/>
          <w:strike/>
          <w:sz w:val="22"/>
          <w:szCs w:val="22"/>
        </w:rPr>
      </w:pPr>
    </w:p>
    <w:p w:rsidR="0059362E" w:rsidRPr="00395978" w:rsidRDefault="00452D8E">
      <w:pPr>
        <w:autoSpaceDE w:val="0"/>
        <w:jc w:val="both"/>
        <w:rPr>
          <w:strike/>
        </w:rPr>
      </w:pPr>
      <w:r w:rsidRPr="00395978">
        <w:rPr>
          <w:rFonts w:ascii="Times New Roman" w:hAnsi="Times New Roman"/>
          <w:strike/>
          <w:sz w:val="22"/>
          <w:szCs w:val="22"/>
        </w:rPr>
        <w:t xml:space="preserve">Considerando que, sendo autarquias federais, os Conselhos de Arquitetura e Urbanismo estão submetidos às </w:t>
      </w:r>
      <w:r w:rsidRPr="00395978">
        <w:rPr>
          <w:rFonts w:ascii="Times New Roman" w:eastAsia="Calibri" w:hAnsi="Times New Roman"/>
          <w:strike/>
          <w:sz w:val="22"/>
          <w:szCs w:val="22"/>
          <w:lang w:eastAsia="pt-BR"/>
        </w:rPr>
        <w:t>normas gerais de direito financeiro para elaboração e controle dos</w:t>
      </w:r>
      <w:r w:rsidRPr="00395978">
        <w:rPr>
          <w:rFonts w:ascii="Times New Roman" w:eastAsia="Calibri" w:hAnsi="Times New Roman"/>
          <w:strike/>
          <w:sz w:val="22"/>
          <w:szCs w:val="22"/>
          <w:lang w:eastAsia="pt-BR"/>
        </w:rPr>
        <w:t xml:space="preserve"> orçamentos e balanços previstas na Lei n° 4.320, de 17 de março de 1964;</w:t>
      </w: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eastAsia="Calibri" w:hAnsi="Times New Roman"/>
          <w:strike/>
          <w:sz w:val="22"/>
          <w:szCs w:val="22"/>
          <w:lang w:eastAsia="pt-BR"/>
        </w:rPr>
      </w:pPr>
    </w:p>
    <w:p w:rsidR="0059362E" w:rsidRPr="00395978" w:rsidRDefault="00452D8E">
      <w:pPr>
        <w:autoSpaceDE w:val="0"/>
        <w:jc w:val="both"/>
        <w:rPr>
          <w:rFonts w:ascii="Times New Roman" w:eastAsia="Calibri" w:hAnsi="Times New Roman"/>
          <w:strike/>
          <w:sz w:val="22"/>
          <w:szCs w:val="22"/>
          <w:lang w:eastAsia="pt-BR"/>
        </w:rPr>
      </w:pPr>
      <w:r w:rsidRPr="00395978">
        <w:rPr>
          <w:rFonts w:ascii="Times New Roman" w:eastAsia="Calibri" w:hAnsi="Times New Roman"/>
          <w:strike/>
          <w:sz w:val="22"/>
          <w:szCs w:val="22"/>
          <w:lang w:eastAsia="pt-BR"/>
        </w:rPr>
        <w:t>Considerando que a Lei n° 4.320, de 17 de março de 1964, autoriza inclusão, nas propostas orçamentárias anuais, de créditos adicionais, destinados a reforço de dotação orçamentária;</w:t>
      </w:r>
    </w:p>
    <w:p w:rsidR="0059362E" w:rsidRPr="00395978" w:rsidRDefault="0059362E">
      <w:pPr>
        <w:autoSpaceDE w:val="0"/>
        <w:jc w:val="both"/>
        <w:rPr>
          <w:rFonts w:ascii="Times New Roman" w:eastAsia="Calibri" w:hAnsi="Times New Roman"/>
          <w:strike/>
          <w:sz w:val="22"/>
          <w:szCs w:val="22"/>
          <w:lang w:eastAsia="pt-BR"/>
        </w:rPr>
      </w:pPr>
    </w:p>
    <w:p w:rsidR="0059362E" w:rsidRPr="00395978" w:rsidRDefault="00452D8E">
      <w:pPr>
        <w:autoSpaceDE w:val="0"/>
        <w:jc w:val="both"/>
        <w:rPr>
          <w:strike/>
        </w:rPr>
      </w:pPr>
      <w:r w:rsidRPr="00395978">
        <w:rPr>
          <w:rFonts w:ascii="Times New Roman" w:eastAsia="Calibri" w:hAnsi="Times New Roman"/>
          <w:strike/>
          <w:sz w:val="22"/>
          <w:szCs w:val="22"/>
          <w:lang w:eastAsia="pt-BR"/>
        </w:rPr>
        <w:t xml:space="preserve">Considerando que os </w:t>
      </w:r>
      <w:r w:rsidRPr="00395978">
        <w:rPr>
          <w:rFonts w:ascii="Times New Roman" w:hAnsi="Times New Roman"/>
          <w:strike/>
          <w:sz w:val="22"/>
          <w:szCs w:val="22"/>
        </w:rPr>
        <w:t xml:space="preserve">Conselhos de Arquitetura e Urbanismo dispõem de superávits financeiros verificados em exercícios anteriores; </w:t>
      </w:r>
    </w:p>
    <w:p w:rsidR="0059362E" w:rsidRPr="00395978" w:rsidRDefault="0059362E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</w:p>
    <w:p w:rsidR="0059362E" w:rsidRPr="00395978" w:rsidRDefault="00452D8E">
      <w:pPr>
        <w:autoSpaceDE w:val="0"/>
        <w:jc w:val="both"/>
        <w:rPr>
          <w:strike/>
        </w:rPr>
      </w:pPr>
      <w:r w:rsidRPr="00395978">
        <w:rPr>
          <w:rFonts w:ascii="Times New Roman" w:hAnsi="Times New Roman"/>
          <w:strike/>
          <w:sz w:val="22"/>
          <w:szCs w:val="22"/>
        </w:rPr>
        <w:t>Considerando a conveniência de que os recursos decorrentes de superávits financeiros dos exercícios anteriores dos</w:t>
      </w:r>
      <w:r w:rsidRPr="00395978">
        <w:rPr>
          <w:rFonts w:ascii="Times New Roman" w:eastAsia="Calibri" w:hAnsi="Times New Roman"/>
          <w:strike/>
          <w:sz w:val="22"/>
          <w:szCs w:val="22"/>
          <w:lang w:eastAsia="pt-BR"/>
        </w:rPr>
        <w:t xml:space="preserve"> </w:t>
      </w:r>
      <w:r w:rsidRPr="00395978">
        <w:rPr>
          <w:rFonts w:ascii="Times New Roman" w:hAnsi="Times New Roman"/>
          <w:strike/>
          <w:sz w:val="22"/>
          <w:szCs w:val="22"/>
        </w:rPr>
        <w:t>Conselho</w:t>
      </w:r>
      <w:r w:rsidRPr="00395978">
        <w:rPr>
          <w:rFonts w:ascii="Times New Roman" w:hAnsi="Times New Roman"/>
          <w:strike/>
          <w:sz w:val="22"/>
          <w:szCs w:val="22"/>
        </w:rPr>
        <w:t>s de Arquitetura e Urbanismo sejam utilizados em projetos estratégicos para o atingimento pleno das funções que o art. 24 da Lei n° 12.378 de 2010 confere a esses Conselhos;</w:t>
      </w:r>
    </w:p>
    <w:p w:rsidR="0059362E" w:rsidRPr="00395978" w:rsidRDefault="0059362E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</w:p>
    <w:p w:rsidR="0059362E" w:rsidRPr="00395978" w:rsidRDefault="00452D8E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  <w:r w:rsidRPr="00395978">
        <w:rPr>
          <w:rFonts w:ascii="Times New Roman" w:hAnsi="Times New Roman"/>
          <w:strike/>
          <w:sz w:val="22"/>
          <w:szCs w:val="22"/>
        </w:rPr>
        <w:t>Considerando a Lei de Responsabilidade Fiscal (Lei Complementar nº 101/2000) volt</w:t>
      </w:r>
      <w:r w:rsidRPr="00395978">
        <w:rPr>
          <w:rFonts w:ascii="Times New Roman" w:hAnsi="Times New Roman"/>
          <w:strike/>
          <w:sz w:val="22"/>
          <w:szCs w:val="22"/>
        </w:rPr>
        <w:t>ada à responsabilidade na gestão dos recursos financeiros; e</w:t>
      </w:r>
    </w:p>
    <w:p w:rsidR="0059362E" w:rsidRPr="00395978" w:rsidRDefault="0059362E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</w:p>
    <w:p w:rsidR="0059362E" w:rsidRPr="00395978" w:rsidRDefault="00452D8E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  <w:r w:rsidRPr="00395978">
        <w:rPr>
          <w:rFonts w:ascii="Times New Roman" w:hAnsi="Times New Roman"/>
          <w:strike/>
          <w:sz w:val="22"/>
          <w:szCs w:val="22"/>
        </w:rPr>
        <w:t>Considerando a Lei da Transparência (Lei Complementar nº 131/2009) que determina a obrigação da disponibilização de informações sobre a execução orçamentária e financeira dos entes públicos.</w:t>
      </w:r>
    </w:p>
    <w:p w:rsidR="0059362E" w:rsidRPr="00395978" w:rsidRDefault="0059362E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</w:p>
    <w:p w:rsidR="0059362E" w:rsidRPr="00395978" w:rsidRDefault="00452D8E">
      <w:pPr>
        <w:tabs>
          <w:tab w:val="start" w:pos="70.90pt"/>
        </w:tabs>
        <w:jc w:val="both"/>
        <w:rPr>
          <w:rFonts w:ascii="Times New Roman" w:hAnsi="Times New Roman"/>
          <w:b/>
          <w:strike/>
          <w:sz w:val="22"/>
          <w:szCs w:val="22"/>
        </w:rPr>
      </w:pPr>
      <w:r w:rsidRPr="00395978">
        <w:rPr>
          <w:rFonts w:ascii="Times New Roman" w:hAnsi="Times New Roman"/>
          <w:b/>
          <w:strike/>
          <w:sz w:val="22"/>
          <w:szCs w:val="22"/>
        </w:rPr>
        <w:t>DE</w:t>
      </w:r>
      <w:r w:rsidRPr="00395978">
        <w:rPr>
          <w:rFonts w:ascii="Times New Roman" w:hAnsi="Times New Roman"/>
          <w:b/>
          <w:strike/>
          <w:sz w:val="22"/>
          <w:szCs w:val="22"/>
        </w:rPr>
        <w:t>LIBERA:</w:t>
      </w: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hAnsi="Times New Roman"/>
          <w:b/>
          <w:strike/>
          <w:sz w:val="22"/>
          <w:szCs w:val="22"/>
        </w:rPr>
      </w:pPr>
    </w:p>
    <w:p w:rsidR="0059362E" w:rsidRPr="00395978" w:rsidRDefault="00452D8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 w:rsidRPr="00395978">
        <w:rPr>
          <w:rFonts w:ascii="Times New Roman" w:hAnsi="Times New Roman"/>
          <w:strike/>
          <w:sz w:val="22"/>
          <w:szCs w:val="22"/>
          <w:lang w:eastAsia="pt-BR"/>
        </w:rPr>
        <w:t>1– Suprimir, para Reprogramações do Plano de Ação a partir de 2019, nas Diretrizes para Elaboração do Plano de Ação e Orçamento – Exercício 2019, no item 3.6 “Focando Grupos de Despesas”, o tópico no qual se lê “A alocação dos recursos de Superávi</w:t>
      </w:r>
      <w:r w:rsidRPr="00395978">
        <w:rPr>
          <w:rFonts w:ascii="Times New Roman" w:hAnsi="Times New Roman"/>
          <w:strike/>
          <w:sz w:val="22"/>
          <w:szCs w:val="22"/>
          <w:lang w:eastAsia="pt-BR"/>
        </w:rPr>
        <w:t>t financeiro de exercícios anteriores (Receitas de Capital) fica condicionada à utilização em Despesas de Capital (ex. Bens móveis e imóveis)”;</w:t>
      </w: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hAnsi="Times New Roman"/>
          <w:b/>
          <w:strike/>
          <w:sz w:val="22"/>
          <w:szCs w:val="22"/>
        </w:rPr>
      </w:pPr>
    </w:p>
    <w:p w:rsidR="0059362E" w:rsidRPr="00395978" w:rsidRDefault="00452D8E">
      <w:pPr>
        <w:autoSpaceDE w:val="0"/>
        <w:jc w:val="both"/>
        <w:rPr>
          <w:strike/>
        </w:rPr>
      </w:pPr>
      <w:r w:rsidRPr="00395978">
        <w:rPr>
          <w:rFonts w:ascii="Times New Roman" w:hAnsi="Times New Roman"/>
          <w:iCs/>
          <w:strike/>
          <w:sz w:val="22"/>
          <w:szCs w:val="22"/>
          <w:lang w:eastAsia="pt-BR" w:bidi="he-IL"/>
        </w:rPr>
        <w:t xml:space="preserve">2 </w:t>
      </w:r>
      <w:r w:rsidRPr="00395978">
        <w:rPr>
          <w:rFonts w:ascii="Times New Roman" w:hAnsi="Times New Roman"/>
          <w:strike/>
          <w:sz w:val="22"/>
          <w:szCs w:val="22"/>
          <w:lang w:eastAsia="pt-BR"/>
        </w:rPr>
        <w:t>–</w:t>
      </w:r>
      <w:r w:rsidRPr="00395978">
        <w:rPr>
          <w:rFonts w:ascii="Times New Roman" w:hAnsi="Times New Roman"/>
          <w:iCs/>
          <w:strike/>
          <w:sz w:val="22"/>
          <w:szCs w:val="22"/>
          <w:lang w:eastAsia="pt-BR" w:bidi="he-IL"/>
        </w:rPr>
        <w:t xml:space="preserve"> </w:t>
      </w:r>
      <w:r w:rsidRPr="00395978">
        <w:rPr>
          <w:rFonts w:ascii="Times New Roman" w:hAnsi="Times New Roman"/>
          <w:strike/>
          <w:sz w:val="22"/>
          <w:szCs w:val="22"/>
        </w:rPr>
        <w:t>Autorizar a utilização de superávit financeiro, apurado no balanço patrimonial do exercício imediatamente a</w:t>
      </w:r>
      <w:r w:rsidRPr="00395978">
        <w:rPr>
          <w:rFonts w:ascii="Times New Roman" w:hAnsi="Times New Roman"/>
          <w:strike/>
          <w:sz w:val="22"/>
          <w:szCs w:val="22"/>
        </w:rPr>
        <w:t xml:space="preserve">nterior, em despesas de capital e em projetos específicos com seus respectivos Planos de </w:t>
      </w:r>
      <w:r w:rsidRPr="00395978">
        <w:rPr>
          <w:rFonts w:ascii="Times New Roman" w:hAnsi="Times New Roman"/>
          <w:strike/>
          <w:sz w:val="22"/>
          <w:szCs w:val="22"/>
        </w:rPr>
        <w:lastRenderedPageBreak/>
        <w:t>Trabalho e com duração não superior a um exercício, de caráter não continuado, em ações cuja realização seja suportada por despesas de natureza corrente;</w:t>
      </w:r>
    </w:p>
    <w:p w:rsidR="0059362E" w:rsidRPr="00395978" w:rsidRDefault="0059362E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</w:p>
    <w:p w:rsidR="0059362E" w:rsidRPr="00395978" w:rsidRDefault="00452D8E">
      <w:pPr>
        <w:autoSpaceDE w:val="0"/>
        <w:jc w:val="both"/>
        <w:rPr>
          <w:strike/>
        </w:rPr>
      </w:pPr>
      <w:r w:rsidRPr="00395978">
        <w:rPr>
          <w:rFonts w:ascii="Times New Roman" w:hAnsi="Times New Roman"/>
          <w:iCs/>
          <w:strike/>
          <w:sz w:val="22"/>
          <w:szCs w:val="22"/>
          <w:lang w:eastAsia="pt-BR" w:bidi="he-IL"/>
        </w:rPr>
        <w:t xml:space="preserve">3 </w:t>
      </w:r>
      <w:r w:rsidRPr="00395978">
        <w:rPr>
          <w:rFonts w:ascii="Times New Roman" w:hAnsi="Times New Roman"/>
          <w:strike/>
          <w:sz w:val="22"/>
          <w:szCs w:val="22"/>
          <w:lang w:eastAsia="pt-BR"/>
        </w:rPr>
        <w:t>–</w:t>
      </w:r>
      <w:r w:rsidRPr="00395978">
        <w:rPr>
          <w:rFonts w:ascii="Times New Roman" w:hAnsi="Times New Roman"/>
          <w:iCs/>
          <w:strike/>
          <w:sz w:val="22"/>
          <w:szCs w:val="22"/>
          <w:lang w:eastAsia="pt-BR" w:bidi="he-IL"/>
        </w:rPr>
        <w:t xml:space="preserve"> Estabele</w:t>
      </w:r>
      <w:r w:rsidRPr="00395978">
        <w:rPr>
          <w:rFonts w:ascii="Times New Roman" w:hAnsi="Times New Roman"/>
          <w:iCs/>
          <w:strike/>
          <w:sz w:val="22"/>
          <w:szCs w:val="22"/>
          <w:lang w:eastAsia="pt-BR" w:bidi="he-IL"/>
        </w:rPr>
        <w:t>cer que para fins de apuração do referido superávit financeiro, aplica-se o previsto no § 2º do art. 43, da Lei nº 4.320/64, como a diferença positiva entre o ativo financeiro e o passivo financeiro. Por tratamento contábil conservador, ficam definidos o a</w:t>
      </w:r>
      <w:r w:rsidRPr="00395978">
        <w:rPr>
          <w:rFonts w:ascii="Times New Roman" w:hAnsi="Times New Roman"/>
          <w:iCs/>
          <w:strike/>
          <w:sz w:val="22"/>
          <w:szCs w:val="22"/>
          <w:lang w:eastAsia="pt-BR" w:bidi="he-IL"/>
        </w:rPr>
        <w:t>tivo financeiro como o subgrupo de “Caixa e Equivalentes de Caixa” e o passivo financeiro como o subgrupo “Passivo Circulante” acrescido dos “Restos a pagar não processados”;</w:t>
      </w:r>
    </w:p>
    <w:p w:rsidR="0059362E" w:rsidRPr="00395978" w:rsidRDefault="0059362E">
      <w:pPr>
        <w:autoSpaceDE w:val="0"/>
        <w:jc w:val="both"/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</w:pPr>
    </w:p>
    <w:p w:rsidR="0059362E" w:rsidRPr="00395978" w:rsidRDefault="00452D8E">
      <w:pPr>
        <w:autoSpaceDE w:val="0"/>
        <w:jc w:val="both"/>
        <w:rPr>
          <w:strike/>
        </w:rPr>
      </w:pPr>
      <w:r w:rsidRPr="00395978"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  <w:t xml:space="preserve">4 </w:t>
      </w:r>
      <w:r w:rsidRPr="00395978">
        <w:rPr>
          <w:rFonts w:ascii="Times New Roman" w:hAnsi="Times New Roman"/>
          <w:strike/>
          <w:sz w:val="22"/>
          <w:szCs w:val="22"/>
          <w:lang w:eastAsia="pt-BR"/>
        </w:rPr>
        <w:t>– Definir que a</w:t>
      </w:r>
      <w:r w:rsidRPr="00395978"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  <w:t xml:space="preserve"> utilização de recursos do superávit financeiro deverá ser p</w:t>
      </w:r>
      <w:r w:rsidRPr="00395978"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  <w:t xml:space="preserve">reviamente aprovada pelas Comissões de Planejamento e Finanças ou equivalentes e pelos Plenários dos respectivos CAU/UF; </w:t>
      </w:r>
    </w:p>
    <w:p w:rsidR="0059362E" w:rsidRPr="00395978" w:rsidRDefault="0059362E">
      <w:pPr>
        <w:autoSpaceDE w:val="0"/>
        <w:jc w:val="both"/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</w:pPr>
    </w:p>
    <w:p w:rsidR="0059362E" w:rsidRPr="00395978" w:rsidRDefault="00452D8E">
      <w:pPr>
        <w:autoSpaceDE w:val="0"/>
        <w:jc w:val="both"/>
        <w:rPr>
          <w:strike/>
        </w:rPr>
      </w:pPr>
      <w:r w:rsidRPr="00395978"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  <w:t xml:space="preserve">5 </w:t>
      </w:r>
      <w:r w:rsidRPr="00395978">
        <w:rPr>
          <w:rFonts w:ascii="Times New Roman" w:hAnsi="Times New Roman"/>
          <w:strike/>
          <w:sz w:val="22"/>
          <w:szCs w:val="22"/>
          <w:lang w:eastAsia="pt-BR"/>
        </w:rPr>
        <w:t>–</w:t>
      </w:r>
      <w:r w:rsidRPr="00395978"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  <w:t xml:space="preserve"> Esclarecer que a</w:t>
      </w:r>
      <w:r w:rsidRPr="00395978">
        <w:rPr>
          <w:rFonts w:ascii="Times New Roman" w:hAnsi="Times New Roman"/>
          <w:strike/>
          <w:sz w:val="22"/>
          <w:szCs w:val="22"/>
        </w:rPr>
        <w:t xml:space="preserve"> utilização do superávit financeiro está sujeita à prévia autorização dos Plenários dos CAU/UF, que deverão estab</w:t>
      </w:r>
      <w:r w:rsidRPr="00395978">
        <w:rPr>
          <w:rFonts w:ascii="Times New Roman" w:hAnsi="Times New Roman"/>
          <w:strike/>
          <w:sz w:val="22"/>
          <w:szCs w:val="22"/>
        </w:rPr>
        <w:t xml:space="preserve">elecer critérios e percentuais de uso dos recursos, pois cada CAU/UF é responsável pelo uso do referido superávit; </w:t>
      </w:r>
    </w:p>
    <w:p w:rsidR="0059362E" w:rsidRPr="00395978" w:rsidRDefault="0059362E">
      <w:pPr>
        <w:autoSpaceDE w:val="0"/>
        <w:jc w:val="both"/>
        <w:rPr>
          <w:rFonts w:ascii="Times New Roman" w:hAnsi="Times New Roman"/>
          <w:strike/>
          <w:sz w:val="22"/>
          <w:szCs w:val="22"/>
          <w:shd w:val="clear" w:color="auto" w:fill="00FFFF"/>
        </w:rPr>
      </w:pPr>
    </w:p>
    <w:p w:rsidR="0059362E" w:rsidRPr="00395978" w:rsidRDefault="00452D8E">
      <w:pPr>
        <w:autoSpaceDE w:val="0"/>
        <w:jc w:val="both"/>
        <w:rPr>
          <w:strike/>
        </w:rPr>
      </w:pPr>
      <w:r w:rsidRPr="00395978"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  <w:t xml:space="preserve">6 </w:t>
      </w:r>
      <w:r w:rsidRPr="00395978">
        <w:rPr>
          <w:rFonts w:ascii="Times New Roman" w:hAnsi="Times New Roman"/>
          <w:strike/>
          <w:sz w:val="22"/>
          <w:szCs w:val="22"/>
          <w:lang w:eastAsia="pt-BR"/>
        </w:rPr>
        <w:t>–</w:t>
      </w:r>
      <w:r w:rsidRPr="00395978"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  <w:t xml:space="preserve"> Vedar a utilização dos recursos do superávit financeiro para remuneração de pessoal efetivo e de empregos de livre provimento e </w:t>
      </w:r>
      <w:r w:rsidRPr="00395978"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  <w:t>demissão, bem como de todos os encargos inerentes às despesas correntes;</w:t>
      </w:r>
    </w:p>
    <w:p w:rsidR="0059362E" w:rsidRPr="00395978" w:rsidRDefault="0059362E">
      <w:pPr>
        <w:autoSpaceDE w:val="0"/>
        <w:ind w:start="35.40pt"/>
        <w:jc w:val="both"/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</w:pPr>
    </w:p>
    <w:p w:rsidR="0059362E" w:rsidRPr="00395978" w:rsidRDefault="00452D8E">
      <w:pPr>
        <w:tabs>
          <w:tab w:val="start" w:pos="70.90pt"/>
        </w:tabs>
        <w:jc w:val="both"/>
        <w:rPr>
          <w:strike/>
        </w:rPr>
      </w:pPr>
      <w:r w:rsidRPr="00395978">
        <w:rPr>
          <w:rFonts w:ascii="Times New Roman" w:hAnsi="Times New Roman"/>
          <w:strike/>
          <w:sz w:val="22"/>
          <w:szCs w:val="22"/>
        </w:rPr>
        <w:t xml:space="preserve">7 </w:t>
      </w:r>
      <w:r w:rsidRPr="00395978">
        <w:rPr>
          <w:rFonts w:ascii="Times New Roman" w:hAnsi="Times New Roman"/>
          <w:strike/>
          <w:sz w:val="22"/>
          <w:szCs w:val="22"/>
          <w:lang w:eastAsia="pt-BR"/>
        </w:rPr>
        <w:t>–</w:t>
      </w:r>
      <w:r w:rsidRPr="00395978">
        <w:rPr>
          <w:rFonts w:ascii="Times New Roman" w:hAnsi="Times New Roman"/>
          <w:strike/>
          <w:sz w:val="22"/>
          <w:szCs w:val="22"/>
        </w:rPr>
        <w:t xml:space="preserve"> Definir que os projetos específicos, custeados </w:t>
      </w:r>
      <w:r w:rsidRPr="00395978">
        <w:rPr>
          <w:rFonts w:ascii="Times New Roman" w:hAnsi="Times New Roman"/>
          <w:iCs/>
          <w:strike/>
          <w:color w:val="000000"/>
          <w:sz w:val="22"/>
          <w:szCs w:val="22"/>
          <w:lang w:eastAsia="pt-BR" w:bidi="he-IL"/>
        </w:rPr>
        <w:t>com superávit financeiro</w:t>
      </w:r>
      <w:r w:rsidRPr="00395978">
        <w:rPr>
          <w:rFonts w:ascii="Times New Roman" w:hAnsi="Times New Roman"/>
          <w:strike/>
          <w:sz w:val="22"/>
          <w:szCs w:val="22"/>
        </w:rPr>
        <w:t>, estejam incluídos no Plano de Ação e Orçamento dos CAU/UF e do CAU/BR, e de suas Reprogramações, observan</w:t>
      </w:r>
      <w:r w:rsidRPr="00395978">
        <w:rPr>
          <w:rFonts w:ascii="Times New Roman" w:hAnsi="Times New Roman"/>
          <w:strike/>
          <w:sz w:val="22"/>
          <w:szCs w:val="22"/>
        </w:rPr>
        <w:t xml:space="preserve">do os procedimentos especificados nas Diretrizes de Elaboração; </w:t>
      </w: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hAnsi="Times New Roman"/>
          <w:strike/>
          <w:sz w:val="22"/>
          <w:szCs w:val="22"/>
        </w:rPr>
      </w:pPr>
    </w:p>
    <w:p w:rsidR="0059362E" w:rsidRPr="00395978" w:rsidRDefault="00452D8E">
      <w:pPr>
        <w:tabs>
          <w:tab w:val="start" w:pos="70.90pt"/>
        </w:tabs>
        <w:jc w:val="both"/>
        <w:rPr>
          <w:rFonts w:ascii="Times New Roman" w:hAnsi="Times New Roman"/>
          <w:strike/>
          <w:sz w:val="22"/>
          <w:szCs w:val="22"/>
        </w:rPr>
      </w:pPr>
      <w:r w:rsidRPr="00395978">
        <w:rPr>
          <w:rFonts w:ascii="Times New Roman" w:hAnsi="Times New Roman"/>
          <w:strike/>
          <w:sz w:val="22"/>
          <w:szCs w:val="22"/>
        </w:rPr>
        <w:t>8- Encaminhar esta deliberação para conhecimento dos CAU/UF; e</w:t>
      </w: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hAnsi="Times New Roman"/>
          <w:strike/>
          <w:sz w:val="22"/>
          <w:szCs w:val="22"/>
        </w:rPr>
      </w:pPr>
    </w:p>
    <w:p w:rsidR="0059362E" w:rsidRPr="00395978" w:rsidRDefault="00452D8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 w:rsidRPr="00395978">
        <w:rPr>
          <w:rFonts w:ascii="Times New Roman" w:hAnsi="Times New Roman"/>
          <w:strike/>
          <w:sz w:val="22"/>
          <w:szCs w:val="22"/>
          <w:lang w:eastAsia="pt-BR"/>
        </w:rPr>
        <w:t>9 – Encaminhar esta deliberação para publicação no sítio eletrônico do CAU/BR.</w:t>
      </w: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hAnsi="Times New Roman"/>
          <w:b/>
          <w:strike/>
          <w:sz w:val="22"/>
          <w:szCs w:val="22"/>
        </w:rPr>
      </w:pP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hAnsi="Times New Roman"/>
          <w:b/>
          <w:strike/>
          <w:sz w:val="22"/>
          <w:szCs w:val="22"/>
        </w:rPr>
      </w:pPr>
    </w:p>
    <w:p w:rsidR="0059362E" w:rsidRPr="00395978" w:rsidRDefault="00452D8E">
      <w:pPr>
        <w:tabs>
          <w:tab w:val="start" w:pos="70.90pt"/>
        </w:tabs>
        <w:jc w:val="both"/>
        <w:rPr>
          <w:rFonts w:ascii="Times New Roman" w:hAnsi="Times New Roman"/>
          <w:strike/>
          <w:sz w:val="22"/>
          <w:szCs w:val="22"/>
        </w:rPr>
      </w:pPr>
      <w:r w:rsidRPr="00395978">
        <w:rPr>
          <w:rFonts w:ascii="Times New Roman" w:hAnsi="Times New Roman"/>
          <w:strike/>
          <w:sz w:val="22"/>
          <w:szCs w:val="22"/>
        </w:rPr>
        <w:t>Esta Deliberação entra em vigor na data de su</w:t>
      </w:r>
      <w:r w:rsidRPr="00395978">
        <w:rPr>
          <w:rFonts w:ascii="Times New Roman" w:hAnsi="Times New Roman"/>
          <w:strike/>
          <w:sz w:val="22"/>
          <w:szCs w:val="22"/>
        </w:rPr>
        <w:t>a publicação.</w:t>
      </w: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hAnsi="Times New Roman"/>
          <w:strike/>
          <w:sz w:val="22"/>
          <w:szCs w:val="22"/>
        </w:rPr>
      </w:pPr>
    </w:p>
    <w:p w:rsidR="0059362E" w:rsidRPr="00395978" w:rsidRDefault="0059362E">
      <w:pPr>
        <w:tabs>
          <w:tab w:val="start" w:pos="70.90pt"/>
        </w:tabs>
        <w:jc w:val="both"/>
        <w:rPr>
          <w:rFonts w:ascii="Times New Roman" w:hAnsi="Times New Roman"/>
          <w:b/>
          <w:strike/>
          <w:sz w:val="22"/>
          <w:szCs w:val="22"/>
        </w:rPr>
      </w:pPr>
    </w:p>
    <w:p w:rsidR="0059362E" w:rsidRPr="00395978" w:rsidRDefault="00452D8E">
      <w:pPr>
        <w:autoSpaceDE w:val="0"/>
        <w:jc w:val="center"/>
        <w:rPr>
          <w:rFonts w:ascii="Times New Roman" w:eastAsia="Calibri" w:hAnsi="Times New Roman"/>
          <w:strike/>
          <w:sz w:val="22"/>
          <w:szCs w:val="22"/>
          <w:lang w:eastAsia="pt-BR"/>
        </w:rPr>
      </w:pPr>
      <w:r w:rsidRPr="00395978">
        <w:rPr>
          <w:rFonts w:ascii="Times New Roman" w:eastAsia="Calibri" w:hAnsi="Times New Roman"/>
          <w:strike/>
          <w:sz w:val="22"/>
          <w:szCs w:val="22"/>
          <w:lang w:eastAsia="pt-BR"/>
        </w:rPr>
        <w:t>Brasília-DF, 22 de novembro de 2018.</w:t>
      </w:r>
    </w:p>
    <w:p w:rsidR="0059362E" w:rsidRPr="00395978" w:rsidRDefault="0059362E">
      <w:pPr>
        <w:autoSpaceDE w:val="0"/>
        <w:jc w:val="center"/>
        <w:rPr>
          <w:rFonts w:ascii="Times New Roman" w:eastAsia="Calibri" w:hAnsi="Times New Roman"/>
          <w:strike/>
          <w:sz w:val="22"/>
          <w:szCs w:val="22"/>
          <w:lang w:eastAsia="pt-BR"/>
        </w:rPr>
      </w:pPr>
    </w:p>
    <w:p w:rsidR="0059362E" w:rsidRPr="00395978" w:rsidRDefault="0059362E">
      <w:pPr>
        <w:autoSpaceDE w:val="0"/>
        <w:jc w:val="center"/>
        <w:rPr>
          <w:rFonts w:ascii="Times New Roman" w:eastAsia="Calibri" w:hAnsi="Times New Roman"/>
          <w:strike/>
          <w:sz w:val="22"/>
          <w:szCs w:val="22"/>
          <w:lang w:eastAsia="pt-BR"/>
        </w:rPr>
      </w:pPr>
    </w:p>
    <w:p w:rsidR="0059362E" w:rsidRPr="00395978" w:rsidRDefault="0059362E">
      <w:pPr>
        <w:autoSpaceDE w:val="0"/>
        <w:jc w:val="center"/>
        <w:rPr>
          <w:rFonts w:ascii="Times New Roman" w:eastAsia="Calibri" w:hAnsi="Times New Roman"/>
          <w:strike/>
          <w:sz w:val="22"/>
          <w:szCs w:val="22"/>
          <w:lang w:eastAsia="pt-BR"/>
        </w:rPr>
      </w:pPr>
    </w:p>
    <w:p w:rsidR="0059362E" w:rsidRPr="00395978" w:rsidRDefault="0059362E">
      <w:pPr>
        <w:autoSpaceDE w:val="0"/>
        <w:jc w:val="center"/>
        <w:rPr>
          <w:rFonts w:ascii="Times New Roman" w:eastAsia="Calibri" w:hAnsi="Times New Roman"/>
          <w:strike/>
          <w:sz w:val="22"/>
          <w:szCs w:val="22"/>
          <w:lang w:eastAsia="pt-BR"/>
        </w:rPr>
      </w:pPr>
    </w:p>
    <w:p w:rsidR="0059362E" w:rsidRPr="00395978" w:rsidRDefault="00452D8E">
      <w:pPr>
        <w:autoSpaceDE w:val="0"/>
        <w:jc w:val="center"/>
        <w:rPr>
          <w:strike/>
        </w:rPr>
      </w:pPr>
      <w:r w:rsidRPr="00395978">
        <w:rPr>
          <w:rFonts w:ascii="Times New Roman" w:eastAsia="Calibri" w:hAnsi="Times New Roman"/>
          <w:b/>
          <w:bCs/>
          <w:strike/>
          <w:sz w:val="22"/>
          <w:szCs w:val="22"/>
          <w:lang w:eastAsia="pt-BR"/>
        </w:rPr>
        <w:t>Luciano Guimarães</w:t>
      </w:r>
    </w:p>
    <w:p w:rsidR="0059362E" w:rsidRPr="00395978" w:rsidRDefault="00452D8E">
      <w:pPr>
        <w:autoSpaceDE w:val="0"/>
        <w:jc w:val="center"/>
        <w:rPr>
          <w:rFonts w:ascii="Times New Roman" w:eastAsia="Calibri" w:hAnsi="Times New Roman"/>
          <w:strike/>
          <w:sz w:val="22"/>
          <w:szCs w:val="22"/>
          <w:lang w:eastAsia="pt-BR"/>
        </w:rPr>
      </w:pPr>
      <w:r w:rsidRPr="00395978">
        <w:rPr>
          <w:rFonts w:ascii="Times New Roman" w:eastAsia="Calibri" w:hAnsi="Times New Roman"/>
          <w:strike/>
          <w:sz w:val="22"/>
          <w:szCs w:val="22"/>
          <w:lang w:eastAsia="pt-BR"/>
        </w:rPr>
        <w:t>Presidente do CAU/BR</w:t>
      </w: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59362E">
      <w:pPr>
        <w:autoSpaceDE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:rsidR="0059362E" w:rsidRDefault="00452D8E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lastRenderedPageBreak/>
        <w:t>84ª REUNIÃO PLENÁRIA ORDINÁRIA DO CAU/BR</w:t>
      </w:r>
    </w:p>
    <w:p w:rsidR="0059362E" w:rsidRDefault="0059362E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59362E" w:rsidRDefault="00452D8E">
      <w:pPr>
        <w:spacing w:after="6pt"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477.3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43"/>
        <w:gridCol w:w="3919"/>
        <w:gridCol w:w="1134"/>
        <w:gridCol w:w="1134"/>
        <w:gridCol w:w="1134"/>
        <w:gridCol w:w="1182"/>
      </w:tblGrid>
      <w:tr w:rsidR="0059362E">
        <w:tblPrEx>
          <w:tblCellMar>
            <w:top w:w="0pt" w:type="dxa"/>
            <w:bottom w:w="0pt" w:type="dxa"/>
          </w:tblCellMar>
        </w:tblPrEx>
        <w:tc>
          <w:tcPr>
            <w:tcW w:w="52.1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95.9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229.2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59362E">
        <w:tblPrEx>
          <w:tblCellMar>
            <w:top w:w="0pt" w:type="dxa"/>
            <w:bottom w:w="0pt" w:type="dxa"/>
          </w:tblCellMar>
        </w:tblPrEx>
        <w:tc>
          <w:tcPr>
            <w:tcW w:w="52.1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59362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95.9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59362E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ind w:start="-2.65pt" w:end="-2.20p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</w:t>
            </w: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AC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Alfredo Renato Pena Brana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Josemée Gomes de Lima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Claudemir José de Andrade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Humberto Mauro Andrade Cruz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 xml:space="preserve">Guivaldo D’Alexandria Baptista  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>Antônio Luciano de Lima Guimarães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Raul Wanderley Gradim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ES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Eduardo Pasquinelli Rocio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GO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>Maria Eliana Jubé Ribeiro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>Emerson do Nascimento Fraga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Eduardo Fajardo Soares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Osvaldo Abrão de Souza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Wilson Fernando Vargas de Andrade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>Alice da Silva Rodrigues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>Cristina Evelise Vieira Alexandre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PE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Diego Lins Novaes Ferraz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PI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José Gerardo da Fonseca Soares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RJ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>Carlos Fernando de Souza Leão Andrade</w:t>
            </w:r>
          </w:p>
        </w:tc>
        <w:tc>
          <w:tcPr>
            <w:tcW w:w="229.2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Afastado por tempo indeterminado</w:t>
            </w: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>Patricia Silva Luz Macedo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Tiago Roberto Gadelha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RR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 xml:space="preserve">Nikson </w:t>
            </w:r>
            <w:r>
              <w:rPr>
                <w:rFonts w:ascii="Times New Roman" w:hAnsi="Times New Roman"/>
                <w:sz w:val="22"/>
                <w:szCs w:val="22"/>
              </w:rPr>
              <w:t>Dias de Oliveira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RS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Ednezer Rodrigues Flores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Giovani Bonetti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José Queiroz da Costa Filho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>Nadia Somekh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TO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r>
              <w:rPr>
                <w:rFonts w:ascii="Times New Roman" w:hAnsi="Times New Roman"/>
                <w:sz w:val="22"/>
                <w:szCs w:val="22"/>
              </w:rPr>
              <w:t>Matozalém Sousa Santana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5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IES</w:t>
            </w:r>
          </w:p>
        </w:tc>
        <w:tc>
          <w:tcPr>
            <w:tcW w:w="19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452D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Andrea Lúcia Vilella Arruda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20"/>
        </w:trPr>
        <w:tc>
          <w:tcPr>
            <w:tcW w:w="52.1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59362E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95.9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9362E" w:rsidRDefault="0059362E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59.1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59362E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</w:tr>
      <w:tr w:rsidR="0059362E">
        <w:tblPrEx>
          <w:tblCellMar>
            <w:top w:w="0pt" w:type="dxa"/>
            <w:bottom w:w="0pt" w:type="dxa"/>
          </w:tblCellMar>
        </w:tblPrEx>
        <w:trPr>
          <w:trHeight w:val="3186"/>
        </w:trPr>
        <w:tc>
          <w:tcPr>
            <w:tcW w:w="477.3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FF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9362E" w:rsidRDefault="00452D8E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59362E" w:rsidRDefault="0059362E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</w:p>
          <w:p w:rsidR="0059362E" w:rsidRDefault="00452D8E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Reunião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Plenária Ordinária Nº 084/2018                                                                       </w:t>
            </w:r>
          </w:p>
          <w:p w:rsidR="0059362E" w:rsidRDefault="0059362E">
            <w:pP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:rsidR="0059362E" w:rsidRDefault="00452D8E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Data: 22/11/2018                                                                                                              </w:t>
            </w:r>
          </w:p>
          <w:p w:rsidR="0059362E" w:rsidRDefault="0059362E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</w:p>
          <w:p w:rsidR="0059362E" w:rsidRDefault="00452D8E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5.3.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Projeto de Deliberação Plenária que altera as Diretrizes para Elaboração do Plano de Ação e Orçamento 2019 e estabelece recomendações sobre a utilização do superávit financeiro pelos Conselhos de Arquitetura e Urbanismo do Brasil e das Unidades da Federaçã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o.</w:t>
            </w:r>
          </w:p>
          <w:p w:rsidR="0059362E" w:rsidRDefault="0059362E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59362E" w:rsidRDefault="00452D8E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(23)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(04)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(27) </w:t>
            </w:r>
          </w:p>
          <w:p w:rsidR="0059362E" w:rsidRDefault="0059362E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59362E" w:rsidRDefault="00452D8E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O conselheiro do Estado do Acre, Alfredo Renato Pena Brana, declarou-se a favor da matéria. </w:t>
            </w:r>
          </w:p>
          <w:p w:rsidR="0059362E" w:rsidRDefault="0059362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59362E" w:rsidRDefault="00452D8E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Secretário: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Condutor dos trabalhos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(Presidente):</w:t>
            </w:r>
          </w:p>
        </w:tc>
      </w:tr>
    </w:tbl>
    <w:p w:rsidR="0059362E" w:rsidRDefault="0059362E">
      <w:pPr>
        <w:pStyle w:val="Default"/>
        <w:jc w:val="center"/>
        <w:rPr>
          <w:rFonts w:ascii="Arial" w:hAnsi="Arial" w:cs="Arial"/>
          <w:sz w:val="22"/>
        </w:rPr>
      </w:pPr>
    </w:p>
    <w:sectPr w:rsidR="0059362E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52D8E" w:rsidRDefault="00452D8E">
      <w:r>
        <w:separator/>
      </w:r>
    </w:p>
  </w:endnote>
  <w:endnote w:type="continuationSeparator" w:id="0">
    <w:p w:rsidR="00452D8E" w:rsidRDefault="0045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91DE5" w:rsidRDefault="00452D8E">
    <w:pPr>
      <w:pStyle w:val="Rodap"/>
      <w:ind w:end="18pt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6614769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F91DE5" w:rsidRDefault="00452D8E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 w:rsidR="003E6A51"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rStyle w:val="Nmerodepgina"/>
        <w:rFonts w:ascii="Times New Roman" w:hAnsi="Times New Roman"/>
        <w:color w:val="296D7A"/>
        <w:sz w:val="18"/>
      </w:rPr>
      <w:t>DELIBERAÇÃO PLENÁRIA DPOBR Nº 0084-03/2018</w:t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-990596</wp:posOffset>
          </wp:positionH>
          <wp:positionV relativeFrom="paragraph">
            <wp:posOffset>-519434</wp:posOffset>
          </wp:positionV>
          <wp:extent cx="7547613" cy="1081406"/>
          <wp:effectExtent l="0" t="0" r="0" b="4444"/>
          <wp:wrapNone/>
          <wp:docPr id="3" name="Imagem 47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52D8E" w:rsidRDefault="00452D8E">
      <w:r>
        <w:rPr>
          <w:color w:val="000000"/>
        </w:rPr>
        <w:separator/>
      </w:r>
    </w:p>
  </w:footnote>
  <w:footnote w:type="continuationSeparator" w:id="0">
    <w:p w:rsidR="00452D8E" w:rsidRDefault="00452D8E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91DE5" w:rsidRDefault="00452D8E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64" descr="CAU-BR-timbrado2015--T0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362E"/>
    <w:rsid w:val="00144457"/>
    <w:rsid w:val="00395978"/>
    <w:rsid w:val="003E6A51"/>
    <w:rsid w:val="00452D8E"/>
    <w:rsid w:val="005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8228F92-1744-4BBC-A634-6017ADB418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pPr>
      <w:ind w:start="35.40pt"/>
    </w:pPr>
  </w:style>
  <w:style w:type="paragraph" w:customStyle="1" w:styleId="Default">
    <w:name w:val="Default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1031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2018-11-21T17:42:00Z</cp:lastPrinted>
  <dcterms:created xsi:type="dcterms:W3CDTF">2021-07-29T14:17:00Z</dcterms:created>
  <dcterms:modified xsi:type="dcterms:W3CDTF">2021-07-29T14:17:00Z</dcterms:modified>
</cp:coreProperties>
</file>