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533A4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  <w:bCs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669250/2018</w:t>
            </w: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33A42" w:rsidRDefault="006C4153"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CAU/BR E ASC</w:t>
            </w: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33A42" w:rsidRDefault="006C4153">
            <w:pPr>
              <w:jc w:val="both"/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REPRESENTAÇÃO DO CAU/BR PARA A 5ª FEIRA INTERNACIONAL DE COMÉRCIO DE SERVIÇOS EM PEQUIM, CHINA (CIFTIS) E REUNIÃO COM A ORDEM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DOS ARQUITECTOS DE PORTUGAL (OA) PARA OPERACIONALIZAÇÃO DO ACORDO DE COOPERAÇÃO.</w:t>
            </w:r>
          </w:p>
        </w:tc>
      </w:tr>
    </w:tbl>
    <w:p w:rsidR="00533A42" w:rsidRDefault="006C4153">
      <w:pPr>
        <w:pBdr>
          <w:top w:val="single" w:sz="8" w:space="0" w:color="7F7F7F"/>
          <w:bottom w:val="single" w:sz="8" w:space="1" w:color="7F7F7F"/>
        </w:pBdr>
        <w:shd w:val="clear" w:color="auto" w:fill="F2F2F2"/>
        <w:spacing w:before="120" w:after="120"/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DELIBERAÇÃO PLENÁRIA DPOBR Nº 0077-20/2018</w:t>
      </w:r>
    </w:p>
    <w:p w:rsidR="00533A42" w:rsidRDefault="006C4153">
      <w:pPr>
        <w:ind w:left="5103"/>
        <w:jc w:val="both"/>
      </w:pPr>
      <w:r>
        <w:rPr>
          <w:rFonts w:ascii="Times New Roman" w:hAnsi="Times New Roman"/>
          <w:sz w:val="22"/>
          <w:szCs w:val="22"/>
        </w:rPr>
        <w:t xml:space="preserve">Designa a representação do CAU/BR para a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5ª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Feira Internacional de Pequim sobre Comércio de Serviços (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CIFTIS) e reunião com a Ordem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 dos Arquitectos de Portugal (OA)</w:t>
      </w:r>
      <w:r>
        <w:rPr>
          <w:rFonts w:ascii="Times New Roman" w:hAnsi="Times New Roman"/>
          <w:sz w:val="22"/>
          <w:szCs w:val="22"/>
        </w:rPr>
        <w:t>.</w:t>
      </w:r>
    </w:p>
    <w:p w:rsidR="00533A42" w:rsidRDefault="00533A42">
      <w:pPr>
        <w:ind w:firstLine="1701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O PLENÁRIO DO CONSELHO DE ARQUITETURA E URBANISMO DO BRASIL - CAU/BR no exercício das competências e prerrogativas de que tratam os artigos 2°, 4° e 30 do Regimento Interno do CAU/BR, reunido ordinariamente em Brasília/D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F nos dias 26 e 27 de abril de 2018, após análise do assunto em epígrafe, e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comunicação recebida do Ministério da Indústria, Comércio Exterior e Serviços da República Federativa do Brasil (MDIC) em 19 de fevereiro de 2018, solicitando manif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estação de interesse do CAU/BR em participar da delegação brasileira para atração de investimentos durante a 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 xml:space="preserve">5ª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Feira Internacional de Pequim sobre Comércio de Serviços (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CIFTIS), a ser realizada em Pequim, China, no período de 28 de maio a 1º de junho de 2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018;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a iniciativa, apoiada pelo governo Chinês, é a primeira feira internacional de comércio de serviços que abrange todos os 12 setores de serviços definidos pela Organização Mundial do Comércio (OMC); e que desde 2012, 562 mil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comerciantes de 173 países e regiões foram engajados, consolidando a CIFTIS, segundo o próprio MDIC, como um “grande evento internacional para difundir ideias, unir oferta e demanda, compartilhar oportunidades de negócios e promover o desenvolvimento do co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mércio internacional de serviços”;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na edição de 2018 o Brasil foi designado como convidado de honra, o que garante à delegação brasileira posição de destaque na exibição, prioridade na consolidação da agenda com negociadores internacionai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s, assistência integral do comitê organizador do evento, convite para discurso na reunião de cúpula, espaço para a promoção de eventos temáticos, entre outros privilégios;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a estratégia do governo brasileiro no evento é orientada em três f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rentes: visibilidade, no sentido de alavancar a imagem do país; recepção de investimento estrangeiro direto (IED), visando apresentar oportunidades para investimentos estrangeiros; e rodadas de negócios, com o intuito de aproveitar o espaço para promover 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ncontros entre empresários brasileiros e compradores chineses e internacionais presentes na feira;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o convite ao Brasil em posição de destaque se deu no âmbito do Memorando de Entendimento entre o MDIC e o Ministério do Comércio da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República Popular da China (MOFCOM) sobre Cooperação em Comércio de Serviços, firmado em 10 de outubro de 2016;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o CAU/BR, a convite do MDIC, tem acompanhado e subsidiado desde o início as tratativas intergovenamentais, como regulador bras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ileiro do setor de Arquitetura e Urbanismo; tendo inclusive contribuído com a elaboração do respectivo Plano de Trabalho;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que, em alinhamento à agenda governamental, o CAU/BR firmou, em 4 de setembro de 2017, Memorando de Entendimento com a 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ociedade Arquitetônica da China (ASC);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>Considerando que o contato com a contraparte do CAU/BR na China foi reestabelecido pelos membros atuais da CRI; e que a ASC, em resposta, reiterou o compromisso com a promoção de atividades conjuntas para o fortaleci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mento da Arquitetura e Urbanismo, registrando especial interesse em ações de fomento ao intercâmbio acadêmico e profissional;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está previsto na agenda do evento o diálogo setorial entre os órgãos reguladores de Arquitetura e Urbanismo do B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rasil e da China, oportunidade para a elaboração conjunta de um Plano de Trabalho para o triênio que se inicia;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a China é um dos principais parceiros comerciais do Brasil, figurando entre os nossos principais compradores e também entre os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principais importadores; superando inclusive o fluxo de comércio entre o Brasil e os mais importantes blocos comerciais, como a União Europeia, o sudeste asiático e o MERCOSUL;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que o país é considerado pelas entidades que compõem o Fórum de </w:t>
      </w:r>
      <w:r>
        <w:rPr>
          <w:rFonts w:ascii="Times New Roman" w:hAnsi="Times New Roman"/>
          <w:sz w:val="22"/>
          <w:szCs w:val="22"/>
          <w:lang w:eastAsia="pt-BR"/>
        </w:rPr>
        <w:t>Inserção Internacional de Serviços Brasileiros de Arquitetura um dos principais mercados estratégicos atuais para a exportação de serviços de Arquitetura e Urbanismo brasileiros;</w:t>
      </w:r>
    </w:p>
    <w:p w:rsidR="00533A42" w:rsidRDefault="00533A4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as Deliberações CRI-CAU/BR nº 014/2018 e 021/2018, que propõem </w:t>
      </w:r>
      <w:r>
        <w:rPr>
          <w:rFonts w:ascii="Times New Roman" w:hAnsi="Times New Roman"/>
          <w:sz w:val="22"/>
          <w:szCs w:val="22"/>
          <w:lang w:eastAsia="pt-BR"/>
        </w:rPr>
        <w:t xml:space="preserve">a participação do CAU/BR na 5ª CIFTIS,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recomendando, na oportunidade, o contato com arquitetos brasileiros que atuam na China para conhecimento das respectivas experiências de internacionalização</w:t>
      </w:r>
      <w:r>
        <w:rPr>
          <w:rFonts w:ascii="Times New Roman" w:hAnsi="Times New Roman"/>
          <w:sz w:val="22"/>
          <w:szCs w:val="22"/>
          <w:lang w:eastAsia="pt-BR"/>
        </w:rPr>
        <w:t>;</w:t>
      </w:r>
    </w:p>
    <w:p w:rsidR="00533A42" w:rsidRDefault="00533A4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o Acordo de Cooperação para a harmonização da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s condições de inscrição de arquitetos portugueses e brasileiros e de arquitetos e urbanistas brasileiros e portugueses junto ao Conselho de Arquitetura e Urbanismo do Brasil e da Ordem dos Arquitectos de Portugal, firmado em 6 de dezembro de 2013 e respec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tivo 1º Termo aditivo, firmado em 14 de julho de 2016;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fim de sua vigência em 1º de janeiro de </w:t>
      </w:r>
      <w:r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2019 e a previsão orçamentária para duas reuniões em 2018; e</w:t>
      </w:r>
    </w:p>
    <w:p w:rsidR="00533A42" w:rsidRDefault="00533A42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o diagnóstico, no período de transição de gestão, dos entraves referen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tes à operacionalização da cooperação internacional, e as comunicações enviadas à Ordem dos Arquitectos de Portugal para o agendamento de uma reunião da Comissão Técnica de Acompanhamento do acordo.</w:t>
      </w:r>
    </w:p>
    <w:p w:rsidR="00533A42" w:rsidRDefault="00533A42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:rsidR="00533A42" w:rsidRDefault="00533A4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 xml:space="preserve">1 – Designar o coordenador da CRI-CAU/BR, </w:t>
      </w:r>
      <w:r>
        <w:rPr>
          <w:rFonts w:ascii="Times New Roman" w:hAnsi="Times New Roman"/>
          <w:sz w:val="22"/>
          <w:szCs w:val="22"/>
          <w:lang w:eastAsia="pt-BR"/>
        </w:rPr>
        <w:t xml:space="preserve">Fernando Márcio de Oliveira, para representar o CAU/BR na </w:t>
      </w:r>
      <w:r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 xml:space="preserve">5ª </w:t>
      </w: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Feira Internacional de Pequim sobre Comércio de Serviços (</w:t>
      </w:r>
      <w:r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CIFTIS)</w:t>
      </w:r>
      <w:r>
        <w:rPr>
          <w:rFonts w:ascii="Times New Roman" w:eastAsia="Times New Roman" w:hAnsi="Times New Roman"/>
          <w:bCs/>
          <w:sz w:val="22"/>
          <w:szCs w:val="22"/>
          <w:lang w:eastAsia="pt-BR"/>
        </w:rPr>
        <w:t>, a ser realizada em Pequim, China, no período de 28 de maio a 1º de junho de 2018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2 - Recomendar a integração da representação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com reunião com a </w:t>
      </w: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Ordem dos Arquitectos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para a resolução dos entraves encontrados na operacionalização do Acordo de Cooperação e avaliação conjunta das condições de sua renovação; e</w:t>
      </w:r>
    </w:p>
    <w:p w:rsidR="00533A42" w:rsidRDefault="00533A4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3 - Encaminhar esta deliberação para publicação no sítio eletrônico do CA</w:t>
      </w:r>
      <w:r>
        <w:rPr>
          <w:rFonts w:ascii="Times New Roman" w:hAnsi="Times New Roman"/>
          <w:sz w:val="22"/>
          <w:szCs w:val="22"/>
          <w:lang w:eastAsia="pt-BR"/>
        </w:rPr>
        <w:t>U/BR.</w:t>
      </w:r>
    </w:p>
    <w:p w:rsidR="00533A42" w:rsidRDefault="00533A4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33A42" w:rsidRDefault="006C4153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Esta deliberação entra em vigor na data de sua publicação.</w:t>
      </w:r>
    </w:p>
    <w:p w:rsidR="00533A42" w:rsidRDefault="00533A4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33A42" w:rsidRDefault="006C4153">
      <w:pPr>
        <w:spacing w:after="120"/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Brasília-DF, 27 de abril de 2018.</w:t>
      </w:r>
    </w:p>
    <w:p w:rsidR="00533A42" w:rsidRDefault="00533A42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533A42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Guivaldo D’Alexandria Baptista  </w:t>
      </w:r>
    </w:p>
    <w:p w:rsidR="00533A42" w:rsidRDefault="006C4153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Segundo Vice-Presidente no exercício da Presidência do CAU/BR</w:t>
      </w:r>
    </w:p>
    <w:p w:rsidR="00533A42" w:rsidRDefault="00533A42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533A42" w:rsidRDefault="006C4153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77ª REUNIÃO PLENÁRIA ORDINÁRIA DO CAU/BR </w:t>
      </w:r>
    </w:p>
    <w:p w:rsidR="00533A42" w:rsidRDefault="00533A42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:rsidR="00533A42" w:rsidRDefault="006C4153">
      <w:pPr>
        <w:spacing w:after="120"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Folha de </w:t>
      </w: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Votação</w:t>
      </w:r>
    </w:p>
    <w:tbl>
      <w:tblPr>
        <w:tblW w:w="9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3919"/>
        <w:gridCol w:w="1134"/>
        <w:gridCol w:w="1134"/>
        <w:gridCol w:w="1134"/>
        <w:gridCol w:w="1182"/>
      </w:tblGrid>
      <w:tr w:rsidR="00533A42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533A42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533A42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533A42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ind w:left="-53" w:right="-44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</w:t>
            </w: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Joselia da Silva Albuquerque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Josemée Gomes de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AM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Claudemir José Andrade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Humberto Mauro Andrade Cruz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 xml:space="preserve">Guivaldo D’Alexandria Baptista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 xml:space="preserve">Antônio </w:t>
            </w:r>
            <w:r>
              <w:rPr>
                <w:rFonts w:ascii="Times New Roman" w:hAnsi="Times New Roman"/>
                <w:sz w:val="22"/>
                <w:szCs w:val="22"/>
              </w:rPr>
              <w:t>Luciano de Lima Guimarães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Raul Wanderley Gradim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Edezio Caldeira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>Maria Eliana Jubé Ribeiro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>Lourival José Coelho Neto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 xml:space="preserve">Eduardo Fajardo Soares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Osvaldo Abrão de Souza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MT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Wilson Fernando Vargas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Andrade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>Juliano Pamplona Ximenes Ponte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>Hélio Cavalcanti da Costa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 xml:space="preserve">Roberto Salomão do Amaral e Melo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PI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José Gerardo da Fonseca Soares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RJ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>Carlos Fernando de Souza Leão Andrade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 xml:space="preserve">José Jeferson de Sousa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Roseana de Almeida Vasconcelos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>Nikson Dias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Ednezer Rodrigues Flores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Ricardo Martins da Fonseca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Fernando Márcio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>Helena Aparecida Ayoub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 xml:space="preserve">Matozalém Souza Santana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6C4153">
            <w:r>
              <w:rPr>
                <w:rFonts w:ascii="Times New Roman" w:hAnsi="Times New Roman"/>
                <w:sz w:val="22"/>
                <w:szCs w:val="22"/>
              </w:rPr>
              <w:t>Andrea Lúcia Vilella Arruda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533A42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A42" w:rsidRDefault="00533A42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533A42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533A42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9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A42" w:rsidRDefault="006C4153">
            <w:pPr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533A42" w:rsidRDefault="00533A4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  <w:p w:rsidR="00533A42" w:rsidRDefault="006C4153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Reunião Plenária Ordinária Nº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077/2018                                                                       </w:t>
            </w:r>
          </w:p>
          <w:p w:rsidR="00533A42" w:rsidRDefault="00533A42">
            <w:pP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:rsidR="00533A42" w:rsidRDefault="006C4153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27/04/2018</w:t>
            </w:r>
          </w:p>
          <w:p w:rsidR="00533A42" w:rsidRDefault="00533A42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</w:pPr>
          </w:p>
          <w:p w:rsidR="00533A42" w:rsidRDefault="006C4153">
            <w:pP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8.20. Projeto de Deliberação Plenária que designa representação do CAU/BR para a 5ª China Beijing International Fair for Trade in Service - Feira Internacional de Comércio de Serviços em Pequim, China (CIFTIS) sugerindo integração com a Ordem dos Arquitect</w:t>
            </w:r>
            <w:r>
              <w:rPr>
                <w:rFonts w:ascii="Times New Roman" w:hAnsi="Times New Roman"/>
                <w:sz w:val="22"/>
                <w:szCs w:val="22"/>
              </w:rPr>
              <w:t>os de Portugal (OA) para operacionalização do Acordo de Cooperação.</w:t>
            </w:r>
          </w:p>
          <w:p w:rsidR="00533A42" w:rsidRDefault="00533A42">
            <w:pPr>
              <w:rPr>
                <w:rFonts w:ascii="Times New Roman" w:hAnsi="Times New Roman"/>
              </w:rPr>
            </w:pPr>
          </w:p>
          <w:p w:rsidR="00533A42" w:rsidRDefault="006C4153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(21)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(01)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(05)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(27) </w:t>
            </w:r>
          </w:p>
          <w:p w:rsidR="00533A42" w:rsidRDefault="00533A42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533A42" w:rsidRDefault="006C4153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533A42" w:rsidRDefault="00533A42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533A42" w:rsidRDefault="006C4153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Secretário: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Condutor dos trabalhos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(Presiden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te):</w:t>
            </w:r>
          </w:p>
        </w:tc>
      </w:tr>
    </w:tbl>
    <w:p w:rsidR="00533A42" w:rsidRDefault="00533A42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sectPr w:rsidR="00533A42">
      <w:headerReference w:type="default" r:id="rId6"/>
      <w:footerReference w:type="default" r:id="rId7"/>
      <w:pgSz w:w="11900" w:h="16840"/>
      <w:pgMar w:top="1276" w:right="1268" w:bottom="1135" w:left="1559" w:header="1327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53" w:rsidRDefault="006C4153">
      <w:r>
        <w:separator/>
      </w:r>
    </w:p>
  </w:endnote>
  <w:endnote w:type="continuationSeparator" w:id="0">
    <w:p w:rsidR="006C4153" w:rsidRDefault="006C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1F" w:rsidRDefault="006C4153">
    <w:pPr>
      <w:pStyle w:val="Rodap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A4A1F" w:rsidRDefault="006C4153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separate"/>
                          </w:r>
                          <w:r w:rsidR="00A809F1">
                            <w:rPr>
                              <w:rStyle w:val="Nmerodepgina"/>
                              <w:rFonts w:ascii="Arial" w:hAnsi="Arial"/>
                              <w:noProof/>
                              <w:color w:val="296D7A"/>
                              <w:sz w:val="18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16.05pt;margin-top:-15.5pt;width:53.3pt;height:18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:rsidR="009A4A1F" w:rsidRDefault="006C4153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separate"/>
                    </w:r>
                    <w:r w:rsidR="00A809F1">
                      <w:rPr>
                        <w:rStyle w:val="Nmerodepgina"/>
                        <w:rFonts w:ascii="Arial" w:hAnsi="Arial"/>
                        <w:noProof/>
                        <w:color w:val="296D7A"/>
                        <w:sz w:val="18"/>
                      </w:rPr>
                      <w:t>2</w: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-1019812</wp:posOffset>
          </wp:positionH>
          <wp:positionV relativeFrom="paragraph">
            <wp:posOffset>-631822</wp:posOffset>
          </wp:positionV>
          <wp:extent cx="7578720" cy="1078233"/>
          <wp:effectExtent l="0" t="0" r="3180" b="7617"/>
          <wp:wrapNone/>
          <wp:docPr id="3" name="Imagem 54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Nmerodepgina"/>
        <w:rFonts w:ascii="Times New Roman" w:hAnsi="Times New Roman"/>
        <w:color w:val="296D7A"/>
        <w:sz w:val="18"/>
      </w:rPr>
      <w:t>DELIBERAÇÃO PLENÁRIA DPOBR Nº 0077-20/2018</w:t>
    </w:r>
  </w:p>
  <w:p w:rsidR="009A4A1F" w:rsidRDefault="006C4153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4" name="Imagem 5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53" w:rsidRDefault="006C4153">
      <w:r>
        <w:rPr>
          <w:color w:val="000000"/>
        </w:rPr>
        <w:separator/>
      </w:r>
    </w:p>
  </w:footnote>
  <w:footnote w:type="continuationSeparator" w:id="0">
    <w:p w:rsidR="006C4153" w:rsidRDefault="006C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1F" w:rsidRDefault="006C4153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53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33A42"/>
    <w:rsid w:val="00533A42"/>
    <w:rsid w:val="006C4153"/>
    <w:rsid w:val="00A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2A06C-C0F6-4136-8AC6-CBBF9A66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Pecegueiro Maranhao Santos</dc:creator>
  <cp:lastModifiedBy>Emerson Fonseca Fraga</cp:lastModifiedBy>
  <cp:revision>2</cp:revision>
  <cp:lastPrinted>2017-07-18T14:18:00Z</cp:lastPrinted>
  <dcterms:created xsi:type="dcterms:W3CDTF">2023-06-23T22:27:00Z</dcterms:created>
  <dcterms:modified xsi:type="dcterms:W3CDTF">2023-06-23T22:27:00Z</dcterms:modified>
</cp:coreProperties>
</file>