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675AAB" w:rsidRPr="00271AD0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3240A3">
            <w:pPr>
              <w:spacing w:after="0pt" w:line="12pt" w:lineRule="auto"/>
              <w:jc w:val="both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EE58F8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3240A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675AAB" w:rsidRPr="00271AD0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845B43" w:rsidRDefault="00675AAB" w:rsidP="003240A3">
            <w:pPr>
              <w:spacing w:after="0pt" w:line="12pt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845B43" w:rsidRDefault="00675AAB" w:rsidP="003240A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CAU/</w:t>
            </w:r>
            <w:r w:rsidR="008671A2" w:rsidRPr="00845B4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BR</w:t>
            </w:r>
          </w:p>
        </w:tc>
      </w:tr>
      <w:tr w:rsidR="00675AAB" w:rsidRPr="00271AD0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845B43" w:rsidRDefault="00675AAB" w:rsidP="003240A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845B43" w:rsidRDefault="00BE2159" w:rsidP="003240A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ESTENDE</w:t>
            </w:r>
            <w:r w:rsidRPr="00EE2FF9">
              <w:rPr>
                <w:rFonts w:ascii="Times New Roman" w:eastAsia="Times New Roman" w:hAnsi="Times New Roman"/>
                <w:bCs/>
                <w:lang w:eastAsia="pt-BR"/>
              </w:rPr>
              <w:t xml:space="preserve"> O PRAZO </w:t>
            </w:r>
            <w:r w:rsidRPr="00BE2159">
              <w:rPr>
                <w:rFonts w:ascii="Times New Roman" w:eastAsia="Times New Roman" w:hAnsi="Times New Roman"/>
                <w:bCs/>
                <w:lang w:eastAsia="pt-BR"/>
              </w:rPr>
              <w:t>PARA PAGAMENTO DAS ANUIDADES</w:t>
            </w:r>
            <w:r w:rsidR="003240A3">
              <w:rPr>
                <w:rFonts w:ascii="Times New Roman" w:eastAsia="Times New Roman" w:hAnsi="Times New Roman"/>
                <w:bCs/>
                <w:lang w:eastAsia="pt-BR"/>
              </w:rPr>
              <w:t xml:space="preserve"> CAU/2020 </w:t>
            </w:r>
            <w:r w:rsidRPr="00BE2159">
              <w:rPr>
                <w:rFonts w:ascii="Times New Roman" w:eastAsia="Times New Roman" w:hAnsi="Times New Roman"/>
                <w:bCs/>
                <w:lang w:eastAsia="pt-BR"/>
              </w:rPr>
              <w:t xml:space="preserve"> </w:t>
            </w:r>
          </w:p>
        </w:tc>
      </w:tr>
    </w:tbl>
    <w:p w:rsidR="00257529" w:rsidRPr="00845B43" w:rsidRDefault="00257529" w:rsidP="00D265D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="0015638C" w:rsidRPr="00845B43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r w:rsidR="0015638C" w:rsidRPr="004355D3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="0015638C"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Nº </w:t>
      </w:r>
      <w:r w:rsidR="004355D3"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BE2159">
        <w:rPr>
          <w:rFonts w:ascii="Times New Roman" w:eastAsia="Times New Roman" w:hAnsi="Times New Roman"/>
          <w:smallCaps/>
          <w:sz w:val="24"/>
          <w:szCs w:val="24"/>
          <w:lang w:eastAsia="pt-BR"/>
        </w:rPr>
        <w:t>3</w:t>
      </w:r>
      <w:r w:rsidR="00A40A99"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>/20</w:t>
      </w:r>
      <w:r w:rsidR="006817D4" w:rsidRPr="004355D3">
        <w:rPr>
          <w:rFonts w:ascii="Times New Roman" w:eastAsia="Times New Roman" w:hAnsi="Times New Roman"/>
          <w:smallCaps/>
          <w:sz w:val="24"/>
          <w:szCs w:val="24"/>
          <w:lang w:eastAsia="pt-BR"/>
        </w:rPr>
        <w:t>20</w:t>
      </w:r>
    </w:p>
    <w:p w:rsidR="0067631C" w:rsidRPr="00845B43" w:rsidRDefault="003240A3" w:rsidP="003240A3">
      <w:pPr>
        <w:spacing w:after="0pt" w:line="12pt" w:lineRule="auto"/>
        <w:ind w:start="255.1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Estende</w:t>
      </w:r>
      <w:r w:rsidR="0015638C"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5638C" w:rsidRPr="00845B43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ad referendum </w:t>
      </w:r>
      <w:r w:rsidR="0015638C" w:rsidRPr="00845B43">
        <w:rPr>
          <w:rFonts w:ascii="Times New Roman" w:eastAsia="Times New Roman" w:hAnsi="Times New Roman"/>
          <w:sz w:val="24"/>
          <w:szCs w:val="24"/>
          <w:lang w:eastAsia="pt-BR"/>
        </w:rPr>
        <w:t>do Plenário do CAU/BR</w:t>
      </w:r>
      <w:r w:rsidR="0015638C" w:rsidRPr="00845B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 prazo para pagamento das anuidades 2020 </w:t>
      </w:r>
      <w:r w:rsidR="008B23C6">
        <w:rPr>
          <w:rFonts w:ascii="Times New Roman" w:hAnsi="Times New Roman"/>
          <w:sz w:val="24"/>
          <w:szCs w:val="24"/>
        </w:rPr>
        <w:t>e dá outras providência</w:t>
      </w:r>
      <w:r w:rsidR="00BA5E65">
        <w:rPr>
          <w:rFonts w:ascii="Times New Roman" w:hAnsi="Times New Roman"/>
          <w:sz w:val="24"/>
          <w:szCs w:val="24"/>
        </w:rPr>
        <w:t>s.</w:t>
      </w:r>
    </w:p>
    <w:p w:rsidR="00A40A99" w:rsidRPr="00845B43" w:rsidRDefault="00A40A99" w:rsidP="003240A3">
      <w:pPr>
        <w:spacing w:after="0pt"/>
        <w:ind w:start="255.15pt"/>
        <w:jc w:val="both"/>
        <w:rPr>
          <w:rFonts w:ascii="Times New Roman" w:hAnsi="Times New Roman"/>
          <w:sz w:val="24"/>
          <w:szCs w:val="24"/>
        </w:rPr>
      </w:pPr>
    </w:p>
    <w:p w:rsidR="0015638C" w:rsidRPr="00845B43" w:rsidRDefault="0015638C" w:rsidP="003240A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do Brasil (CAU/BR), no uso das competências que lhe conferem o art. 159, incisos I, II e XXXI do Regimento Interno </w:t>
      </w:r>
      <w:r w:rsidRPr="00845B43">
        <w:rPr>
          <w:rFonts w:ascii="Times New Roman" w:hAnsi="Times New Roman"/>
          <w:sz w:val="24"/>
          <w:szCs w:val="24"/>
          <w:shd w:val="clear" w:color="auto" w:fill="FFFFFF"/>
        </w:rPr>
        <w:t>aprovado pela Deliberação Plenária Ordinária DPOBR n° 0065-05/2017, de 28 de abril de 2017, e instituído pela Resolução CAU/BR n° 139, de 28 de abril de 2017; e</w:t>
      </w:r>
    </w:p>
    <w:p w:rsidR="003240A3" w:rsidRDefault="003240A3" w:rsidP="003240A3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pandemia causada pelo COVID-19, e a previsão de uma crise financeira sem precedentes;</w:t>
      </w:r>
    </w:p>
    <w:p w:rsidR="003240A3" w:rsidRDefault="003240A3" w:rsidP="003240A3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Considerando a manifestação dos Presidentes dos CAU/UFs, gestores dos Conselhos dos estados e do Distrito Federal, que através do Ofício nº 002/2020, solicitam ampliação do prazo para o pagamento de obrigações pelos profissionais registrados no CAU</w:t>
      </w:r>
    </w:p>
    <w:p w:rsidR="006F1B71" w:rsidRPr="00271AD0" w:rsidRDefault="006F1B71" w:rsidP="003240A3">
      <w:pPr>
        <w:spacing w:after="0pt" w:line="12pt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0A3" w:rsidRDefault="000D4D8C" w:rsidP="003240A3">
      <w:pPr>
        <w:spacing w:after="0pt" w:line="12pt" w:lineRule="auto"/>
        <w:jc w:val="both"/>
        <w:rPr>
          <w:rFonts w:ascii="Times New Roman" w:hAnsi="Times New Roman"/>
          <w:b/>
          <w:sz w:val="24"/>
          <w:szCs w:val="24"/>
        </w:rPr>
      </w:pPr>
      <w:r w:rsidRPr="00845B43">
        <w:rPr>
          <w:rFonts w:ascii="Times New Roman" w:hAnsi="Times New Roman"/>
          <w:b/>
          <w:sz w:val="24"/>
          <w:szCs w:val="24"/>
        </w:rPr>
        <w:t>DELIBER</w:t>
      </w:r>
      <w:r w:rsidR="00DF21D6" w:rsidRPr="00845B43">
        <w:rPr>
          <w:rFonts w:ascii="Times New Roman" w:hAnsi="Times New Roman"/>
          <w:b/>
          <w:sz w:val="24"/>
          <w:szCs w:val="24"/>
        </w:rPr>
        <w:t>OU</w:t>
      </w:r>
      <w:r w:rsidRPr="00845B43">
        <w:rPr>
          <w:rFonts w:ascii="Times New Roman" w:hAnsi="Times New Roman"/>
          <w:b/>
          <w:sz w:val="24"/>
          <w:szCs w:val="24"/>
        </w:rPr>
        <w:t>:</w:t>
      </w:r>
      <w:r w:rsidR="0089581B" w:rsidRPr="00845B43">
        <w:rPr>
          <w:rFonts w:ascii="Times New Roman" w:hAnsi="Times New Roman"/>
          <w:b/>
          <w:sz w:val="24"/>
          <w:szCs w:val="24"/>
        </w:rPr>
        <w:t xml:space="preserve"> </w:t>
      </w:r>
    </w:p>
    <w:p w:rsidR="003240A3" w:rsidRDefault="003240A3" w:rsidP="003240A3">
      <w:pPr>
        <w:spacing w:after="0pt" w:line="12pt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F74" w:rsidRPr="00D265DE" w:rsidRDefault="003240A3" w:rsidP="003240A3">
      <w:pPr>
        <w:numPr>
          <w:ilvl w:val="0"/>
          <w:numId w:val="27"/>
        </w:numPr>
        <w:spacing w:after="0pt" w:line="12pt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Estender </w:t>
      </w:r>
      <w:r w:rsidRPr="003240A3">
        <w:rPr>
          <w:rFonts w:ascii="Times New Roman" w:eastAsia="Times New Roman" w:hAnsi="Times New Roman"/>
          <w:sz w:val="24"/>
          <w:szCs w:val="24"/>
          <w:lang w:eastAsia="pt-BR"/>
        </w:rPr>
        <w:t>o prazo para pagamento das anuidades de 2020 até o dia 31 de julho de 2020</w:t>
      </w:r>
      <w:r w:rsidR="00D265DE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D265DE" w:rsidRPr="00D265DE">
        <w:rPr>
          <w:rFonts w:ascii="Times New Roman" w:eastAsia="Times New Roman" w:hAnsi="Times New Roman"/>
          <w:sz w:val="24"/>
          <w:szCs w:val="24"/>
          <w:lang w:eastAsia="pt-BR"/>
        </w:rPr>
        <w:t>bem como o disposto no Parágrafo Único do Art. 5º da Resolução nº 121 de 19 de agosto de 2016</w:t>
      </w:r>
      <w:r w:rsidR="00D265D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265DE" w:rsidRPr="00D265DE" w:rsidRDefault="00D265DE" w:rsidP="00D265DE">
      <w:pPr>
        <w:spacing w:after="0pt" w:line="12pt" w:lineRule="auto"/>
        <w:ind w:start="36pt"/>
        <w:jc w:val="both"/>
        <w:rPr>
          <w:rFonts w:ascii="Times New Roman" w:hAnsi="Times New Roman"/>
          <w:b/>
          <w:sz w:val="24"/>
          <w:szCs w:val="24"/>
        </w:rPr>
      </w:pPr>
    </w:p>
    <w:p w:rsidR="00D265DE" w:rsidRPr="00A60F2B" w:rsidRDefault="00D265DE" w:rsidP="00D265DE">
      <w:pPr>
        <w:numPr>
          <w:ilvl w:val="0"/>
          <w:numId w:val="27"/>
        </w:numPr>
        <w:jc w:val="both"/>
        <w:rPr>
          <w:rFonts w:ascii="Times New Roman" w:hAnsi="Times New Roman"/>
          <w:lang w:eastAsia="pt-BR"/>
        </w:rPr>
      </w:pPr>
      <w:r w:rsidRPr="00A60F2B">
        <w:rPr>
          <w:rFonts w:ascii="Times New Roman" w:hAnsi="Times New Roman"/>
          <w:lang w:eastAsia="pt-BR"/>
        </w:rPr>
        <w:t>Não serão cobrados encargos e multas;</w:t>
      </w:r>
    </w:p>
    <w:p w:rsidR="00D265DE" w:rsidRPr="00A60F2B" w:rsidRDefault="00D265DE" w:rsidP="00D265DE">
      <w:pPr>
        <w:numPr>
          <w:ilvl w:val="0"/>
          <w:numId w:val="27"/>
        </w:numPr>
        <w:jc w:val="both"/>
        <w:rPr>
          <w:rFonts w:ascii="Times New Roman" w:hAnsi="Times New Roman"/>
          <w:bCs/>
          <w:lang w:eastAsia="pt-BR"/>
        </w:rPr>
      </w:pPr>
      <w:r w:rsidRPr="00A60F2B">
        <w:rPr>
          <w:rFonts w:ascii="Times New Roman" w:hAnsi="Times New Roman"/>
          <w:lang w:eastAsia="pt-BR"/>
        </w:rPr>
        <w:t>A prorrogação do prazo abrange profissionais e empresas que parcelaram a anuidade ou ainda não pagaram;</w:t>
      </w:r>
    </w:p>
    <w:p w:rsidR="00D265DE" w:rsidRPr="00A60F2B" w:rsidRDefault="00D265DE" w:rsidP="00D265DE">
      <w:pPr>
        <w:numPr>
          <w:ilvl w:val="0"/>
          <w:numId w:val="27"/>
        </w:numPr>
        <w:jc w:val="both"/>
        <w:rPr>
          <w:rFonts w:ascii="Times New Roman" w:hAnsi="Times New Roman"/>
          <w:bCs/>
          <w:lang w:eastAsia="pt-BR"/>
        </w:rPr>
      </w:pPr>
      <w:r w:rsidRPr="00A60F2B">
        <w:rPr>
          <w:rFonts w:ascii="Times New Roman" w:hAnsi="Times New Roman"/>
          <w:lang w:eastAsia="pt-BR"/>
        </w:rPr>
        <w:t>Após o ajuste necessário do SICCAU, a equipe técnica do CSC, no decorrer dos próximos dias, informará os procedimentos a serem adotados para emissão de novos boletos</w:t>
      </w:r>
      <w:r>
        <w:rPr>
          <w:rFonts w:ascii="Times New Roman" w:hAnsi="Times New Roman"/>
          <w:lang w:eastAsia="pt-BR"/>
        </w:rPr>
        <w:t>;</w:t>
      </w:r>
    </w:p>
    <w:p w:rsidR="00D265DE" w:rsidRPr="00A60F2B" w:rsidRDefault="00D265DE" w:rsidP="00D265DE">
      <w:pPr>
        <w:numPr>
          <w:ilvl w:val="0"/>
          <w:numId w:val="27"/>
        </w:numPr>
        <w:jc w:val="both"/>
        <w:rPr>
          <w:rFonts w:ascii="Times New Roman" w:hAnsi="Times New Roman"/>
          <w:bCs/>
          <w:lang w:eastAsia="pt-BR"/>
        </w:rPr>
      </w:pPr>
      <w:r w:rsidRPr="00A60F2B">
        <w:rPr>
          <w:rFonts w:ascii="Times New Roman" w:hAnsi="Times New Roman"/>
          <w:lang w:eastAsia="pt-BR"/>
        </w:rPr>
        <w:t>O CAU/BR permanecerá atento aos cenários futuros da saúde pública, da economia e das atividades da Arquitetura e Urbanismo no país e novas medidas poderão ser tomadas, objetivando assegurar o atendimento aos profissionais e empresas</w:t>
      </w:r>
      <w:r>
        <w:rPr>
          <w:rFonts w:ascii="Times New Roman" w:hAnsi="Times New Roman"/>
          <w:lang w:eastAsia="pt-BR"/>
        </w:rPr>
        <w:t>;</w:t>
      </w:r>
      <w:r w:rsidRPr="00A60F2B">
        <w:rPr>
          <w:rFonts w:ascii="Times New Roman" w:hAnsi="Times New Roman"/>
          <w:lang w:eastAsia="pt-BR"/>
        </w:rPr>
        <w:t xml:space="preserve"> </w:t>
      </w:r>
    </w:p>
    <w:p w:rsidR="00D265DE" w:rsidRPr="00A60F2B" w:rsidRDefault="00D265DE" w:rsidP="00D265DE">
      <w:pPr>
        <w:numPr>
          <w:ilvl w:val="0"/>
          <w:numId w:val="27"/>
        </w:numPr>
        <w:spacing w:after="0pt" w:line="12pt" w:lineRule="auto"/>
        <w:jc w:val="both"/>
        <w:rPr>
          <w:rFonts w:ascii="Times New Roman" w:eastAsia="Times New Roman" w:hAnsi="Times New Roman"/>
          <w:lang w:eastAsia="pt-BR"/>
        </w:rPr>
      </w:pPr>
      <w:r w:rsidRPr="00A60F2B">
        <w:rPr>
          <w:rFonts w:ascii="Times New Roman" w:eastAsia="Times New Roman" w:hAnsi="Times New Roman"/>
          <w:lang w:eastAsia="pt-BR"/>
        </w:rPr>
        <w:t>Encaminhar esta deliberação para publicação no sítio eletrônico do CAU/B</w:t>
      </w:r>
      <w:r>
        <w:rPr>
          <w:rFonts w:ascii="Times New Roman" w:eastAsia="Times New Roman" w:hAnsi="Times New Roman"/>
          <w:lang w:eastAsia="pt-BR"/>
        </w:rPr>
        <w:t>;</w:t>
      </w:r>
    </w:p>
    <w:p w:rsidR="00D265DE" w:rsidRPr="00A60F2B" w:rsidRDefault="00D265DE" w:rsidP="00D265DE">
      <w:pPr>
        <w:spacing w:after="0pt" w:line="12pt" w:lineRule="auto"/>
        <w:ind w:start="36pt"/>
        <w:jc w:val="both"/>
        <w:rPr>
          <w:rFonts w:ascii="Times New Roman" w:eastAsia="Times New Roman" w:hAnsi="Times New Roman"/>
          <w:lang w:eastAsia="pt-BR"/>
        </w:rPr>
      </w:pPr>
    </w:p>
    <w:p w:rsidR="00D265DE" w:rsidRPr="00A60F2B" w:rsidRDefault="00D265DE" w:rsidP="00D265DE">
      <w:pPr>
        <w:numPr>
          <w:ilvl w:val="0"/>
          <w:numId w:val="27"/>
        </w:numPr>
        <w:spacing w:after="0pt" w:line="12pt" w:lineRule="auto"/>
        <w:jc w:val="both"/>
        <w:rPr>
          <w:rFonts w:ascii="Times New Roman" w:eastAsia="Times New Roman" w:hAnsi="Times New Roman"/>
          <w:lang w:eastAsia="pt-BR"/>
        </w:rPr>
      </w:pPr>
      <w:r w:rsidRPr="00A60F2B">
        <w:rPr>
          <w:rFonts w:ascii="Times New Roman" w:eastAsia="Times New Roman" w:hAnsi="Times New Roman"/>
          <w:lang w:eastAsia="pt-BR"/>
        </w:rPr>
        <w:t>Esta deliberação entra em vigor na data de sua publicação.</w:t>
      </w:r>
    </w:p>
    <w:p w:rsidR="000D4D8C" w:rsidRPr="00845B43" w:rsidRDefault="000D4D8C" w:rsidP="003240A3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0D4D8C" w:rsidRDefault="000D4D8C" w:rsidP="00D265DE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  <w:r w:rsidRPr="00845B43">
        <w:rPr>
          <w:rFonts w:ascii="Times New Roman" w:hAnsi="Times New Roman"/>
          <w:sz w:val="24"/>
          <w:szCs w:val="24"/>
        </w:rPr>
        <w:t>Brasília</w:t>
      </w:r>
      <w:r w:rsidR="00801951" w:rsidRPr="00845B43">
        <w:rPr>
          <w:rFonts w:ascii="Times New Roman" w:hAnsi="Times New Roman"/>
          <w:sz w:val="24"/>
          <w:szCs w:val="24"/>
        </w:rPr>
        <w:t>-DF</w:t>
      </w:r>
      <w:r w:rsidRPr="00845B43">
        <w:rPr>
          <w:rFonts w:ascii="Times New Roman" w:hAnsi="Times New Roman"/>
          <w:sz w:val="24"/>
          <w:szCs w:val="24"/>
        </w:rPr>
        <w:t xml:space="preserve">, </w:t>
      </w:r>
      <w:r w:rsidR="003240A3">
        <w:rPr>
          <w:rFonts w:ascii="Times New Roman" w:hAnsi="Times New Roman"/>
          <w:sz w:val="24"/>
          <w:szCs w:val="24"/>
        </w:rPr>
        <w:t>2</w:t>
      </w:r>
      <w:r w:rsidR="00D265DE">
        <w:rPr>
          <w:rFonts w:ascii="Times New Roman" w:hAnsi="Times New Roman"/>
          <w:sz w:val="24"/>
          <w:szCs w:val="24"/>
        </w:rPr>
        <w:t>3</w:t>
      </w:r>
      <w:r w:rsidR="00845B43">
        <w:rPr>
          <w:rFonts w:ascii="Times New Roman" w:hAnsi="Times New Roman"/>
          <w:sz w:val="24"/>
          <w:szCs w:val="24"/>
        </w:rPr>
        <w:t xml:space="preserve"> de março</w:t>
      </w:r>
      <w:r w:rsidR="00573AD3" w:rsidRPr="00845B43">
        <w:rPr>
          <w:rFonts w:ascii="Times New Roman" w:hAnsi="Times New Roman"/>
          <w:sz w:val="24"/>
          <w:szCs w:val="24"/>
        </w:rPr>
        <w:t xml:space="preserve"> de </w:t>
      </w:r>
      <w:r w:rsidR="00801951" w:rsidRPr="00845B43">
        <w:rPr>
          <w:rFonts w:ascii="Times New Roman" w:hAnsi="Times New Roman"/>
          <w:sz w:val="24"/>
          <w:szCs w:val="24"/>
        </w:rPr>
        <w:t>20</w:t>
      </w:r>
      <w:r w:rsidR="00EE6914" w:rsidRPr="00845B43">
        <w:rPr>
          <w:rFonts w:ascii="Times New Roman" w:hAnsi="Times New Roman"/>
          <w:sz w:val="24"/>
          <w:szCs w:val="24"/>
        </w:rPr>
        <w:t>20</w:t>
      </w:r>
      <w:r w:rsidR="00E1598C" w:rsidRPr="00845B43">
        <w:rPr>
          <w:rFonts w:ascii="Times New Roman" w:hAnsi="Times New Roman"/>
          <w:sz w:val="24"/>
          <w:szCs w:val="24"/>
        </w:rPr>
        <w:t>.</w:t>
      </w:r>
    </w:p>
    <w:p w:rsidR="00845B43" w:rsidRPr="00845B43" w:rsidRDefault="00845B43" w:rsidP="003240A3">
      <w:pPr>
        <w:spacing w:after="0pt" w:line="12pt" w:lineRule="auto"/>
        <w:jc w:val="both"/>
        <w:rPr>
          <w:rFonts w:ascii="Times New Roman" w:hAnsi="Times New Roman"/>
          <w:sz w:val="24"/>
          <w:szCs w:val="24"/>
        </w:rPr>
      </w:pPr>
    </w:p>
    <w:p w:rsidR="006179D1" w:rsidRPr="00845B43" w:rsidRDefault="000452D6" w:rsidP="00D265DE">
      <w:pPr>
        <w:spacing w:after="0pt" w:line="12pt" w:lineRule="auto"/>
        <w:jc w:val="center"/>
        <w:rPr>
          <w:rFonts w:ascii="Times New Roman" w:hAnsi="Times New Roman"/>
          <w:b/>
          <w:sz w:val="24"/>
          <w:szCs w:val="24"/>
        </w:rPr>
      </w:pPr>
      <w:r w:rsidRPr="00845B43">
        <w:rPr>
          <w:rFonts w:ascii="Times New Roman" w:hAnsi="Times New Roman"/>
          <w:b/>
          <w:sz w:val="24"/>
          <w:szCs w:val="24"/>
        </w:rPr>
        <w:t>Luciano Guimarães</w:t>
      </w:r>
    </w:p>
    <w:p w:rsidR="003240A3" w:rsidRDefault="006179D1" w:rsidP="00D265DE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  <w:r w:rsidRPr="00845B43">
        <w:rPr>
          <w:rFonts w:ascii="Times New Roman" w:hAnsi="Times New Roman"/>
          <w:sz w:val="24"/>
          <w:szCs w:val="24"/>
        </w:rPr>
        <w:t>Presidente</w:t>
      </w:r>
      <w:r w:rsidR="005C044C" w:rsidRPr="00845B43">
        <w:rPr>
          <w:rFonts w:ascii="Times New Roman" w:hAnsi="Times New Roman"/>
          <w:sz w:val="24"/>
          <w:szCs w:val="24"/>
        </w:rPr>
        <w:t xml:space="preserve"> </w:t>
      </w:r>
      <w:r w:rsidR="00825062" w:rsidRPr="00845B43">
        <w:rPr>
          <w:rFonts w:ascii="Times New Roman" w:hAnsi="Times New Roman"/>
          <w:sz w:val="24"/>
          <w:szCs w:val="24"/>
        </w:rPr>
        <w:t xml:space="preserve">do </w:t>
      </w:r>
      <w:r w:rsidRPr="00845B43">
        <w:rPr>
          <w:rFonts w:ascii="Times New Roman" w:hAnsi="Times New Roman"/>
          <w:sz w:val="24"/>
          <w:szCs w:val="24"/>
        </w:rPr>
        <w:t>CAU/BR</w:t>
      </w:r>
    </w:p>
    <w:sectPr w:rsidR="003240A3" w:rsidSect="004355D3">
      <w:headerReference w:type="default" r:id="rId7"/>
      <w:footerReference w:type="default" r:id="rId8"/>
      <w:pgSz w:w="595.30pt" w:h="841.90pt"/>
      <w:pgMar w:top="70.90pt" w:right="56.70pt" w:bottom="92.15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C14D1" w:rsidRDefault="003C14D1" w:rsidP="00792E15">
      <w:pPr>
        <w:spacing w:after="0pt" w:line="12pt" w:lineRule="auto"/>
      </w:pPr>
      <w:r>
        <w:separator/>
      </w:r>
    </w:p>
  </w:endnote>
  <w:endnote w:type="continuationSeparator" w:id="0">
    <w:p w:rsidR="003C14D1" w:rsidRDefault="003C14D1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7139FE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1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C50953">
      <w:rPr>
        <w:rStyle w:val="Nmerodepgina"/>
        <w:rFonts w:ascii="Times New Roman" w:hAnsi="Times New Roman"/>
        <w:noProof/>
        <w:color w:val="296D7A"/>
        <w:sz w:val="18"/>
      </w:rPr>
      <w:t>1</w: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9D79A7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C14D1" w:rsidRDefault="003C14D1" w:rsidP="00792E15">
      <w:pPr>
        <w:spacing w:after="0pt" w:line="12pt" w:lineRule="auto"/>
      </w:pPr>
      <w:r>
        <w:separator/>
      </w:r>
    </w:p>
  </w:footnote>
  <w:footnote w:type="continuationSeparator" w:id="0">
    <w:p w:rsidR="003C14D1" w:rsidRDefault="003C14D1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7139FE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3175" b="5080"/>
          <wp:wrapNone/>
          <wp:docPr id="2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6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1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2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5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1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3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6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7"/>
  </w:num>
  <w:num w:numId="5">
    <w:abstractNumId w:val="9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14"/>
  </w:num>
  <w:num w:numId="11">
    <w:abstractNumId w:val="26"/>
  </w:num>
  <w:num w:numId="12">
    <w:abstractNumId w:val="11"/>
  </w:num>
  <w:num w:numId="13">
    <w:abstractNumId w:val="4"/>
  </w:num>
  <w:num w:numId="14">
    <w:abstractNumId w:val="6"/>
  </w:num>
  <w:num w:numId="15">
    <w:abstractNumId w:val="12"/>
  </w:num>
  <w:num w:numId="16">
    <w:abstractNumId w:val="2"/>
  </w:num>
  <w:num w:numId="17">
    <w:abstractNumId w:val="25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10"/>
  </w:num>
  <w:num w:numId="23">
    <w:abstractNumId w:val="8"/>
  </w:num>
  <w:num w:numId="24">
    <w:abstractNumId w:val="7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141"/>
    <w:rsid w:val="002F58B0"/>
    <w:rsid w:val="003240A3"/>
    <w:rsid w:val="00324AE2"/>
    <w:rsid w:val="00326C88"/>
    <w:rsid w:val="003454F4"/>
    <w:rsid w:val="00371A21"/>
    <w:rsid w:val="00382C21"/>
    <w:rsid w:val="0038407C"/>
    <w:rsid w:val="00395364"/>
    <w:rsid w:val="003C14D1"/>
    <w:rsid w:val="003D0CBD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05607"/>
    <w:rsid w:val="007139FE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3C6A"/>
    <w:rsid w:val="007C546F"/>
    <w:rsid w:val="007C5AE9"/>
    <w:rsid w:val="007F1349"/>
    <w:rsid w:val="007F766A"/>
    <w:rsid w:val="00801566"/>
    <w:rsid w:val="00801951"/>
    <w:rsid w:val="00825062"/>
    <w:rsid w:val="00826058"/>
    <w:rsid w:val="008377CC"/>
    <w:rsid w:val="00845B43"/>
    <w:rsid w:val="008548F8"/>
    <w:rsid w:val="008671A2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C1BF8"/>
    <w:rsid w:val="009C1F04"/>
    <w:rsid w:val="009C6717"/>
    <w:rsid w:val="009D3DFF"/>
    <w:rsid w:val="009D79A7"/>
    <w:rsid w:val="009F65ED"/>
    <w:rsid w:val="009F7336"/>
    <w:rsid w:val="00A067B6"/>
    <w:rsid w:val="00A11B6C"/>
    <w:rsid w:val="00A135FE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2040D"/>
    <w:rsid w:val="00C30B22"/>
    <w:rsid w:val="00C31EE2"/>
    <w:rsid w:val="00C50953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EED"/>
    <w:rsid w:val="00D229AB"/>
    <w:rsid w:val="00D256FB"/>
    <w:rsid w:val="00D265DE"/>
    <w:rsid w:val="00D313EA"/>
    <w:rsid w:val="00D31B24"/>
    <w:rsid w:val="00D47312"/>
    <w:rsid w:val="00D54B04"/>
    <w:rsid w:val="00D72288"/>
    <w:rsid w:val="00D8409D"/>
    <w:rsid w:val="00D95FDD"/>
    <w:rsid w:val="00DD5961"/>
    <w:rsid w:val="00DF21D6"/>
    <w:rsid w:val="00DF50F3"/>
    <w:rsid w:val="00E06F74"/>
    <w:rsid w:val="00E11F74"/>
    <w:rsid w:val="00E1598C"/>
    <w:rsid w:val="00E2464E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F07BAA"/>
    <w:rsid w:val="00F10399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2E5F4F-3391-4A9A-A4B0-B7A642EFFF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2020-03-12T22:41:00Z</cp:lastPrinted>
  <dcterms:created xsi:type="dcterms:W3CDTF">2020-03-27T22:59:00Z</dcterms:created>
  <dcterms:modified xsi:type="dcterms:W3CDTF">2020-03-27T22:59:00Z</dcterms:modified>
</cp:coreProperties>
</file>