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B5202" w:rsidRPr="00BA1F7C" w:rsidRDefault="004B5202" w:rsidP="00BA1F7C">
      <w:pPr>
        <w:rPr>
          <w:rFonts w:ascii="Times New Roman" w:hAnsi="Times New Roman"/>
          <w:sz w:val="22"/>
          <w:szCs w:val="22"/>
        </w:rPr>
      </w:pPr>
    </w:p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6F583B" w:rsidRPr="00BA1F7C" w:rsidTr="00BA7E4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BA1F7C" w:rsidRDefault="006F583B" w:rsidP="00BA1F7C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1F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F583B" w:rsidRPr="00BA1F7C" w:rsidRDefault="006F583B" w:rsidP="00BA1F7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F583B" w:rsidRPr="00BA1F7C" w:rsidTr="00BA7E4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BA1F7C" w:rsidRDefault="006F583B" w:rsidP="00BA1F7C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1F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6F583B" w:rsidRPr="00BA1F7C" w:rsidRDefault="006F583B" w:rsidP="00BA1F7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A1F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F583B" w:rsidRPr="00BA1F7C" w:rsidTr="00BA7E4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F583B" w:rsidRPr="00BA1F7C" w:rsidRDefault="006F583B" w:rsidP="00BA1F7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A1F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  <w:hideMark/>
          </w:tcPr>
          <w:p w:rsidR="006F583B" w:rsidRPr="00BA1F7C" w:rsidRDefault="00185C09" w:rsidP="00BA1F7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A1F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Aprova, </w:t>
            </w:r>
            <w:r w:rsidRPr="00BA1F7C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ad referendum</w:t>
            </w:r>
            <w:r w:rsidRPr="00BA1F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do Plenário do CAU/BR, Projeto de Resolução que revoga a </w:t>
            </w:r>
            <w:r w:rsidRPr="00BA1F7C">
              <w:rPr>
                <w:rFonts w:ascii="Times New Roman" w:hAnsi="Times New Roman"/>
                <w:sz w:val="22"/>
                <w:szCs w:val="22"/>
              </w:rPr>
              <w:t>Resolução n° 51, de 12 de julho de 2013, que “d</w:t>
            </w:r>
            <w:r w:rsidRPr="00BA1F7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ispõe sobre as áreas de atuação privativas dos arquitetos e urbanistas e as áreas de atuação compartilhadas com outras profissões regulamentadas </w:t>
            </w:r>
            <w:r w:rsidRPr="00BA1F7C">
              <w:rPr>
                <w:rFonts w:ascii="Times New Roman" w:hAnsi="Times New Roman"/>
                <w:sz w:val="22"/>
                <w:szCs w:val="22"/>
              </w:rPr>
              <w:t>e dá outras providências”.</w:t>
            </w:r>
          </w:p>
        </w:tc>
      </w:tr>
    </w:tbl>
    <w:p w:rsidR="006F583B" w:rsidRPr="00BA1F7C" w:rsidRDefault="006F583B" w:rsidP="00BA1F7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BA1F7C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Pr="00BA1F7C">
        <w:rPr>
          <w:rFonts w:ascii="Times New Roman" w:eastAsia="Times New Roman" w:hAnsi="Times New Roman"/>
          <w:i/>
          <w:smallCaps/>
          <w:sz w:val="22"/>
          <w:szCs w:val="22"/>
          <w:lang w:eastAsia="pt-BR"/>
        </w:rPr>
        <w:t>AD REFERENDUM</w:t>
      </w:r>
      <w:r w:rsidRPr="00BA1F7C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N</w:t>
      </w:r>
      <w:r w:rsidR="00185C09" w:rsidRPr="00BA1F7C">
        <w:rPr>
          <w:rFonts w:ascii="Times New Roman" w:eastAsia="Times New Roman" w:hAnsi="Times New Roman"/>
          <w:smallCaps/>
          <w:sz w:val="22"/>
          <w:szCs w:val="22"/>
          <w:lang w:eastAsia="pt-BR"/>
        </w:rPr>
        <w:t>°</w:t>
      </w:r>
      <w:r w:rsidRPr="00BA1F7C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="00746B43">
        <w:rPr>
          <w:rFonts w:ascii="Times New Roman" w:eastAsia="Times New Roman" w:hAnsi="Times New Roman"/>
          <w:smallCaps/>
          <w:sz w:val="22"/>
          <w:szCs w:val="22"/>
          <w:lang w:eastAsia="pt-BR"/>
        </w:rPr>
        <w:t>4</w:t>
      </w:r>
      <w:r w:rsidRPr="00BA1F7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185C09" w:rsidRPr="00BA1F7C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4B5202" w:rsidRPr="00BA1F7C" w:rsidRDefault="004B5202" w:rsidP="00BA1F7C">
      <w:pPr>
        <w:ind w:start="212.6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ind w:start="212.65pt"/>
        <w:jc w:val="both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Aprova, </w:t>
      </w:r>
      <w:r w:rsidRPr="00BA1F7C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CAU/BR, Projeto de Resolução que </w:t>
      </w:r>
      <w:r w:rsidR="00503A23"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revoga a </w:t>
      </w:r>
      <w:r w:rsidR="00503A23" w:rsidRPr="00BA1F7C">
        <w:rPr>
          <w:rFonts w:ascii="Times New Roman" w:hAnsi="Times New Roman"/>
          <w:sz w:val="22"/>
          <w:szCs w:val="22"/>
        </w:rPr>
        <w:t>Resolução n° 51, de 12 de julho de 2013, que “d</w:t>
      </w:r>
      <w:r w:rsidR="00503A23" w:rsidRPr="00BA1F7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ispõe sobre as áreas de atuação privativas dos arquitetos e urbanistas e as áreas de atuação compartilhadas com outras profissões regulamentadas </w:t>
      </w:r>
      <w:r w:rsidRPr="00BA1F7C">
        <w:rPr>
          <w:rFonts w:ascii="Times New Roman" w:hAnsi="Times New Roman"/>
          <w:sz w:val="22"/>
          <w:szCs w:val="22"/>
        </w:rPr>
        <w:t>e dá outras providências</w:t>
      </w:r>
      <w:r w:rsidR="00503A23" w:rsidRPr="00BA1F7C">
        <w:rPr>
          <w:rFonts w:ascii="Times New Roman" w:hAnsi="Times New Roman"/>
          <w:sz w:val="22"/>
          <w:szCs w:val="22"/>
        </w:rPr>
        <w:t>”</w:t>
      </w:r>
      <w:r w:rsidRPr="00BA1F7C">
        <w:rPr>
          <w:rFonts w:ascii="Times New Roman" w:hAnsi="Times New Roman"/>
          <w:sz w:val="22"/>
          <w:szCs w:val="22"/>
        </w:rPr>
        <w:t>.</w:t>
      </w:r>
    </w:p>
    <w:p w:rsidR="004B5202" w:rsidRPr="00BA1F7C" w:rsidRDefault="004B5202" w:rsidP="00BA1F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Conselho de Arquitetura e Urbanismo do Brasil (CAU/BR), no uso das competências que lhe conferem o art. 159, incisos I, II e XXXI do Regimento Interno </w:t>
      </w:r>
      <w:r w:rsidRPr="00BA1F7C">
        <w:rPr>
          <w:rFonts w:ascii="Times New Roman" w:hAnsi="Times New Roman"/>
          <w:sz w:val="22"/>
          <w:szCs w:val="22"/>
          <w:shd w:val="clear" w:color="auto" w:fill="FFFFFF"/>
        </w:rPr>
        <w:t>aprovado pela Deliberação Plenária Ordinária DPOBR n° 0065-05/2017, de 28 de abril de 2017, e instituído pela Resolução CAU/BR n° 139, de 28 de abril de 2017; e</w:t>
      </w:r>
    </w:p>
    <w:p w:rsidR="006F583B" w:rsidRPr="00BA1F7C" w:rsidRDefault="006F583B" w:rsidP="00BA1F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3A23" w:rsidRPr="00BA1F7C" w:rsidRDefault="006F583B" w:rsidP="00BA1F7C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  <w:r w:rsidRPr="00BA1F7C">
        <w:rPr>
          <w:sz w:val="22"/>
          <w:szCs w:val="22"/>
        </w:rPr>
        <w:t>Considerando as</w:t>
      </w:r>
      <w:r w:rsidR="00503A23" w:rsidRPr="00BA1F7C">
        <w:rPr>
          <w:color w:val="000000"/>
          <w:sz w:val="22"/>
          <w:szCs w:val="22"/>
        </w:rPr>
        <w:t xml:space="preserve"> disposições do art. 3°, § 1° da Lei n° 12.378, de 31 de dezembro de 2010, segundo as quais “O Conselho de Arquitetura e Urbanismo do Brasil - CAU/BR especificará, atentando para o disposto no caput, as áreas de atuação privativas dos arquitetos e urbanistas e as áreas de atuação compartilhadas com outras profissões regulamentadas”;</w:t>
      </w:r>
    </w:p>
    <w:p w:rsidR="00CA122F" w:rsidRPr="00BA1F7C" w:rsidRDefault="00CA122F" w:rsidP="00BA1F7C">
      <w:pPr>
        <w:pStyle w:val="texto1"/>
        <w:spacing w:before="0pt" w:beforeAutospacing="0" w:after="0pt" w:afterAutospacing="0"/>
        <w:jc w:val="both"/>
        <w:rPr>
          <w:color w:val="000000"/>
          <w:sz w:val="22"/>
          <w:szCs w:val="22"/>
        </w:rPr>
      </w:pPr>
    </w:p>
    <w:p w:rsidR="00CA122F" w:rsidRPr="00BA1F7C" w:rsidRDefault="00503A23" w:rsidP="00BA1F7C">
      <w:pPr>
        <w:pStyle w:val="texto1"/>
        <w:spacing w:before="0pt" w:beforeAutospacing="0" w:after="0pt" w:afterAutospacing="0"/>
        <w:jc w:val="both"/>
        <w:rPr>
          <w:bCs/>
          <w:sz w:val="22"/>
          <w:szCs w:val="22"/>
        </w:rPr>
      </w:pPr>
      <w:r w:rsidRPr="00BA1F7C">
        <w:rPr>
          <w:color w:val="000000"/>
          <w:sz w:val="22"/>
          <w:szCs w:val="22"/>
        </w:rPr>
        <w:t xml:space="preserve">Considerando que nos autos da </w:t>
      </w:r>
      <w:r w:rsidRPr="00BA1F7C">
        <w:rPr>
          <w:sz w:val="22"/>
          <w:szCs w:val="22"/>
        </w:rPr>
        <w:t xml:space="preserve">Ação Direta de Inconstitucionalidade n° 5634/2016, perante o Supremo Tribunal Federal, a constitucionalidade do </w:t>
      </w:r>
      <w:r w:rsidRPr="00BA1F7C">
        <w:rPr>
          <w:color w:val="000000"/>
          <w:sz w:val="22"/>
          <w:szCs w:val="22"/>
        </w:rPr>
        <w:t>art. 3°, § 1° da Lei n° 12.3278, de 2010, vem sendo afirmada pel</w:t>
      </w:r>
      <w:r w:rsidRPr="00BA1F7C">
        <w:rPr>
          <w:spacing w:val="-2"/>
          <w:sz w:val="22"/>
          <w:szCs w:val="22"/>
        </w:rPr>
        <w:t>a Advocacia Geral da União (AGU)</w:t>
      </w:r>
      <w:r w:rsidR="00CA122F" w:rsidRPr="00BA1F7C">
        <w:rPr>
          <w:spacing w:val="-2"/>
          <w:sz w:val="22"/>
          <w:szCs w:val="22"/>
        </w:rPr>
        <w:t>,</w:t>
      </w:r>
      <w:r w:rsidRPr="00BA1F7C">
        <w:rPr>
          <w:spacing w:val="-2"/>
          <w:sz w:val="22"/>
          <w:szCs w:val="22"/>
        </w:rPr>
        <w:t xml:space="preserve"> por meio das </w:t>
      </w:r>
      <w:r w:rsidRPr="00BA1F7C">
        <w:rPr>
          <w:bCs/>
          <w:spacing w:val="-2"/>
          <w:sz w:val="22"/>
          <w:szCs w:val="22"/>
        </w:rPr>
        <w:t>Informações 019/2017INUINP/CGU/AGUIRBA - NUP: 00688.001262/2016-85</w:t>
      </w:r>
      <w:r w:rsidRPr="00BA1F7C">
        <w:rPr>
          <w:spacing w:val="-2"/>
          <w:sz w:val="22"/>
          <w:szCs w:val="22"/>
        </w:rPr>
        <w:t>,</w:t>
      </w:r>
      <w:r w:rsidR="00CA122F" w:rsidRPr="00BA1F7C">
        <w:rPr>
          <w:spacing w:val="-2"/>
          <w:sz w:val="22"/>
          <w:szCs w:val="22"/>
        </w:rPr>
        <w:t xml:space="preserve"> e pela Procuradoria-Geral da República, por meio do </w:t>
      </w:r>
      <w:r w:rsidR="00CA122F" w:rsidRPr="00BA1F7C">
        <w:rPr>
          <w:sz w:val="22"/>
          <w:szCs w:val="22"/>
        </w:rPr>
        <w:t>Parecer n°</w:t>
      </w:r>
      <w:r w:rsidR="00CA122F" w:rsidRPr="00BA1F7C">
        <w:rPr>
          <w:bCs/>
          <w:sz w:val="22"/>
          <w:szCs w:val="22"/>
        </w:rPr>
        <w:t xml:space="preserve"> 167/2018 – SFCONST/PGR (Sistema Único nº 291246/2018);</w:t>
      </w:r>
    </w:p>
    <w:p w:rsidR="00CA122F" w:rsidRPr="00BA1F7C" w:rsidRDefault="00CA122F" w:rsidP="00BA1F7C">
      <w:pPr>
        <w:pStyle w:val="texto1"/>
        <w:spacing w:before="0pt" w:beforeAutospacing="0" w:after="0pt" w:afterAutospacing="0"/>
        <w:jc w:val="both"/>
        <w:rPr>
          <w:bCs/>
          <w:sz w:val="22"/>
          <w:szCs w:val="22"/>
        </w:rPr>
      </w:pPr>
    </w:p>
    <w:p w:rsidR="00CA122F" w:rsidRPr="00BA1F7C" w:rsidRDefault="00CA122F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BA1F7C">
        <w:rPr>
          <w:bCs/>
          <w:sz w:val="22"/>
          <w:szCs w:val="22"/>
        </w:rPr>
        <w:t xml:space="preserve">Considerando que </w:t>
      </w:r>
      <w:r w:rsidR="004B5202" w:rsidRPr="00BA1F7C">
        <w:rPr>
          <w:bCs/>
          <w:sz w:val="22"/>
          <w:szCs w:val="22"/>
        </w:rPr>
        <w:t>a</w:t>
      </w:r>
      <w:r w:rsidRPr="00BA1F7C">
        <w:rPr>
          <w:bCs/>
          <w:sz w:val="22"/>
          <w:szCs w:val="22"/>
        </w:rPr>
        <w:t xml:space="preserve"> </w:t>
      </w:r>
      <w:r w:rsidR="004B5202" w:rsidRPr="00BA1F7C">
        <w:rPr>
          <w:bCs/>
          <w:sz w:val="22"/>
          <w:szCs w:val="22"/>
        </w:rPr>
        <w:t>A</w:t>
      </w:r>
      <w:r w:rsidRPr="00BA1F7C">
        <w:rPr>
          <w:bCs/>
          <w:sz w:val="22"/>
          <w:szCs w:val="22"/>
        </w:rPr>
        <w:t xml:space="preserve">rquitetura e </w:t>
      </w:r>
      <w:r w:rsidR="004B5202" w:rsidRPr="00BA1F7C">
        <w:rPr>
          <w:bCs/>
          <w:sz w:val="22"/>
          <w:szCs w:val="22"/>
        </w:rPr>
        <w:t>U</w:t>
      </w:r>
      <w:r w:rsidRPr="00BA1F7C">
        <w:rPr>
          <w:bCs/>
          <w:sz w:val="22"/>
          <w:szCs w:val="22"/>
        </w:rPr>
        <w:t xml:space="preserve">rbanismo constituem atividades próprias dos profissionais arquitetos e urbanistas, conforme reconhecidas pelas Diretrizes Curriculares Nacionais dos cursos de graduação em Arquitetura e Urbanismo nos termos da </w:t>
      </w:r>
      <w:r w:rsidRPr="00BA1F7C">
        <w:rPr>
          <w:sz w:val="22"/>
          <w:szCs w:val="22"/>
        </w:rPr>
        <w:t>Resolução nº 2, de 17 de junho de 2010, do Conselho Nacional de Educação – Câmara de Educação Superior (CNE/CES) do Ministério da Educação (MEC);</w:t>
      </w:r>
    </w:p>
    <w:p w:rsidR="00CA122F" w:rsidRPr="00BA1F7C" w:rsidRDefault="00CA122F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6F08E0" w:rsidRPr="00BA1F7C" w:rsidRDefault="00CA122F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BA1F7C">
        <w:rPr>
          <w:bCs/>
          <w:sz w:val="22"/>
          <w:szCs w:val="22"/>
        </w:rPr>
        <w:t xml:space="preserve">Considerando que, </w:t>
      </w:r>
      <w:r w:rsidR="004B5202" w:rsidRPr="00BA1F7C">
        <w:rPr>
          <w:bCs/>
          <w:sz w:val="22"/>
          <w:szCs w:val="22"/>
        </w:rPr>
        <w:t xml:space="preserve">além das </w:t>
      </w:r>
      <w:r w:rsidRPr="00BA1F7C">
        <w:rPr>
          <w:bCs/>
          <w:sz w:val="22"/>
          <w:szCs w:val="22"/>
        </w:rPr>
        <w:t xml:space="preserve">disposições da </w:t>
      </w:r>
      <w:r w:rsidRPr="00BA1F7C">
        <w:rPr>
          <w:sz w:val="22"/>
          <w:szCs w:val="22"/>
        </w:rPr>
        <w:t>Resolução nº 2, de 2010, do Conselho Nacional de Educação – Câmara de Educação Superior (CNE/CES), historicamente a legislação pátria</w:t>
      </w:r>
      <w:r w:rsidR="006F08E0" w:rsidRPr="00BA1F7C">
        <w:rPr>
          <w:sz w:val="22"/>
          <w:szCs w:val="22"/>
        </w:rPr>
        <w:t xml:space="preserve"> – especialmente o Decreto n° 23.569, de 11 de dezembro de 1933, e a Lei n° 5.194, de 24 de dezembro de 1966 – </w:t>
      </w:r>
      <w:r w:rsidRPr="00BA1F7C">
        <w:rPr>
          <w:sz w:val="22"/>
          <w:szCs w:val="22"/>
        </w:rPr>
        <w:t>vem co</w:t>
      </w:r>
      <w:r w:rsidR="006F08E0" w:rsidRPr="00BA1F7C">
        <w:rPr>
          <w:sz w:val="22"/>
          <w:szCs w:val="22"/>
        </w:rPr>
        <w:t>nferindo aos arquitetos e urban</w:t>
      </w:r>
      <w:r w:rsidRPr="00BA1F7C">
        <w:rPr>
          <w:sz w:val="22"/>
          <w:szCs w:val="22"/>
        </w:rPr>
        <w:t>i</w:t>
      </w:r>
      <w:r w:rsidR="006F08E0" w:rsidRPr="00BA1F7C">
        <w:rPr>
          <w:sz w:val="22"/>
          <w:szCs w:val="22"/>
        </w:rPr>
        <w:t>s</w:t>
      </w:r>
      <w:r w:rsidRPr="00BA1F7C">
        <w:rPr>
          <w:sz w:val="22"/>
          <w:szCs w:val="22"/>
        </w:rPr>
        <w:t xml:space="preserve">tas </w:t>
      </w:r>
      <w:r w:rsidR="00D1529B" w:rsidRPr="00BA1F7C">
        <w:rPr>
          <w:sz w:val="22"/>
          <w:szCs w:val="22"/>
        </w:rPr>
        <w:t>a</w:t>
      </w:r>
      <w:r w:rsidRPr="00BA1F7C">
        <w:rPr>
          <w:sz w:val="22"/>
          <w:szCs w:val="22"/>
        </w:rPr>
        <w:t xml:space="preserve"> pr</w:t>
      </w:r>
      <w:r w:rsidR="00D1529B" w:rsidRPr="00BA1F7C">
        <w:rPr>
          <w:sz w:val="22"/>
          <w:szCs w:val="22"/>
        </w:rPr>
        <w:t>errogativa</w:t>
      </w:r>
      <w:r w:rsidRPr="00BA1F7C">
        <w:rPr>
          <w:sz w:val="22"/>
          <w:szCs w:val="22"/>
        </w:rPr>
        <w:t xml:space="preserve"> do exercício d</w:t>
      </w:r>
      <w:r w:rsidR="006F08E0" w:rsidRPr="00BA1F7C">
        <w:rPr>
          <w:sz w:val="22"/>
          <w:szCs w:val="22"/>
        </w:rPr>
        <w:t xml:space="preserve">as </w:t>
      </w:r>
      <w:r w:rsidRPr="00BA1F7C">
        <w:rPr>
          <w:sz w:val="22"/>
          <w:szCs w:val="22"/>
        </w:rPr>
        <w:t xml:space="preserve">atividades </w:t>
      </w:r>
      <w:r w:rsidR="006F08E0" w:rsidRPr="00BA1F7C">
        <w:rPr>
          <w:sz w:val="22"/>
          <w:szCs w:val="22"/>
        </w:rPr>
        <w:t>de arquitetura e urbanismo, amparada sobretudo nas habilidades e competências obtidas nos cursos de formação;</w:t>
      </w:r>
    </w:p>
    <w:p w:rsidR="006F08E0" w:rsidRPr="00BA1F7C" w:rsidRDefault="006F08E0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6F08E0" w:rsidRPr="00BA1F7C" w:rsidRDefault="006F08E0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BA1F7C">
        <w:rPr>
          <w:sz w:val="22"/>
          <w:szCs w:val="22"/>
        </w:rPr>
        <w:t xml:space="preserve">Considerando que, não obstante a legitimidade da Resolução n° 51, de 12 de julho de 2013, do Conselho de Arquitetura e Urbanismo do Brasil (CAU/BR), na especificação das </w:t>
      </w:r>
      <w:r w:rsidRPr="00BA1F7C">
        <w:rPr>
          <w:bCs/>
          <w:sz w:val="22"/>
          <w:szCs w:val="22"/>
        </w:rPr>
        <w:t xml:space="preserve">áreas de atuação privativas dos arquitetos e urbanistas e </w:t>
      </w:r>
      <w:r w:rsidR="00883F69" w:rsidRPr="00BA1F7C">
        <w:rPr>
          <w:bCs/>
          <w:sz w:val="22"/>
          <w:szCs w:val="22"/>
        </w:rPr>
        <w:t>d</w:t>
      </w:r>
      <w:r w:rsidRPr="00BA1F7C">
        <w:rPr>
          <w:bCs/>
          <w:sz w:val="22"/>
          <w:szCs w:val="22"/>
        </w:rPr>
        <w:t xml:space="preserve">as áreas de atuação compartilhadas com outras profissões regulamentadas, esse ato normativo vem sendo objeto de diversas contestações judiciais e, mais </w:t>
      </w:r>
      <w:r w:rsidR="004B5202" w:rsidRPr="00BA1F7C">
        <w:rPr>
          <w:bCs/>
          <w:sz w:val="22"/>
          <w:szCs w:val="22"/>
        </w:rPr>
        <w:t>rece</w:t>
      </w:r>
      <w:r w:rsidRPr="00BA1F7C">
        <w:rPr>
          <w:bCs/>
          <w:sz w:val="22"/>
          <w:szCs w:val="22"/>
        </w:rPr>
        <w:t xml:space="preserve">ntemente, por meio do Projeto de </w:t>
      </w:r>
      <w:r w:rsidRPr="00BA1F7C">
        <w:rPr>
          <w:sz w:val="22"/>
          <w:szCs w:val="22"/>
        </w:rPr>
        <w:t>Decre</w:t>
      </w:r>
      <w:r w:rsidR="00883F69" w:rsidRPr="00BA1F7C">
        <w:rPr>
          <w:sz w:val="22"/>
          <w:szCs w:val="22"/>
        </w:rPr>
        <w:t xml:space="preserve">to Legislativo n° 901, de 2018, que pretende, </w:t>
      </w:r>
      <w:r w:rsidRPr="00BA1F7C">
        <w:rPr>
          <w:sz w:val="22"/>
          <w:szCs w:val="22"/>
        </w:rPr>
        <w:t>com amparo no art. 49, inciso V, da Constituição, sustar os efeitos da Resolução CAU/BR n° 51, de 2013;</w:t>
      </w:r>
    </w:p>
    <w:p w:rsidR="004B5202" w:rsidRPr="00BA1F7C" w:rsidRDefault="004B5202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883F69" w:rsidRPr="00BA1F7C" w:rsidRDefault="00883F69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BE1296" w:rsidRPr="00BA1F7C" w:rsidRDefault="006F08E0" w:rsidP="00BA1F7C">
      <w:pPr>
        <w:pStyle w:val="texto1"/>
        <w:spacing w:before="0pt" w:beforeAutospacing="0" w:after="0pt" w:afterAutospacing="0"/>
        <w:jc w:val="both"/>
        <w:rPr>
          <w:bCs/>
          <w:sz w:val="22"/>
          <w:szCs w:val="22"/>
        </w:rPr>
      </w:pPr>
      <w:r w:rsidRPr="00BA1F7C">
        <w:rPr>
          <w:sz w:val="22"/>
          <w:szCs w:val="22"/>
        </w:rPr>
        <w:t>Considerando que o Conselho de Arquitetura e Urbanismo do Brasil (CAU/BR) e o Conselho Federal de Engenharia e Agronomia (CONFEA) já v</w:t>
      </w:r>
      <w:r w:rsidR="004B5202" w:rsidRPr="00BA1F7C">
        <w:rPr>
          <w:sz w:val="22"/>
          <w:szCs w:val="22"/>
        </w:rPr>
        <w:t>ê</w:t>
      </w:r>
      <w:r w:rsidRPr="00BA1F7C">
        <w:rPr>
          <w:sz w:val="22"/>
          <w:szCs w:val="22"/>
        </w:rPr>
        <w:t xml:space="preserve">m mantendo conversações para superar as divergências em relação ao ato normativo do CAU/BR que especifica as </w:t>
      </w:r>
      <w:r w:rsidRPr="00BA1F7C">
        <w:rPr>
          <w:bCs/>
          <w:sz w:val="22"/>
          <w:szCs w:val="22"/>
        </w:rPr>
        <w:t xml:space="preserve">áreas de atuação privativas dos arquitetos e urbanistas, estando em </w:t>
      </w:r>
      <w:r w:rsidR="00BE1296" w:rsidRPr="00BA1F7C">
        <w:rPr>
          <w:bCs/>
          <w:sz w:val="22"/>
          <w:szCs w:val="22"/>
        </w:rPr>
        <w:t xml:space="preserve">andamento as conversações no sentido de dispor, em comum acordo, sobre as </w:t>
      </w:r>
      <w:r w:rsidRPr="00BA1F7C">
        <w:rPr>
          <w:bCs/>
          <w:sz w:val="22"/>
          <w:szCs w:val="22"/>
        </w:rPr>
        <w:t xml:space="preserve">áreas de atuação compartilhadas </w:t>
      </w:r>
      <w:r w:rsidR="00BE1296" w:rsidRPr="00BA1F7C">
        <w:rPr>
          <w:bCs/>
          <w:sz w:val="22"/>
          <w:szCs w:val="22"/>
        </w:rPr>
        <w:t>entre arquitetos e urbanistas e entre engenheiros das diversas modalidades de formação;</w:t>
      </w:r>
    </w:p>
    <w:p w:rsidR="00BE1296" w:rsidRPr="00BA1F7C" w:rsidRDefault="00BE1296" w:rsidP="00BA1F7C">
      <w:pPr>
        <w:pStyle w:val="texto1"/>
        <w:spacing w:before="0pt" w:beforeAutospacing="0" w:after="0pt" w:afterAutospacing="0"/>
        <w:jc w:val="both"/>
        <w:rPr>
          <w:bCs/>
          <w:sz w:val="22"/>
          <w:szCs w:val="22"/>
        </w:rPr>
      </w:pPr>
    </w:p>
    <w:p w:rsidR="00BE1296" w:rsidRPr="00BA1F7C" w:rsidRDefault="00BE1296" w:rsidP="00BA1F7C">
      <w:pPr>
        <w:jc w:val="both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hAnsi="Times New Roman"/>
          <w:sz w:val="22"/>
          <w:szCs w:val="22"/>
        </w:rPr>
        <w:t xml:space="preserve">Considerando que no âmbito do CAU/BR a Comissão Temporária de Harmonização do Exercício Profissional (CTHEP) está incumbida de manter os entendimentos com </w:t>
      </w:r>
      <w:r w:rsidR="00CA33D6" w:rsidRPr="00BA1F7C">
        <w:rPr>
          <w:rFonts w:ascii="Times New Roman" w:hAnsi="Times New Roman"/>
          <w:sz w:val="22"/>
          <w:szCs w:val="22"/>
        </w:rPr>
        <w:t>a comissão</w:t>
      </w:r>
      <w:r w:rsidRPr="00BA1F7C">
        <w:rPr>
          <w:rFonts w:ascii="Times New Roman" w:hAnsi="Times New Roman"/>
          <w:sz w:val="22"/>
          <w:szCs w:val="22"/>
        </w:rPr>
        <w:t xml:space="preserve"> paradigma no âmbito do CONFEA, com vistas a proporem uma regulamentação das áreas de atuação privativas e das áreas de atuação compartilhadas que atenda </w:t>
      </w:r>
      <w:r w:rsidR="00CA33D6" w:rsidRPr="00BA1F7C">
        <w:rPr>
          <w:rFonts w:ascii="Times New Roman" w:hAnsi="Times New Roman"/>
          <w:sz w:val="22"/>
          <w:szCs w:val="22"/>
        </w:rPr>
        <w:t>a</w:t>
      </w:r>
      <w:r w:rsidRPr="00BA1F7C">
        <w:rPr>
          <w:rFonts w:ascii="Times New Roman" w:hAnsi="Times New Roman"/>
          <w:sz w:val="22"/>
          <w:szCs w:val="22"/>
        </w:rPr>
        <w:t xml:space="preserve">os aspectos legais e </w:t>
      </w:r>
      <w:r w:rsidR="00CA33D6" w:rsidRPr="00BA1F7C">
        <w:rPr>
          <w:rFonts w:ascii="Times New Roman" w:hAnsi="Times New Roman"/>
          <w:sz w:val="22"/>
          <w:szCs w:val="22"/>
        </w:rPr>
        <w:t>à</w:t>
      </w:r>
      <w:r w:rsidRPr="00BA1F7C">
        <w:rPr>
          <w:rFonts w:ascii="Times New Roman" w:hAnsi="Times New Roman"/>
          <w:sz w:val="22"/>
          <w:szCs w:val="22"/>
        </w:rPr>
        <w:t>s características das formações das diversas profissões;</w:t>
      </w:r>
    </w:p>
    <w:p w:rsidR="00BE1296" w:rsidRPr="00BA1F7C" w:rsidRDefault="00BE1296" w:rsidP="00BA1F7C">
      <w:pPr>
        <w:jc w:val="both"/>
        <w:rPr>
          <w:rFonts w:ascii="Times New Roman" w:hAnsi="Times New Roman"/>
          <w:sz w:val="22"/>
          <w:szCs w:val="22"/>
        </w:rPr>
      </w:pPr>
    </w:p>
    <w:p w:rsidR="00BE1296" w:rsidRPr="00BA1F7C" w:rsidRDefault="00BE1296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BA1F7C">
        <w:rPr>
          <w:sz w:val="22"/>
          <w:szCs w:val="22"/>
        </w:rPr>
        <w:t>Considerando que a revogação da Resolução CAU/BR n° 51, de 2013, não prejudicará as prerrogativas profissionais dos arquitetos e urbanistas, haja vista que essas deco</w:t>
      </w:r>
      <w:r w:rsidR="00CA33D6" w:rsidRPr="00BA1F7C">
        <w:rPr>
          <w:sz w:val="22"/>
          <w:szCs w:val="22"/>
        </w:rPr>
        <w:t>r</w:t>
      </w:r>
      <w:r w:rsidRPr="00BA1F7C">
        <w:rPr>
          <w:sz w:val="22"/>
          <w:szCs w:val="22"/>
        </w:rPr>
        <w:t>rem das</w:t>
      </w:r>
      <w:r w:rsidRPr="00BA1F7C">
        <w:rPr>
          <w:bCs/>
          <w:sz w:val="22"/>
          <w:szCs w:val="22"/>
        </w:rPr>
        <w:t xml:space="preserve"> Diretrizes Curriculares Nacionais dos cursos de graduação em Arquitetura e Urbanismo nos termos da </w:t>
      </w:r>
      <w:r w:rsidRPr="00BA1F7C">
        <w:rPr>
          <w:sz w:val="22"/>
          <w:szCs w:val="22"/>
        </w:rPr>
        <w:t>Resolução nº 2, de 17 de junho de 2010, do Conselho Nacional de Educação – Câmara de Educação Superior (CNE/CES) do Ministério da Educação (MEC);</w:t>
      </w:r>
    </w:p>
    <w:p w:rsidR="00BE1296" w:rsidRPr="00BA1F7C" w:rsidRDefault="00BE1296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D1529B" w:rsidRPr="00BA1F7C" w:rsidRDefault="00D1529B" w:rsidP="00BA1F7C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BA1F7C">
        <w:rPr>
          <w:rFonts w:ascii="Times New Roman" w:eastAsia="Times New Roman" w:hAnsi="Times New Roman"/>
          <w:color w:val="000000"/>
          <w:sz w:val="22"/>
          <w:szCs w:val="22"/>
        </w:rPr>
        <w:t xml:space="preserve">Considerando que a revogação da </w:t>
      </w:r>
      <w:r w:rsidRPr="00BA1F7C">
        <w:rPr>
          <w:rFonts w:ascii="Times New Roman" w:hAnsi="Times New Roman"/>
          <w:sz w:val="22"/>
          <w:szCs w:val="22"/>
        </w:rPr>
        <w:t xml:space="preserve">Resolução CAU/BR n° 51, de 2013, não prejudicará os </w:t>
      </w:r>
      <w:r w:rsidRPr="00BA1F7C">
        <w:rPr>
          <w:rFonts w:ascii="Times New Roman" w:eastAsia="Times New Roman" w:hAnsi="Times New Roman"/>
          <w:color w:val="000000"/>
          <w:sz w:val="22"/>
          <w:szCs w:val="22"/>
        </w:rPr>
        <w:t>dispositivos da Lei n° 12.378, de 2010, que tratam dos interesses públicos e da sociedade contra a má prática ou exercício ilegal da profissão; e</w:t>
      </w:r>
    </w:p>
    <w:p w:rsidR="00D1529B" w:rsidRPr="00BA1F7C" w:rsidRDefault="00D1529B" w:rsidP="00BA1F7C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4B5202" w:rsidRPr="00BA1F7C" w:rsidRDefault="00BE1296" w:rsidP="00BA1F7C">
      <w:pPr>
        <w:pStyle w:val="texto1"/>
        <w:spacing w:before="0pt" w:beforeAutospacing="0" w:after="0pt" w:afterAutospacing="0"/>
        <w:jc w:val="both"/>
        <w:rPr>
          <w:bCs/>
          <w:sz w:val="22"/>
          <w:szCs w:val="22"/>
        </w:rPr>
      </w:pPr>
      <w:r w:rsidRPr="00BA1F7C">
        <w:rPr>
          <w:sz w:val="22"/>
          <w:szCs w:val="22"/>
        </w:rPr>
        <w:t>Considerando</w:t>
      </w:r>
      <w:r w:rsidR="004B5202" w:rsidRPr="00BA1F7C">
        <w:rPr>
          <w:sz w:val="22"/>
          <w:szCs w:val="22"/>
        </w:rPr>
        <w:t>,</w:t>
      </w:r>
      <w:r w:rsidRPr="00BA1F7C">
        <w:rPr>
          <w:sz w:val="22"/>
          <w:szCs w:val="22"/>
        </w:rPr>
        <w:t xml:space="preserve"> </w:t>
      </w:r>
      <w:r w:rsidR="004B5202" w:rsidRPr="00BA1F7C">
        <w:rPr>
          <w:sz w:val="22"/>
          <w:szCs w:val="22"/>
        </w:rPr>
        <w:t xml:space="preserve">ainda, </w:t>
      </w:r>
      <w:r w:rsidRPr="00BA1F7C">
        <w:rPr>
          <w:sz w:val="22"/>
          <w:szCs w:val="22"/>
        </w:rPr>
        <w:t>que a</w:t>
      </w:r>
      <w:r w:rsidR="004B5202" w:rsidRPr="00BA1F7C">
        <w:rPr>
          <w:sz w:val="22"/>
          <w:szCs w:val="22"/>
        </w:rPr>
        <w:t xml:space="preserve">lém de a </w:t>
      </w:r>
      <w:r w:rsidRPr="00BA1F7C">
        <w:rPr>
          <w:sz w:val="22"/>
          <w:szCs w:val="22"/>
        </w:rPr>
        <w:t>revogação da Resolução CAU/BR n° 51, de 2013, não prejudicar</w:t>
      </w:r>
      <w:r w:rsidR="004B5202" w:rsidRPr="00BA1F7C">
        <w:rPr>
          <w:sz w:val="22"/>
          <w:szCs w:val="22"/>
        </w:rPr>
        <w:t xml:space="preserve"> as prerrogativas profissionais dos arquitetos e urbanistas, criará as condições favoráveis para a discussão da</w:t>
      </w:r>
      <w:r w:rsidR="00CA33D6" w:rsidRPr="00BA1F7C">
        <w:rPr>
          <w:sz w:val="22"/>
          <w:szCs w:val="22"/>
        </w:rPr>
        <w:t>s</w:t>
      </w:r>
      <w:r w:rsidR="004B5202" w:rsidRPr="00BA1F7C">
        <w:rPr>
          <w:sz w:val="22"/>
          <w:szCs w:val="22"/>
        </w:rPr>
        <w:t xml:space="preserve"> matéria</w:t>
      </w:r>
      <w:r w:rsidR="00CA33D6" w:rsidRPr="00BA1F7C">
        <w:rPr>
          <w:sz w:val="22"/>
          <w:szCs w:val="22"/>
        </w:rPr>
        <w:t>s</w:t>
      </w:r>
      <w:r w:rsidR="004B5202" w:rsidRPr="00BA1F7C">
        <w:rPr>
          <w:sz w:val="22"/>
          <w:szCs w:val="22"/>
        </w:rPr>
        <w:t xml:space="preserve"> relativa</w:t>
      </w:r>
      <w:r w:rsidR="00CA33D6" w:rsidRPr="00BA1F7C">
        <w:rPr>
          <w:sz w:val="22"/>
          <w:szCs w:val="22"/>
        </w:rPr>
        <w:t>s</w:t>
      </w:r>
      <w:r w:rsidR="004B5202" w:rsidRPr="00BA1F7C">
        <w:rPr>
          <w:sz w:val="22"/>
          <w:szCs w:val="22"/>
        </w:rPr>
        <w:t xml:space="preserve"> às </w:t>
      </w:r>
      <w:r w:rsidR="004B5202" w:rsidRPr="00BA1F7C">
        <w:rPr>
          <w:bCs/>
          <w:sz w:val="22"/>
          <w:szCs w:val="22"/>
        </w:rPr>
        <w:t>áreas de atuação privativas dos arquitetos e urbanistas e às áreas de atuação compartilhadas entre arquitetos e urbanistas e outros profissionais, pacificando os conflitos atualmente existentes;</w:t>
      </w:r>
    </w:p>
    <w:p w:rsidR="004B5202" w:rsidRPr="00BA1F7C" w:rsidRDefault="004B5202" w:rsidP="00BA1F7C">
      <w:pPr>
        <w:pStyle w:val="texto1"/>
        <w:spacing w:before="0pt" w:beforeAutospacing="0" w:after="0pt" w:afterAutospacing="0"/>
        <w:jc w:val="both"/>
        <w:rPr>
          <w:bCs/>
          <w:sz w:val="22"/>
          <w:szCs w:val="22"/>
        </w:rPr>
      </w:pPr>
    </w:p>
    <w:p w:rsidR="006F583B" w:rsidRPr="00BA1F7C" w:rsidRDefault="006F583B" w:rsidP="00BA1F7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1F7C"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F583B" w:rsidRPr="00BA1F7C" w:rsidRDefault="006F583B" w:rsidP="00BA1F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B5202" w:rsidRPr="00BA1F7C" w:rsidRDefault="006F583B" w:rsidP="00BA1F7C">
      <w:pPr>
        <w:jc w:val="both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1 - Aprovar, </w:t>
      </w:r>
      <w:r w:rsidRPr="00BA1F7C"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Conselho de Arquitetura e Urbanismo do Brasil (CAU/BR), o Projeto de Resolução anexo, que </w:t>
      </w:r>
      <w:r w:rsidR="004B5202"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revoga a </w:t>
      </w:r>
      <w:r w:rsidR="004B5202" w:rsidRPr="00BA1F7C">
        <w:rPr>
          <w:rFonts w:ascii="Times New Roman" w:hAnsi="Times New Roman"/>
          <w:sz w:val="22"/>
          <w:szCs w:val="22"/>
        </w:rPr>
        <w:t xml:space="preserve">Resolução n° 51, de 12 de julho de 2013, do </w:t>
      </w:r>
      <w:r w:rsidR="004B5202"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Conselho de Arquitetura e Urbanismo do Brasil (CAU/BR), </w:t>
      </w:r>
      <w:r w:rsidR="004B5202" w:rsidRPr="00BA1F7C">
        <w:rPr>
          <w:rFonts w:ascii="Times New Roman" w:hAnsi="Times New Roman"/>
          <w:sz w:val="22"/>
          <w:szCs w:val="22"/>
        </w:rPr>
        <w:t>que “d</w:t>
      </w:r>
      <w:r w:rsidR="004B5202" w:rsidRPr="00BA1F7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ispõe sobre as áreas de atuação privativas dos arquitetos e urbanistas e as áreas de atuação compartilhadas com outras profissões regulamentadas </w:t>
      </w:r>
      <w:r w:rsidR="004B5202" w:rsidRPr="00BA1F7C">
        <w:rPr>
          <w:rFonts w:ascii="Times New Roman" w:hAnsi="Times New Roman"/>
          <w:sz w:val="22"/>
          <w:szCs w:val="22"/>
        </w:rPr>
        <w:t>e dá outras providências”.</w:t>
      </w:r>
    </w:p>
    <w:p w:rsidR="004B5202" w:rsidRPr="00BA1F7C" w:rsidRDefault="004B5202" w:rsidP="00BA1F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FF"/>
          <w:lang w:eastAsia="pt-BR"/>
        </w:rPr>
      </w:pP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>2 - Esta deliberação entra em vigor na data de sua publicação, com efeitos a partir desta data.</w:t>
      </w:r>
    </w:p>
    <w:p w:rsidR="006F583B" w:rsidRPr="00BA1F7C" w:rsidRDefault="006F583B" w:rsidP="00BA1F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>Brasília, 1</w:t>
      </w:r>
      <w:r w:rsidR="004B5202" w:rsidRPr="00BA1F7C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B5202" w:rsidRPr="00BA1F7C">
        <w:rPr>
          <w:rFonts w:ascii="Times New Roman" w:eastAsia="Times New Roman" w:hAnsi="Times New Roman"/>
          <w:sz w:val="22"/>
          <w:szCs w:val="22"/>
          <w:lang w:eastAsia="pt-BR"/>
        </w:rPr>
        <w:t>set</w:t>
      </w: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>embro de 201</w:t>
      </w:r>
      <w:r w:rsidR="004B5202" w:rsidRPr="00BA1F7C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F583B" w:rsidRPr="00BA1F7C" w:rsidRDefault="006F583B" w:rsidP="00BA1F7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583B" w:rsidRPr="00BA1F7C" w:rsidRDefault="006F583B" w:rsidP="00BA1F7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BA1F7C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F583B" w:rsidRPr="00BA1F7C" w:rsidRDefault="006F583B" w:rsidP="00BA1F7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1F7C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CA33D6" w:rsidRPr="00BA1F7C" w:rsidRDefault="00CA33D6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CA33D6" w:rsidRPr="00BA1F7C" w:rsidRDefault="00CA33D6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CA33D6" w:rsidRPr="00BA1F7C" w:rsidRDefault="00CA33D6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CA33D6" w:rsidRPr="00BA1F7C" w:rsidRDefault="00CA33D6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CA33D6" w:rsidRPr="00BA1F7C" w:rsidRDefault="00CA33D6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CA33D6" w:rsidRPr="00BA1F7C" w:rsidRDefault="00CA33D6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D1529B" w:rsidRPr="00BA1F7C" w:rsidRDefault="00D1529B" w:rsidP="00BA1F7C">
      <w:pPr>
        <w:jc w:val="center"/>
        <w:rPr>
          <w:rFonts w:ascii="Times New Roman" w:hAnsi="Times New Roman"/>
          <w:sz w:val="22"/>
          <w:szCs w:val="22"/>
        </w:rPr>
      </w:pPr>
    </w:p>
    <w:p w:rsidR="00CA33D6" w:rsidRPr="00BA1F7C" w:rsidRDefault="00CA33D6" w:rsidP="00BA1F7C">
      <w:pPr>
        <w:jc w:val="center"/>
        <w:rPr>
          <w:rFonts w:ascii="Times New Roman" w:hAnsi="Times New Roman"/>
          <w:b/>
          <w:sz w:val="20"/>
          <w:szCs w:val="20"/>
        </w:rPr>
      </w:pPr>
      <w:r w:rsidRPr="00BA1F7C">
        <w:rPr>
          <w:rFonts w:ascii="Times New Roman" w:hAnsi="Times New Roman"/>
          <w:sz w:val="20"/>
          <w:szCs w:val="20"/>
        </w:rPr>
        <w:t xml:space="preserve">[Anexo: </w:t>
      </w:r>
      <w:r w:rsidR="00BA1F7C" w:rsidRPr="00BA1F7C">
        <w:rPr>
          <w:rFonts w:ascii="Times New Roman" w:hAnsi="Times New Roman"/>
          <w:sz w:val="20"/>
          <w:szCs w:val="20"/>
        </w:rPr>
        <w:t xml:space="preserve">Resolução </w:t>
      </w:r>
      <w:r w:rsidR="00BA1F7C">
        <w:rPr>
          <w:rFonts w:ascii="Times New Roman" w:hAnsi="Times New Roman"/>
          <w:sz w:val="20"/>
          <w:szCs w:val="20"/>
        </w:rPr>
        <w:t>CAU/BR n</w:t>
      </w:r>
      <w:r w:rsidRPr="00BA1F7C">
        <w:rPr>
          <w:rFonts w:ascii="Times New Roman" w:hAnsi="Times New Roman"/>
          <w:sz w:val="20"/>
          <w:szCs w:val="20"/>
        </w:rPr>
        <w:t xml:space="preserve">° 180, </w:t>
      </w:r>
      <w:r w:rsidR="00BA1F7C" w:rsidRPr="00BA1F7C">
        <w:rPr>
          <w:rFonts w:ascii="Times New Roman" w:hAnsi="Times New Roman"/>
          <w:sz w:val="20"/>
          <w:szCs w:val="20"/>
        </w:rPr>
        <w:t xml:space="preserve">de 13 de setembro de </w:t>
      </w:r>
      <w:r w:rsidRPr="00BA1F7C">
        <w:rPr>
          <w:rFonts w:ascii="Times New Roman" w:hAnsi="Times New Roman"/>
          <w:sz w:val="20"/>
          <w:szCs w:val="20"/>
        </w:rPr>
        <w:t>2019]</w:t>
      </w:r>
    </w:p>
    <w:p w:rsidR="004B5202" w:rsidRPr="00BA1F7C" w:rsidRDefault="004B5202" w:rsidP="00BA1F7C">
      <w:pPr>
        <w:jc w:val="both"/>
        <w:rPr>
          <w:rFonts w:ascii="Times New Roman" w:hAnsi="Times New Roman"/>
          <w:b/>
          <w:sz w:val="22"/>
          <w:szCs w:val="22"/>
        </w:rPr>
      </w:pPr>
      <w:r w:rsidRPr="00BA1F7C">
        <w:rPr>
          <w:rFonts w:ascii="Times New Roman" w:hAnsi="Times New Roman"/>
          <w:b/>
          <w:sz w:val="22"/>
          <w:szCs w:val="22"/>
        </w:rPr>
        <w:br w:type="page"/>
      </w:r>
    </w:p>
    <w:p w:rsidR="004B5202" w:rsidRPr="00BA1F7C" w:rsidRDefault="004B5202" w:rsidP="00BA1F7C">
      <w:pPr>
        <w:jc w:val="center"/>
        <w:rPr>
          <w:rFonts w:ascii="Times New Roman" w:hAnsi="Times New Roman"/>
          <w:b/>
          <w:sz w:val="22"/>
          <w:szCs w:val="22"/>
        </w:rPr>
      </w:pPr>
      <w:r w:rsidRPr="00BA1F7C">
        <w:rPr>
          <w:rFonts w:ascii="Times New Roman" w:hAnsi="Times New Roman"/>
          <w:b/>
          <w:sz w:val="22"/>
          <w:szCs w:val="22"/>
        </w:rPr>
        <w:t>RESOLUÇÃO N° 180, DE 13 DE SETEMBRO DE 2019</w:t>
      </w:r>
    </w:p>
    <w:p w:rsidR="004B5202" w:rsidRPr="00BA1F7C" w:rsidRDefault="004B5202" w:rsidP="00BA1F7C">
      <w:pPr>
        <w:autoSpaceDE w:val="0"/>
        <w:autoSpaceDN w:val="0"/>
        <w:adjustRightInd w:val="0"/>
        <w:ind w:firstLine="35.40pt"/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pStyle w:val="Ttulo1"/>
        <w:shd w:val="clear" w:color="auto" w:fill="FFFFFF"/>
        <w:spacing w:before="0pt" w:beforeAutospacing="0" w:after="0pt" w:afterAutospacing="0"/>
        <w:ind w:start="212.65pt"/>
        <w:jc w:val="both"/>
        <w:rPr>
          <w:b w:val="0"/>
          <w:sz w:val="22"/>
          <w:szCs w:val="22"/>
        </w:rPr>
      </w:pPr>
      <w:r w:rsidRPr="00BA1F7C">
        <w:rPr>
          <w:b w:val="0"/>
          <w:sz w:val="22"/>
          <w:szCs w:val="22"/>
        </w:rPr>
        <w:t>Revoga a Resolução n° 51, de 12 de julho de 2013, que “dispõe sobre as áreas de atuação privativas dos arquitetos e urbanistas e as áreas de atuação compartilhadas com outras profissões regulamentadas” e dá outras providências.</w:t>
      </w:r>
    </w:p>
    <w:p w:rsidR="004B5202" w:rsidRPr="00BA1F7C" w:rsidRDefault="004B5202" w:rsidP="00BA1F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hAnsi="Times New Roman"/>
          <w:sz w:val="22"/>
          <w:szCs w:val="22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 w:rsidRPr="00BA1F7C">
        <w:rPr>
          <w:rFonts w:ascii="Times New Roman" w:hAnsi="Times New Roman"/>
          <w:i/>
          <w:sz w:val="22"/>
          <w:szCs w:val="22"/>
        </w:rPr>
        <w:t>Ad Referendum</w:t>
      </w:r>
      <w:r w:rsidRPr="00BA1F7C">
        <w:rPr>
          <w:rFonts w:ascii="Times New Roman" w:hAnsi="Times New Roman"/>
          <w:sz w:val="22"/>
          <w:szCs w:val="22"/>
        </w:rPr>
        <w:t xml:space="preserve"> n° </w:t>
      </w:r>
      <w:r w:rsidR="00BA1F7C" w:rsidRPr="00BA1F7C">
        <w:rPr>
          <w:rFonts w:ascii="Times New Roman" w:hAnsi="Times New Roman"/>
          <w:sz w:val="22"/>
          <w:szCs w:val="22"/>
        </w:rPr>
        <w:t>2</w:t>
      </w:r>
      <w:r w:rsidRPr="00BA1F7C">
        <w:rPr>
          <w:rFonts w:ascii="Times New Roman" w:hAnsi="Times New Roman"/>
          <w:sz w:val="22"/>
          <w:szCs w:val="22"/>
        </w:rPr>
        <w:t>/2019, de 13 de setembro de 2019, adotada na mesma data pelo Presidente do CAU/BR;</w:t>
      </w:r>
    </w:p>
    <w:p w:rsidR="004B5202" w:rsidRPr="00BA1F7C" w:rsidRDefault="004B5202" w:rsidP="00BA1F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b/>
          <w:sz w:val="22"/>
          <w:szCs w:val="22"/>
        </w:rPr>
      </w:pPr>
      <w:r w:rsidRPr="00BA1F7C">
        <w:rPr>
          <w:rFonts w:ascii="Times New Roman" w:hAnsi="Times New Roman"/>
          <w:b/>
          <w:sz w:val="22"/>
          <w:szCs w:val="22"/>
        </w:rPr>
        <w:t>RESOLVE:</w:t>
      </w: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pStyle w:val="Ttulo1"/>
        <w:shd w:val="clear" w:color="auto" w:fill="FFFFFF"/>
        <w:spacing w:before="0pt" w:beforeAutospacing="0" w:after="0pt" w:afterAutospacing="0"/>
        <w:jc w:val="both"/>
        <w:rPr>
          <w:b w:val="0"/>
          <w:sz w:val="22"/>
          <w:szCs w:val="22"/>
        </w:rPr>
      </w:pPr>
      <w:r w:rsidRPr="00BA1F7C">
        <w:rPr>
          <w:rStyle w:val="Forte"/>
          <w:sz w:val="22"/>
          <w:szCs w:val="22"/>
        </w:rPr>
        <w:t xml:space="preserve">Art. 1° Revogar a </w:t>
      </w:r>
      <w:r w:rsidRPr="00BA1F7C">
        <w:rPr>
          <w:b w:val="0"/>
          <w:sz w:val="22"/>
          <w:szCs w:val="22"/>
        </w:rPr>
        <w:t>Resolução n° 51, de 12 de julho de 2013, que “dispõe sobre as áreas de atuação privativas dos arquitetos e urbanistas e as áreas de atuação compartilhadas com outras profissões regulamentadas e dá outras providências”, publicada no Diário Oficial da União, Edição n° 136, Seção 1, de 17 de julho de 2013.</w:t>
      </w:r>
    </w:p>
    <w:p w:rsidR="004B5202" w:rsidRPr="00BA1F7C" w:rsidRDefault="004B5202" w:rsidP="00BA1F7C">
      <w:pPr>
        <w:pStyle w:val="Ttulo1"/>
        <w:shd w:val="clear" w:color="auto" w:fill="FFFFFF"/>
        <w:spacing w:before="0pt" w:beforeAutospacing="0" w:after="0pt" w:afterAutospacing="0"/>
        <w:jc w:val="both"/>
        <w:rPr>
          <w:b w:val="0"/>
          <w:sz w:val="22"/>
          <w:szCs w:val="22"/>
        </w:rPr>
      </w:pPr>
    </w:p>
    <w:p w:rsidR="004B5202" w:rsidRPr="00BA1F7C" w:rsidRDefault="004B5202" w:rsidP="00BA1F7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hAnsi="Times New Roman"/>
          <w:sz w:val="22"/>
          <w:szCs w:val="22"/>
        </w:rPr>
        <w:t>Art. 2º Esta Resolução entra em vigor na data de sua publicação.</w:t>
      </w: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pStyle w:val="NormalWeb"/>
        <w:shd w:val="clear" w:color="auto" w:fill="FFFFFF"/>
        <w:spacing w:beforeLines="0" w:afterLines="0"/>
        <w:jc w:val="center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hAnsi="Times New Roman"/>
          <w:sz w:val="22"/>
          <w:szCs w:val="22"/>
        </w:rPr>
        <w:t>Brasília, 13 de setembro de 2019.</w:t>
      </w:r>
    </w:p>
    <w:p w:rsidR="004B5202" w:rsidRPr="00BA1F7C" w:rsidRDefault="004B5202" w:rsidP="00BA1F7C">
      <w:pPr>
        <w:jc w:val="center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center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center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center"/>
        <w:rPr>
          <w:rFonts w:ascii="Times New Roman" w:hAnsi="Times New Roman"/>
          <w:b/>
          <w:sz w:val="22"/>
          <w:szCs w:val="22"/>
        </w:rPr>
      </w:pPr>
      <w:r w:rsidRPr="00BA1F7C">
        <w:rPr>
          <w:rFonts w:ascii="Times New Roman" w:hAnsi="Times New Roman"/>
          <w:b/>
          <w:sz w:val="22"/>
          <w:szCs w:val="22"/>
        </w:rPr>
        <w:t>LUCIANO GUIMARÃES</w:t>
      </w:r>
    </w:p>
    <w:p w:rsidR="004B5202" w:rsidRPr="00BA1F7C" w:rsidRDefault="004B5202" w:rsidP="00BA1F7C">
      <w:pPr>
        <w:jc w:val="center"/>
        <w:rPr>
          <w:rFonts w:ascii="Times New Roman" w:hAnsi="Times New Roman"/>
          <w:sz w:val="22"/>
          <w:szCs w:val="22"/>
        </w:rPr>
      </w:pPr>
      <w:r w:rsidRPr="00BA1F7C">
        <w:rPr>
          <w:rFonts w:ascii="Times New Roman" w:hAnsi="Times New Roman"/>
          <w:sz w:val="22"/>
          <w:szCs w:val="22"/>
        </w:rPr>
        <w:t>Presidente do CAU/BR</w:t>
      </w:r>
    </w:p>
    <w:p w:rsidR="004B5202" w:rsidRPr="00BA1F7C" w:rsidRDefault="004B5202" w:rsidP="00BA1F7C">
      <w:pPr>
        <w:jc w:val="center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sz w:val="22"/>
          <w:szCs w:val="22"/>
        </w:rPr>
      </w:pPr>
    </w:p>
    <w:p w:rsidR="004B5202" w:rsidRPr="00BA1F7C" w:rsidRDefault="004B5202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BA1F7C" w:rsidRPr="00BA1F7C" w:rsidRDefault="00BA1F7C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BA1F7C" w:rsidRPr="00BA1F7C" w:rsidRDefault="00BA1F7C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BA1F7C" w:rsidRPr="00BA1F7C" w:rsidRDefault="00BA1F7C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BA1F7C" w:rsidRPr="00BA1F7C" w:rsidRDefault="00BA1F7C" w:rsidP="00BA1F7C">
      <w:pPr>
        <w:jc w:val="both"/>
        <w:rPr>
          <w:rFonts w:ascii="Times New Roman" w:hAnsi="Times New Roman"/>
          <w:b/>
          <w:sz w:val="22"/>
          <w:szCs w:val="22"/>
        </w:rPr>
      </w:pPr>
    </w:p>
    <w:p w:rsidR="00BA1F7C" w:rsidRPr="00BA1F7C" w:rsidRDefault="00BA1F7C" w:rsidP="00BA1F7C">
      <w:pPr>
        <w:jc w:val="center"/>
        <w:rPr>
          <w:rFonts w:ascii="Times New Roman" w:hAnsi="Times New Roman"/>
          <w:b/>
          <w:sz w:val="20"/>
          <w:szCs w:val="20"/>
        </w:rPr>
      </w:pPr>
      <w:r w:rsidRPr="00BA1F7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(Publicada no Diário Oficial da União, Edição n° 179, Seção 1, de 16 de setembro de 2019)</w:t>
      </w:r>
    </w:p>
    <w:sectPr w:rsidR="00BA1F7C" w:rsidRPr="00BA1F7C" w:rsidSect="004A3F5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7.95pt" w:right="56.70pt" w:bottom="77.95pt" w:left="85.0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E5ECE" w:rsidRDefault="002E5ECE">
      <w:r>
        <w:separator/>
      </w:r>
    </w:p>
  </w:endnote>
  <w:endnote w:type="continuationSeparator" w:id="0">
    <w:p w:rsidR="002E5ECE" w:rsidRDefault="002E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Default="00BA6DFC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A6DFC" w:rsidRPr="00771D16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A6DFC" w:rsidRPr="005402F4" w:rsidRDefault="00BA6DFC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760340" w:rsidRDefault="00BA6DFC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7282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02F7F" w:rsidRDefault="00302F7F" w:rsidP="00302F7F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</w:p>
  <w:p w:rsidR="00BA6DFC" w:rsidRDefault="00E7282C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E5ECE" w:rsidRDefault="002E5ECE">
      <w:r>
        <w:separator/>
      </w:r>
    </w:p>
  </w:footnote>
  <w:footnote w:type="continuationSeparator" w:id="0">
    <w:p w:rsidR="002E5ECE" w:rsidRDefault="002E5EC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E7282C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BA6DFC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A6DFC" w:rsidRPr="009E4E5A" w:rsidRDefault="00E7282C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CB2"/>
    <w:rsid w:val="00007927"/>
    <w:rsid w:val="00010033"/>
    <w:rsid w:val="00010137"/>
    <w:rsid w:val="00023F06"/>
    <w:rsid w:val="00034196"/>
    <w:rsid w:val="00063E52"/>
    <w:rsid w:val="00064F8B"/>
    <w:rsid w:val="0007517F"/>
    <w:rsid w:val="000809D2"/>
    <w:rsid w:val="000844DB"/>
    <w:rsid w:val="000940CE"/>
    <w:rsid w:val="000A007A"/>
    <w:rsid w:val="000D3541"/>
    <w:rsid w:val="000F1B3C"/>
    <w:rsid w:val="000F41C2"/>
    <w:rsid w:val="000F5EC2"/>
    <w:rsid w:val="001036F0"/>
    <w:rsid w:val="00110B05"/>
    <w:rsid w:val="001128D1"/>
    <w:rsid w:val="001140F0"/>
    <w:rsid w:val="001163A6"/>
    <w:rsid w:val="0012742A"/>
    <w:rsid w:val="00133682"/>
    <w:rsid w:val="00177E74"/>
    <w:rsid w:val="00183BCE"/>
    <w:rsid w:val="00185C09"/>
    <w:rsid w:val="00186718"/>
    <w:rsid w:val="00187432"/>
    <w:rsid w:val="001A4621"/>
    <w:rsid w:val="001C0065"/>
    <w:rsid w:val="001C2339"/>
    <w:rsid w:val="001C416F"/>
    <w:rsid w:val="001D49DA"/>
    <w:rsid w:val="001F7035"/>
    <w:rsid w:val="002049E9"/>
    <w:rsid w:val="00214831"/>
    <w:rsid w:val="00217C19"/>
    <w:rsid w:val="00255160"/>
    <w:rsid w:val="0026516E"/>
    <w:rsid w:val="002A0B5B"/>
    <w:rsid w:val="002B2BA0"/>
    <w:rsid w:val="002B568F"/>
    <w:rsid w:val="002B6BBB"/>
    <w:rsid w:val="002E1C02"/>
    <w:rsid w:val="002E5ECE"/>
    <w:rsid w:val="00302F7F"/>
    <w:rsid w:val="003153A8"/>
    <w:rsid w:val="003218A5"/>
    <w:rsid w:val="00321C8A"/>
    <w:rsid w:val="00331DD3"/>
    <w:rsid w:val="00340146"/>
    <w:rsid w:val="00340938"/>
    <w:rsid w:val="00341308"/>
    <w:rsid w:val="0036084B"/>
    <w:rsid w:val="003654E2"/>
    <w:rsid w:val="0037638B"/>
    <w:rsid w:val="00383116"/>
    <w:rsid w:val="00396268"/>
    <w:rsid w:val="003F262A"/>
    <w:rsid w:val="003F523C"/>
    <w:rsid w:val="00410DCD"/>
    <w:rsid w:val="00413BB3"/>
    <w:rsid w:val="0043093F"/>
    <w:rsid w:val="00444345"/>
    <w:rsid w:val="00444813"/>
    <w:rsid w:val="00476FFA"/>
    <w:rsid w:val="0048065E"/>
    <w:rsid w:val="00481B65"/>
    <w:rsid w:val="00493535"/>
    <w:rsid w:val="004A3F56"/>
    <w:rsid w:val="004B15B3"/>
    <w:rsid w:val="004B4129"/>
    <w:rsid w:val="004B5202"/>
    <w:rsid w:val="004C1BB5"/>
    <w:rsid w:val="004D72D7"/>
    <w:rsid w:val="004E1253"/>
    <w:rsid w:val="004E43C8"/>
    <w:rsid w:val="00503A23"/>
    <w:rsid w:val="00507A64"/>
    <w:rsid w:val="005166DF"/>
    <w:rsid w:val="00520B44"/>
    <w:rsid w:val="00523D32"/>
    <w:rsid w:val="0052592E"/>
    <w:rsid w:val="005305B2"/>
    <w:rsid w:val="005402F4"/>
    <w:rsid w:val="005429D3"/>
    <w:rsid w:val="005430A8"/>
    <w:rsid w:val="005435E3"/>
    <w:rsid w:val="00550C42"/>
    <w:rsid w:val="00560D93"/>
    <w:rsid w:val="00567711"/>
    <w:rsid w:val="005724AE"/>
    <w:rsid w:val="00574E5C"/>
    <w:rsid w:val="00576F98"/>
    <w:rsid w:val="00586433"/>
    <w:rsid w:val="00597FDF"/>
    <w:rsid w:val="005A36EF"/>
    <w:rsid w:val="005B531F"/>
    <w:rsid w:val="005B55F1"/>
    <w:rsid w:val="005B7A93"/>
    <w:rsid w:val="005C286B"/>
    <w:rsid w:val="005C69D6"/>
    <w:rsid w:val="005C6A42"/>
    <w:rsid w:val="005D32A6"/>
    <w:rsid w:val="005D543B"/>
    <w:rsid w:val="005E3155"/>
    <w:rsid w:val="005F067F"/>
    <w:rsid w:val="005F0DF7"/>
    <w:rsid w:val="005F19CF"/>
    <w:rsid w:val="0063281F"/>
    <w:rsid w:val="006435FB"/>
    <w:rsid w:val="00644A1D"/>
    <w:rsid w:val="00647FCD"/>
    <w:rsid w:val="006507D7"/>
    <w:rsid w:val="0065516D"/>
    <w:rsid w:val="00672BFB"/>
    <w:rsid w:val="006748BA"/>
    <w:rsid w:val="006818EE"/>
    <w:rsid w:val="00691881"/>
    <w:rsid w:val="00694D65"/>
    <w:rsid w:val="006C3C65"/>
    <w:rsid w:val="006C65C3"/>
    <w:rsid w:val="006D2EF6"/>
    <w:rsid w:val="006D3BDD"/>
    <w:rsid w:val="006E7A82"/>
    <w:rsid w:val="006F08E0"/>
    <w:rsid w:val="006F583B"/>
    <w:rsid w:val="007003F7"/>
    <w:rsid w:val="007068B2"/>
    <w:rsid w:val="007131BA"/>
    <w:rsid w:val="007136EF"/>
    <w:rsid w:val="00717AB4"/>
    <w:rsid w:val="00732020"/>
    <w:rsid w:val="00735083"/>
    <w:rsid w:val="00741C17"/>
    <w:rsid w:val="00746B43"/>
    <w:rsid w:val="0075340A"/>
    <w:rsid w:val="0078079C"/>
    <w:rsid w:val="007A5703"/>
    <w:rsid w:val="007A5AF7"/>
    <w:rsid w:val="007C3EFE"/>
    <w:rsid w:val="007D665B"/>
    <w:rsid w:val="007E42BC"/>
    <w:rsid w:val="00804943"/>
    <w:rsid w:val="00830948"/>
    <w:rsid w:val="00831E74"/>
    <w:rsid w:val="00854467"/>
    <w:rsid w:val="00855513"/>
    <w:rsid w:val="00861292"/>
    <w:rsid w:val="00866130"/>
    <w:rsid w:val="008708A5"/>
    <w:rsid w:val="00883F69"/>
    <w:rsid w:val="00897693"/>
    <w:rsid w:val="008B0A4F"/>
    <w:rsid w:val="008B2DC0"/>
    <w:rsid w:val="008C308D"/>
    <w:rsid w:val="008D26B0"/>
    <w:rsid w:val="008E2EC2"/>
    <w:rsid w:val="008E5235"/>
    <w:rsid w:val="00906686"/>
    <w:rsid w:val="0094760E"/>
    <w:rsid w:val="00962D0D"/>
    <w:rsid w:val="00967CD3"/>
    <w:rsid w:val="0097289B"/>
    <w:rsid w:val="00982096"/>
    <w:rsid w:val="00996EDF"/>
    <w:rsid w:val="009B43AE"/>
    <w:rsid w:val="009C5E2F"/>
    <w:rsid w:val="009D251F"/>
    <w:rsid w:val="00A0110B"/>
    <w:rsid w:val="00A20481"/>
    <w:rsid w:val="00A46634"/>
    <w:rsid w:val="00A50BED"/>
    <w:rsid w:val="00A73BF3"/>
    <w:rsid w:val="00AA2672"/>
    <w:rsid w:val="00AB5BDD"/>
    <w:rsid w:val="00AC3913"/>
    <w:rsid w:val="00AE6CDE"/>
    <w:rsid w:val="00AE7817"/>
    <w:rsid w:val="00AF751A"/>
    <w:rsid w:val="00B01605"/>
    <w:rsid w:val="00B27C7F"/>
    <w:rsid w:val="00B326EA"/>
    <w:rsid w:val="00B35A27"/>
    <w:rsid w:val="00B420E1"/>
    <w:rsid w:val="00B43C83"/>
    <w:rsid w:val="00B50322"/>
    <w:rsid w:val="00B53FFC"/>
    <w:rsid w:val="00B709C2"/>
    <w:rsid w:val="00B71A4E"/>
    <w:rsid w:val="00B85991"/>
    <w:rsid w:val="00B92883"/>
    <w:rsid w:val="00BA1F7C"/>
    <w:rsid w:val="00BA38A8"/>
    <w:rsid w:val="00BA5789"/>
    <w:rsid w:val="00BA6DFC"/>
    <w:rsid w:val="00BA7E48"/>
    <w:rsid w:val="00BB14B7"/>
    <w:rsid w:val="00BB25FF"/>
    <w:rsid w:val="00BB4A9D"/>
    <w:rsid w:val="00BD1DC9"/>
    <w:rsid w:val="00BE1296"/>
    <w:rsid w:val="00BE2F38"/>
    <w:rsid w:val="00C04C43"/>
    <w:rsid w:val="00C17E9B"/>
    <w:rsid w:val="00C20A65"/>
    <w:rsid w:val="00C458ED"/>
    <w:rsid w:val="00C55C44"/>
    <w:rsid w:val="00C5655A"/>
    <w:rsid w:val="00C578EA"/>
    <w:rsid w:val="00C65A47"/>
    <w:rsid w:val="00C7546F"/>
    <w:rsid w:val="00C82732"/>
    <w:rsid w:val="00C91D75"/>
    <w:rsid w:val="00CA122F"/>
    <w:rsid w:val="00CA2C95"/>
    <w:rsid w:val="00CA33D6"/>
    <w:rsid w:val="00CB402A"/>
    <w:rsid w:val="00CB64FC"/>
    <w:rsid w:val="00CF666D"/>
    <w:rsid w:val="00D04D1A"/>
    <w:rsid w:val="00D1529B"/>
    <w:rsid w:val="00D158EE"/>
    <w:rsid w:val="00D22C58"/>
    <w:rsid w:val="00D2728F"/>
    <w:rsid w:val="00D31CE2"/>
    <w:rsid w:val="00D5590E"/>
    <w:rsid w:val="00D57820"/>
    <w:rsid w:val="00DA4B5D"/>
    <w:rsid w:val="00DA7AB5"/>
    <w:rsid w:val="00DB0CCA"/>
    <w:rsid w:val="00DC025B"/>
    <w:rsid w:val="00DC0EF0"/>
    <w:rsid w:val="00DF414E"/>
    <w:rsid w:val="00DF4ECB"/>
    <w:rsid w:val="00E05DEF"/>
    <w:rsid w:val="00E139B0"/>
    <w:rsid w:val="00E15394"/>
    <w:rsid w:val="00E4026C"/>
    <w:rsid w:val="00E536AF"/>
    <w:rsid w:val="00E7282C"/>
    <w:rsid w:val="00E74281"/>
    <w:rsid w:val="00E81539"/>
    <w:rsid w:val="00E949D0"/>
    <w:rsid w:val="00EB19DD"/>
    <w:rsid w:val="00EE0966"/>
    <w:rsid w:val="00EE70B5"/>
    <w:rsid w:val="00F022B8"/>
    <w:rsid w:val="00F203FE"/>
    <w:rsid w:val="00F26D11"/>
    <w:rsid w:val="00F31CAE"/>
    <w:rsid w:val="00F4070C"/>
    <w:rsid w:val="00F63033"/>
    <w:rsid w:val="00FB71B4"/>
    <w:rsid w:val="00FC6D42"/>
    <w:rsid w:val="00FD77AC"/>
    <w:rsid w:val="00FE09A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19C347B-1164-40A8-A5E7-9EC2FED78CA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F583B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59"/>
    <w:rsid w:val="008708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2F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C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E1C02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6F5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exto1">
    <w:name w:val="texto1"/>
    <w:basedOn w:val="Normal"/>
    <w:rsid w:val="00503A23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96222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88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5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1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9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6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5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B311819-678B-4D24-A42F-DBDC129B2C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1139</Words>
  <Characters>6153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2019-09-17T18:51:00Z</cp:lastPrinted>
  <dcterms:created xsi:type="dcterms:W3CDTF">2020-09-15T18:22:00Z</dcterms:created>
  <dcterms:modified xsi:type="dcterms:W3CDTF">2020-09-15T18:22:00Z</dcterms:modified>
</cp:coreProperties>
</file>