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68430759">
            <wp:simplePos x="0" y="0"/>
            <wp:positionH relativeFrom="page">
              <wp:posOffset>1538955</wp:posOffset>
            </wp:positionH>
            <wp:positionV relativeFrom="page">
              <wp:posOffset>988115</wp:posOffset>
            </wp:positionV>
            <wp:extent cx="1267465" cy="1951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267465" cy="195183"/>
                    </a:xfrm>
                    <a:prstGeom prst="rect">
                      <a:avLst/>
                    </a:prstGeom>
                  </pic:spPr>
                </pic:pic>
              </a:graphicData>
            </a:graphic>
          </wp:anchor>
        </w:drawing>
      </w:r>
      <w:r>
        <w:rPr/>
        <w:pict>
          <v:group style="position:absolute;margin-left:327.623993pt;margin-top:80.806107pt;width:142.2pt;height:35.450pt;mso-position-horizontal-relative:page;mso-position-vertical-relative:page;z-index:-4672" coordorigin="6552,1616" coordsize="2844,709">
            <v:shape style="position:absolute;left:6552;top:1616;width:635;height:709" type="#_x0000_t75" stroked="false">
              <v:imagedata r:id="rId8" o:title=""/>
            </v:shape>
            <v:line style="position:absolute" from="7187,2108" to="9396,2108" stroked="true" strokeweight="2.161233pt" strokecolor="#000000">
              <v:stroke dashstyle="solid"/>
            </v:line>
            <w10:wrap type="none"/>
          </v:group>
        </w:pict>
      </w:r>
    </w:p>
    <w:p>
      <w:pPr>
        <w:pStyle w:val="BodyText"/>
        <w:rPr>
          <w:sz w:val="20"/>
        </w:rPr>
      </w:pPr>
    </w:p>
    <w:p>
      <w:pPr>
        <w:pStyle w:val="BodyText"/>
        <w:spacing w:before="9"/>
        <w:rPr>
          <w:sz w:val="26"/>
        </w:rPr>
      </w:pPr>
    </w:p>
    <w:p>
      <w:pPr>
        <w:pStyle w:val="Heading2"/>
        <w:spacing w:line="242" w:lineRule="auto" w:before="94"/>
        <w:ind w:left="2942" w:right="3943"/>
      </w:pPr>
      <w:r>
        <w:rPr>
          <w:color w:val="4F4F4F"/>
        </w:rPr>
        <w:t>STATEMENT OF COOPERATION BETWEEN</w:t>
      </w:r>
    </w:p>
    <w:p>
      <w:pPr>
        <w:spacing w:line="213" w:lineRule="exact" w:before="6"/>
        <w:ind w:left="791" w:right="0" w:firstLine="0"/>
        <w:jc w:val="left"/>
        <w:rPr>
          <w:rFonts w:ascii="Arial"/>
          <w:b/>
          <w:sz w:val="19"/>
        </w:rPr>
      </w:pPr>
      <w:r>
        <w:rPr>
          <w:rFonts w:ascii="Arial"/>
          <w:b/>
          <w:color w:val="4F4F4F"/>
          <w:sz w:val="19"/>
        </w:rPr>
        <w:t>NATIONAL COUNCIL OF ARCHITECTURAL REGISTRATION BOARDS (NCARB)</w:t>
      </w:r>
    </w:p>
    <w:p>
      <w:pPr>
        <w:spacing w:line="242" w:lineRule="exact" w:before="0"/>
        <w:ind w:left="2942" w:right="3922" w:firstLine="0"/>
        <w:jc w:val="center"/>
        <w:rPr>
          <w:rFonts w:ascii="Courier New"/>
          <w:b/>
          <w:sz w:val="23"/>
        </w:rPr>
      </w:pPr>
      <w:r>
        <w:rPr>
          <w:rFonts w:ascii="Courier New"/>
          <w:b/>
          <w:color w:val="4F4F4F"/>
          <w:sz w:val="23"/>
        </w:rPr>
        <w:t>ANO</w:t>
      </w:r>
    </w:p>
    <w:p>
      <w:pPr>
        <w:pStyle w:val="Heading2"/>
        <w:spacing w:line="205" w:lineRule="exact"/>
        <w:ind w:left="1292" w:right="2289"/>
      </w:pPr>
      <w:r>
        <w:rPr>
          <w:color w:val="4F4F4F"/>
        </w:rPr>
        <w:t>CONSELHO DE ARQUITETURA E URBANISMO DO BRASIL (CAU/BR)</w:t>
      </w:r>
    </w:p>
    <w:p>
      <w:pPr>
        <w:pStyle w:val="BodyText"/>
        <w:rPr>
          <w:rFonts w:ascii="Arial"/>
          <w:b/>
          <w:sz w:val="20"/>
        </w:rPr>
      </w:pPr>
    </w:p>
    <w:p>
      <w:pPr>
        <w:pStyle w:val="BodyText"/>
        <w:spacing w:before="9"/>
        <w:rPr>
          <w:rFonts w:ascii="Arial"/>
          <w:b/>
          <w:sz w:val="20"/>
        </w:rPr>
      </w:pPr>
    </w:p>
    <w:p>
      <w:pPr>
        <w:spacing w:before="0"/>
        <w:ind w:left="690" w:right="0" w:firstLine="0"/>
        <w:jc w:val="left"/>
        <w:rPr>
          <w:b/>
          <w:sz w:val="20"/>
        </w:rPr>
      </w:pPr>
      <w:r>
        <w:rPr>
          <w:b/>
          <w:color w:val="4F4F4F"/>
          <w:sz w:val="20"/>
        </w:rPr>
        <w:t>Parties</w:t>
      </w:r>
    </w:p>
    <w:p>
      <w:pPr>
        <w:pStyle w:val="BodyText"/>
        <w:spacing w:before="4"/>
        <w:rPr>
          <w:b/>
          <w:sz w:val="21"/>
        </w:rPr>
      </w:pPr>
    </w:p>
    <w:p>
      <w:pPr>
        <w:pStyle w:val="BodyText"/>
        <w:spacing w:line="259" w:lineRule="auto"/>
        <w:ind w:left="690" w:right="1886" w:hanging="8"/>
      </w:pPr>
      <w:r>
        <w:rPr>
          <w:b/>
          <w:color w:val="4F4F4F"/>
          <w:w w:val="105"/>
          <w:sz w:val="20"/>
        </w:rPr>
        <w:t>The National Council of Architectural Registration Boards (NCARB) </w:t>
      </w:r>
      <w:r>
        <w:rPr>
          <w:color w:val="4F4F4F"/>
          <w:w w:val="105"/>
        </w:rPr>
        <w:t>has as its mission to "protect the public health, safety, and welfare by leading the regulation of the practice of architecture through the development and application of standards for licensure and credentialing of architects"</w:t>
      </w:r>
      <w:r>
        <w:rPr>
          <w:color w:val="333333"/>
          <w:w w:val="105"/>
        </w:rPr>
        <w:t>. </w:t>
      </w:r>
      <w:r>
        <w:rPr>
          <w:color w:val="4F4F4F"/>
          <w:w w:val="105"/>
        </w:rPr>
        <w:t>lt represents the architectural licensing boards of the 50 states, the D</w:t>
      </w:r>
      <w:r>
        <w:rPr>
          <w:color w:val="333333"/>
          <w:w w:val="105"/>
        </w:rPr>
        <w:t>i</w:t>
      </w:r>
      <w:r>
        <w:rPr>
          <w:color w:val="4F4F4F"/>
          <w:w w:val="105"/>
        </w:rPr>
        <w:t>strict of Columbia, Guam, Puerto Rico, and the U.S. Virgin Islands.</w:t>
      </w:r>
    </w:p>
    <w:p>
      <w:pPr>
        <w:pStyle w:val="BodyText"/>
        <w:spacing w:before="4"/>
        <w:rPr>
          <w:sz w:val="20"/>
        </w:rPr>
      </w:pPr>
    </w:p>
    <w:p>
      <w:pPr>
        <w:pStyle w:val="BodyText"/>
        <w:spacing w:line="261" w:lineRule="auto"/>
        <w:ind w:left="689" w:right="1886"/>
      </w:pPr>
      <w:r>
        <w:rPr>
          <w:color w:val="4F4F4F"/>
          <w:w w:val="105"/>
        </w:rPr>
        <w:t>The </w:t>
      </w:r>
      <w:r>
        <w:rPr>
          <w:b/>
          <w:color w:val="4F4F4F"/>
          <w:w w:val="105"/>
          <w:sz w:val="20"/>
        </w:rPr>
        <w:t>Conselho de Arquitetura e Urbanismo do Brasil (CAU/BR), </w:t>
      </w:r>
      <w:r>
        <w:rPr>
          <w:color w:val="4F4F4F"/>
          <w:w w:val="105"/>
        </w:rPr>
        <w:t>(The Council of Architecture and </w:t>
      </w:r>
      <w:r>
        <w:rPr>
          <w:color w:val="666666"/>
          <w:w w:val="105"/>
        </w:rPr>
        <w:t>Urbanism </w:t>
      </w:r>
      <w:r>
        <w:rPr>
          <w:color w:val="4F4F4F"/>
          <w:w w:val="105"/>
        </w:rPr>
        <w:t>in Brazil) was created in 2010 to regulate the practice </w:t>
      </w:r>
      <w:r>
        <w:rPr>
          <w:color w:val="666666"/>
          <w:w w:val="105"/>
        </w:rPr>
        <w:t>of </w:t>
      </w:r>
      <w:r>
        <w:rPr>
          <w:color w:val="4F4F4F"/>
          <w:w w:val="105"/>
        </w:rPr>
        <w:t>architecture and Urbanism in the country. CAU/BR's purpose is to "orient, discipline and supervise the praccice of the profession of architecture and urbanism, ensure </w:t>
      </w:r>
      <w:r>
        <w:rPr>
          <w:color w:val="666666"/>
          <w:w w:val="105"/>
        </w:rPr>
        <w:t>the </w:t>
      </w:r>
      <w:r>
        <w:rPr>
          <w:color w:val="4F4F4F"/>
          <w:w w:val="105"/>
        </w:rPr>
        <w:t>faithful observance of the principles of ethics and discipline in the class throughout the country, as well as strive for improving the practice of ardútecture and urbanism ".</w:t>
      </w:r>
    </w:p>
    <w:p>
      <w:pPr>
        <w:pStyle w:val="BodyText"/>
        <w:spacing w:before="7"/>
      </w:pPr>
    </w:p>
    <w:p>
      <w:pPr>
        <w:pStyle w:val="BodyText"/>
        <w:spacing w:line="259" w:lineRule="auto"/>
        <w:ind w:left="698" w:right="1771" w:hanging="10"/>
        <w:jc w:val="both"/>
      </w:pPr>
      <w:r>
        <w:rPr>
          <w:b/>
          <w:color w:val="4F4F4F"/>
          <w:w w:val="105"/>
          <w:sz w:val="20"/>
        </w:rPr>
        <w:t>WHEREAS, </w:t>
      </w:r>
      <w:r>
        <w:rPr>
          <w:color w:val="4F4F4F"/>
          <w:w w:val="105"/>
        </w:rPr>
        <w:t>both parties are empowered </w:t>
      </w:r>
      <w:r>
        <w:rPr>
          <w:color w:val="666666"/>
          <w:w w:val="105"/>
        </w:rPr>
        <w:t>to </w:t>
      </w:r>
      <w:r>
        <w:rPr>
          <w:color w:val="4F4F4F"/>
          <w:w w:val="105"/>
        </w:rPr>
        <w:t>facilitate the regulation of the profession of architecture in their respeccive countries and share the goal of licensing architects to offer professional services within their jurisdictions under circumstances that secure and protect the health, safety and welfare of the public;</w:t>
      </w:r>
    </w:p>
    <w:p>
      <w:pPr>
        <w:pStyle w:val="BodyText"/>
        <w:spacing w:before="5"/>
        <w:rPr>
          <w:sz w:val="20"/>
        </w:rPr>
      </w:pPr>
    </w:p>
    <w:p>
      <w:pPr>
        <w:pStyle w:val="BodyText"/>
        <w:spacing w:line="259" w:lineRule="auto"/>
        <w:ind w:left="689" w:right="1886" w:firstLine="3"/>
      </w:pPr>
      <w:r>
        <w:rPr>
          <w:b/>
          <w:color w:val="4F4F4F"/>
          <w:w w:val="105"/>
          <w:sz w:val="20"/>
        </w:rPr>
        <w:t>WHEREAS, </w:t>
      </w:r>
      <w:r>
        <w:rPr>
          <w:color w:val="4F4F4F"/>
          <w:w w:val="105"/>
        </w:rPr>
        <w:t>both parties are interested in promoting mutual cooperation in order to improve the regulation of architectural practice in both countries;</w:t>
      </w:r>
    </w:p>
    <w:p>
      <w:pPr>
        <w:pStyle w:val="BodyText"/>
        <w:spacing w:before="6"/>
        <w:rPr>
          <w:sz w:val="20"/>
        </w:rPr>
      </w:pPr>
    </w:p>
    <w:p>
      <w:pPr>
        <w:pStyle w:val="BodyText"/>
        <w:spacing w:line="259" w:lineRule="auto"/>
        <w:ind w:left="694" w:right="1886" w:hanging="1"/>
      </w:pPr>
      <w:r>
        <w:rPr>
          <w:b/>
          <w:color w:val="4F4F4F"/>
          <w:w w:val="105"/>
          <w:sz w:val="20"/>
        </w:rPr>
        <w:t>WHEREAS, </w:t>
      </w:r>
      <w:r>
        <w:rPr>
          <w:color w:val="4F4F4F"/>
          <w:w w:val="105"/>
        </w:rPr>
        <w:t>both parcies recognize that differences among the standards and processes for licensing/ registering architects in the USA and Brazil must be acknowledged and respected;</w:t>
      </w:r>
    </w:p>
    <w:p>
      <w:pPr>
        <w:pStyle w:val="BodyText"/>
        <w:rPr>
          <w:sz w:val="20"/>
        </w:rPr>
      </w:pPr>
    </w:p>
    <w:p>
      <w:pPr>
        <w:pStyle w:val="BodyText"/>
        <w:spacing w:line="259" w:lineRule="auto" w:before="1"/>
        <w:ind w:left="695" w:right="1806" w:firstLine="2"/>
      </w:pPr>
      <w:r>
        <w:rPr>
          <w:b/>
          <w:color w:val="4F4F4F"/>
          <w:w w:val="105"/>
          <w:sz w:val="20"/>
        </w:rPr>
        <w:t>WHEREAS, </w:t>
      </w:r>
      <w:r>
        <w:rPr>
          <w:color w:val="4F4F4F"/>
          <w:w w:val="105"/>
        </w:rPr>
        <w:t>NC.r\RB has a long history of developing standards for architectural education, </w:t>
      </w:r>
      <w:r>
        <w:rPr>
          <w:color w:val="666666"/>
          <w:w w:val="105"/>
        </w:rPr>
        <w:t>experience, </w:t>
      </w:r>
      <w:r>
        <w:rPr>
          <w:color w:val="4F4F4F"/>
          <w:w w:val="105"/>
        </w:rPr>
        <w:t>and </w:t>
      </w:r>
      <w:r>
        <w:rPr>
          <w:color w:val="666666"/>
          <w:w w:val="105"/>
        </w:rPr>
        <w:t>exarnination </w:t>
      </w:r>
      <w:r>
        <w:rPr>
          <w:color w:val="4F4F4F"/>
          <w:w w:val="105"/>
        </w:rPr>
        <w:t>for inicial licensure as well as continuing </w:t>
      </w:r>
      <w:r>
        <w:rPr>
          <w:color w:val="666666"/>
          <w:w w:val="105"/>
        </w:rPr>
        <w:t>education </w:t>
      </w:r>
      <w:r>
        <w:rPr>
          <w:color w:val="4F4F4F"/>
          <w:w w:val="105"/>
        </w:rPr>
        <w:t>standards for license renewal, while on the counterpart, CAU/BR has already created an effective nacional system of monitoring various aspects of architectural professional practice in the</w:t>
      </w:r>
      <w:r>
        <w:rPr>
          <w:color w:val="4F4F4F"/>
          <w:spacing w:val="14"/>
          <w:w w:val="105"/>
        </w:rPr>
        <w:t> </w:t>
      </w:r>
      <w:r>
        <w:rPr>
          <w:color w:val="4F4F4F"/>
          <w:w w:val="105"/>
        </w:rPr>
        <w:t>country;</w:t>
      </w:r>
    </w:p>
    <w:p>
      <w:pPr>
        <w:pStyle w:val="BodyText"/>
        <w:spacing w:before="2"/>
        <w:rPr>
          <w:sz w:val="21"/>
        </w:rPr>
      </w:pPr>
    </w:p>
    <w:p>
      <w:pPr>
        <w:pStyle w:val="BodyText"/>
        <w:spacing w:line="256" w:lineRule="auto"/>
        <w:ind w:left="704" w:right="1886" w:hanging="7"/>
      </w:pPr>
      <w:r>
        <w:rPr>
          <w:b/>
          <w:color w:val="4F4F4F"/>
          <w:w w:val="105"/>
          <w:sz w:val="20"/>
        </w:rPr>
        <w:t>THEREFORE, </w:t>
      </w:r>
      <w:r>
        <w:rPr>
          <w:color w:val="4F4F4F"/>
          <w:w w:val="105"/>
        </w:rPr>
        <w:t>both parties agree to cooperate in the field of professional </w:t>
      </w:r>
      <w:r>
        <w:rPr>
          <w:color w:val="666666"/>
          <w:w w:val="105"/>
        </w:rPr>
        <w:t>standards to </w:t>
      </w:r>
      <w:r>
        <w:rPr>
          <w:color w:val="4F4F4F"/>
          <w:w w:val="105"/>
        </w:rPr>
        <w:t>support registration, regulation, public protection, and other related areas of mutual interest. And agree</w:t>
      </w:r>
      <w:r>
        <w:rPr>
          <w:color w:val="4F4F4F"/>
          <w:spacing w:val="-11"/>
          <w:w w:val="105"/>
        </w:rPr>
        <w:t> </w:t>
      </w:r>
      <w:r>
        <w:rPr>
          <w:color w:val="4F4F4F"/>
          <w:w w:val="105"/>
        </w:rPr>
        <w:t>to:</w:t>
      </w:r>
    </w:p>
    <w:p>
      <w:pPr>
        <w:pStyle w:val="BodyText"/>
        <w:spacing w:before="4"/>
        <w:rPr>
          <w:sz w:val="24"/>
        </w:rPr>
      </w:pPr>
    </w:p>
    <w:p>
      <w:pPr>
        <w:pStyle w:val="ListParagraph"/>
        <w:numPr>
          <w:ilvl w:val="0"/>
          <w:numId w:val="1"/>
        </w:numPr>
        <w:tabs>
          <w:tab w:pos="1344" w:val="left" w:leader="none"/>
          <w:tab w:pos="1345" w:val="left" w:leader="none"/>
        </w:tabs>
        <w:spacing w:line="254" w:lineRule="auto" w:before="0" w:after="0"/>
        <w:ind w:left="1346" w:right="1820" w:hanging="316"/>
        <w:jc w:val="left"/>
        <w:rPr>
          <w:color w:val="4F4F4F"/>
          <w:sz w:val="19"/>
        </w:rPr>
      </w:pPr>
      <w:r>
        <w:rPr/>
        <w:drawing>
          <wp:anchor distT="0" distB="0" distL="0" distR="0" allowOverlap="1" layoutInCell="1" locked="0" behindDoc="0" simplePos="0" relativeHeight="1072">
            <wp:simplePos x="0" y="0"/>
            <wp:positionH relativeFrom="page">
              <wp:posOffset>6076512</wp:posOffset>
            </wp:positionH>
            <wp:positionV relativeFrom="paragraph">
              <wp:posOffset>559425</wp:posOffset>
            </wp:positionV>
            <wp:extent cx="1073761" cy="1206172"/>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9" cstate="print"/>
                    <a:stretch>
                      <a:fillRect/>
                    </a:stretch>
                  </pic:blipFill>
                  <pic:spPr>
                    <a:xfrm>
                      <a:off x="0" y="0"/>
                      <a:ext cx="1073761" cy="1206172"/>
                    </a:xfrm>
                    <a:prstGeom prst="rect">
                      <a:avLst/>
                    </a:prstGeom>
                  </pic:spPr>
                </pic:pic>
              </a:graphicData>
            </a:graphic>
          </wp:anchor>
        </w:drawing>
      </w:r>
      <w:r>
        <w:rPr>
          <w:color w:val="4F4F4F"/>
          <w:sz w:val="19"/>
        </w:rPr>
        <w:t>Exchange information on procedures, standards, and best practices concerning architectural regulation, parcicularly regarding NCARBs' programs such  as  the</w:t>
      </w:r>
      <w:r>
        <w:rPr>
          <w:color w:val="666666"/>
          <w:sz w:val="19"/>
        </w:rPr>
        <w:t> </w:t>
      </w:r>
      <w:r>
        <w:rPr>
          <w:i/>
          <w:color w:val="666666"/>
          <w:w w:val="90"/>
          <w:sz w:val="20"/>
        </w:rPr>
        <w:t>NCARB </w:t>
      </w:r>
      <w:r>
        <w:rPr>
          <w:i/>
          <w:color w:val="4F4F4F"/>
          <w:w w:val="90"/>
          <w:sz w:val="20"/>
        </w:rPr>
        <w:t>Ed1,catio11 Standard, </w:t>
      </w:r>
      <w:r>
        <w:rPr>
          <w:color w:val="4F4F4F"/>
          <w:w w:val="90"/>
          <w:sz w:val="20"/>
        </w:rPr>
        <w:t>, </w:t>
      </w:r>
      <w:r>
        <w:rPr>
          <w:color w:val="4F4F4F"/>
          <w:w w:val="90"/>
          <w:sz w:val="19"/>
        </w:rPr>
        <w:t>the </w:t>
      </w:r>
      <w:r>
        <w:rPr>
          <w:i/>
          <w:color w:val="4F4F4F"/>
          <w:w w:val="90"/>
          <w:sz w:val="20"/>
        </w:rPr>
        <w:t>Intern Development Program, </w:t>
      </w:r>
      <w:r>
        <w:rPr>
          <w:color w:val="4F4F4F"/>
          <w:w w:val="90"/>
          <w:sz w:val="19"/>
        </w:rPr>
        <w:t>the </w:t>
      </w:r>
      <w:r>
        <w:rPr>
          <w:i/>
          <w:color w:val="666666"/>
          <w:w w:val="90"/>
          <w:sz w:val="20"/>
        </w:rPr>
        <w:t>Architect </w:t>
      </w:r>
      <w:r>
        <w:rPr>
          <w:i/>
          <w:color w:val="4F4F4F"/>
          <w:w w:val="90"/>
          <w:sz w:val="20"/>
        </w:rPr>
        <w:t>Registration</w:t>
      </w:r>
      <w:r>
        <w:rPr>
          <w:i/>
          <w:color w:val="666666"/>
          <w:w w:val="90"/>
          <w:sz w:val="20"/>
        </w:rPr>
        <w:t> </w:t>
      </w:r>
      <w:r>
        <w:rPr>
          <w:i/>
          <w:color w:val="666666"/>
          <w:sz w:val="20"/>
        </w:rPr>
        <w:t>Exami11atio11\</w:t>
      </w:r>
      <w:r>
        <w:rPr>
          <w:i/>
          <w:color w:val="666666"/>
          <w:spacing w:val="-15"/>
          <w:sz w:val="20"/>
        </w:rPr>
        <w:t> </w:t>
      </w:r>
      <w:r>
        <w:rPr>
          <w:color w:val="4F4F4F"/>
          <w:sz w:val="19"/>
        </w:rPr>
        <w:t>Continuing</w:t>
      </w:r>
      <w:r>
        <w:rPr>
          <w:color w:val="4F4F4F"/>
          <w:spacing w:val="-14"/>
          <w:sz w:val="19"/>
        </w:rPr>
        <w:t> </w:t>
      </w:r>
      <w:r>
        <w:rPr>
          <w:color w:val="666666"/>
          <w:sz w:val="19"/>
        </w:rPr>
        <w:t>Education,</w:t>
      </w:r>
      <w:r>
        <w:rPr>
          <w:color w:val="666666"/>
          <w:spacing w:val="-10"/>
          <w:sz w:val="19"/>
        </w:rPr>
        <w:t> </w:t>
      </w:r>
      <w:r>
        <w:rPr>
          <w:i/>
          <w:color w:val="4F4F4F"/>
          <w:sz w:val="20"/>
        </w:rPr>
        <w:t>Mode/</w:t>
      </w:r>
      <w:r>
        <w:rPr>
          <w:i/>
          <w:color w:val="4F4F4F"/>
          <w:spacing w:val="-12"/>
          <w:sz w:val="20"/>
        </w:rPr>
        <w:t> </w:t>
      </w:r>
      <w:r>
        <w:rPr>
          <w:i/>
          <w:color w:val="4F4F4F"/>
          <w:sz w:val="21"/>
        </w:rPr>
        <w:t>Law,</w:t>
      </w:r>
      <w:r>
        <w:rPr>
          <w:i/>
          <w:color w:val="4F4F4F"/>
          <w:spacing w:val="-28"/>
          <w:sz w:val="21"/>
        </w:rPr>
        <w:t> </w:t>
      </w:r>
      <w:r>
        <w:rPr>
          <w:color w:val="4F4F4F"/>
          <w:sz w:val="19"/>
        </w:rPr>
        <w:t>and</w:t>
      </w:r>
      <w:r>
        <w:rPr>
          <w:color w:val="4F4F4F"/>
          <w:spacing w:val="-4"/>
          <w:sz w:val="19"/>
        </w:rPr>
        <w:t> </w:t>
      </w:r>
      <w:r>
        <w:rPr>
          <w:i/>
          <w:color w:val="4F4F4F"/>
          <w:sz w:val="20"/>
        </w:rPr>
        <w:t>Rufes</w:t>
      </w:r>
      <w:r>
        <w:rPr>
          <w:i/>
          <w:color w:val="4F4F4F"/>
          <w:spacing w:val="-21"/>
          <w:sz w:val="20"/>
        </w:rPr>
        <w:t> </w:t>
      </w:r>
      <w:r>
        <w:rPr>
          <w:i/>
          <w:color w:val="4F4F4F"/>
          <w:sz w:val="21"/>
        </w:rPr>
        <w:t>of</w:t>
      </w:r>
      <w:r>
        <w:rPr>
          <w:i/>
          <w:color w:val="4F4F4F"/>
          <w:spacing w:val="-27"/>
          <w:sz w:val="21"/>
        </w:rPr>
        <w:t> </w:t>
      </w:r>
      <w:r>
        <w:rPr>
          <w:i/>
          <w:color w:val="4F4F4F"/>
          <w:sz w:val="20"/>
        </w:rPr>
        <w:t>Cond11ct</w:t>
      </w:r>
      <w:r>
        <w:rPr>
          <w:i/>
          <w:color w:val="4F4F4F"/>
          <w:spacing w:val="-13"/>
          <w:sz w:val="20"/>
        </w:rPr>
        <w:t> </w:t>
      </w:r>
      <w:r>
        <w:rPr>
          <w:color w:val="4F4F4F"/>
          <w:sz w:val="19"/>
        </w:rPr>
        <w:t>and</w:t>
      </w:r>
      <w:r>
        <w:rPr>
          <w:color w:val="4F4F4F"/>
          <w:spacing w:val="-6"/>
          <w:sz w:val="19"/>
        </w:rPr>
        <w:t> </w:t>
      </w:r>
      <w:r>
        <w:rPr>
          <w:color w:val="4F4F4F"/>
          <w:sz w:val="19"/>
        </w:rPr>
        <w:t>the</w:t>
      </w:r>
    </w:p>
    <w:p>
      <w:pPr>
        <w:spacing w:after="0" w:line="254" w:lineRule="auto"/>
        <w:jc w:val="left"/>
        <w:rPr>
          <w:sz w:val="19"/>
        </w:rPr>
        <w:sectPr>
          <w:headerReference w:type="default" r:id="rId5"/>
          <w:footerReference w:type="default" r:id="rId6"/>
          <w:type w:val="continuous"/>
          <w:pgSz w:w="11910" w:h="16840"/>
          <w:pgMar w:header="1612" w:footer="0" w:top="2300" w:bottom="40" w:left="1500" w:right="540"/>
        </w:sectPr>
      </w:pPr>
    </w:p>
    <w:p>
      <w:pPr>
        <w:pStyle w:val="BodyText"/>
        <w:rPr>
          <w:sz w:val="20"/>
        </w:rPr>
      </w:pPr>
    </w:p>
    <w:p>
      <w:pPr>
        <w:pStyle w:val="BodyText"/>
        <w:spacing w:before="10"/>
        <w:rPr>
          <w:sz w:val="24"/>
        </w:rPr>
      </w:pPr>
    </w:p>
    <w:p>
      <w:pPr>
        <w:spacing w:line="252" w:lineRule="auto" w:before="93"/>
        <w:ind w:left="1294" w:right="1805" w:firstLine="4"/>
        <w:jc w:val="both"/>
        <w:rPr>
          <w:sz w:val="19"/>
        </w:rPr>
      </w:pPr>
      <w:r>
        <w:rPr>
          <w:color w:val="4D4D4D"/>
          <w:sz w:val="19"/>
        </w:rPr>
        <w:t>CAU/BR's system of  monitoring  architectural  professional  practice  in  Brazil,  such </w:t>
      </w:r>
      <w:r>
        <w:rPr>
          <w:color w:val="4D4D4D"/>
          <w:w w:val="90"/>
          <w:sz w:val="19"/>
        </w:rPr>
        <w:t>as</w:t>
      </w:r>
      <w:r>
        <w:rPr>
          <w:color w:val="4D4D4D"/>
          <w:spacing w:val="1"/>
          <w:w w:val="90"/>
          <w:sz w:val="19"/>
        </w:rPr>
        <w:t> </w:t>
      </w:r>
      <w:r>
        <w:rPr>
          <w:i/>
          <w:color w:val="5D5D5D"/>
          <w:w w:val="90"/>
          <w:sz w:val="20"/>
        </w:rPr>
        <w:t>CA</w:t>
      </w:r>
      <w:r>
        <w:rPr>
          <w:i/>
          <w:color w:val="5D5D5D"/>
          <w:spacing w:val="-27"/>
          <w:w w:val="90"/>
          <w:sz w:val="20"/>
        </w:rPr>
        <w:t> </w:t>
      </w:r>
      <w:r>
        <w:rPr>
          <w:i/>
          <w:color w:val="5D5D5D"/>
          <w:w w:val="90"/>
          <w:sz w:val="20"/>
        </w:rPr>
        <w:t>U</w:t>
      </w:r>
      <w:r>
        <w:rPr>
          <w:i/>
          <w:color w:val="5D5D5D"/>
          <w:spacing w:val="-16"/>
          <w:w w:val="90"/>
          <w:sz w:val="20"/>
        </w:rPr>
        <w:t> </w:t>
      </w:r>
      <w:r>
        <w:rPr>
          <w:i/>
          <w:color w:val="4D4D4D"/>
          <w:w w:val="90"/>
          <w:sz w:val="20"/>
        </w:rPr>
        <w:t>'s</w:t>
      </w:r>
      <w:r>
        <w:rPr>
          <w:i/>
          <w:color w:val="4D4D4D"/>
          <w:spacing w:val="-7"/>
          <w:w w:val="90"/>
          <w:sz w:val="20"/>
        </w:rPr>
        <w:t> </w:t>
      </w:r>
      <w:r>
        <w:rPr>
          <w:i/>
          <w:color w:val="4D4D4D"/>
          <w:w w:val="90"/>
          <w:sz w:val="20"/>
        </w:rPr>
        <w:t>SysteJJJ</w:t>
      </w:r>
      <w:r>
        <w:rPr>
          <w:i/>
          <w:color w:val="4D4D4D"/>
          <w:spacing w:val="15"/>
          <w:w w:val="90"/>
          <w:sz w:val="20"/>
        </w:rPr>
        <w:t> </w:t>
      </w:r>
      <w:r>
        <w:rPr>
          <w:i/>
          <w:color w:val="4D4D4D"/>
          <w:w w:val="90"/>
          <w:sz w:val="20"/>
        </w:rPr>
        <w:t>of</w:t>
      </w:r>
      <w:r>
        <w:rPr>
          <w:i/>
          <w:color w:val="4D4D4D"/>
          <w:spacing w:val="-19"/>
          <w:w w:val="90"/>
          <w:sz w:val="20"/>
        </w:rPr>
        <w:t> </w:t>
      </w:r>
      <w:r>
        <w:rPr>
          <w:i/>
          <w:color w:val="5D5D5D"/>
          <w:w w:val="90"/>
          <w:sz w:val="20"/>
        </w:rPr>
        <w:t>lnfor111atio11</w:t>
      </w:r>
      <w:r>
        <w:rPr>
          <w:i/>
          <w:color w:val="5D5D5D"/>
          <w:spacing w:val="-10"/>
          <w:w w:val="90"/>
          <w:sz w:val="20"/>
        </w:rPr>
        <w:t> </w:t>
      </w:r>
      <w:r>
        <w:rPr>
          <w:i/>
          <w:color w:val="4D4D4D"/>
          <w:w w:val="90"/>
          <w:sz w:val="20"/>
        </w:rPr>
        <w:t>a11d</w:t>
      </w:r>
      <w:r>
        <w:rPr>
          <w:i/>
          <w:color w:val="4D4D4D"/>
          <w:spacing w:val="-6"/>
          <w:w w:val="90"/>
          <w:sz w:val="20"/>
        </w:rPr>
        <w:t> </w:t>
      </w:r>
      <w:r>
        <w:rPr>
          <w:i/>
          <w:color w:val="5D5D5D"/>
          <w:w w:val="90"/>
          <w:sz w:val="20"/>
        </w:rPr>
        <w:t>Comnnmication</w:t>
      </w:r>
      <w:r>
        <w:rPr>
          <w:i/>
          <w:color w:val="5D5D5D"/>
          <w:spacing w:val="14"/>
          <w:w w:val="90"/>
          <w:sz w:val="20"/>
        </w:rPr>
        <w:t> </w:t>
      </w:r>
      <w:r>
        <w:rPr>
          <w:color w:val="4D4D4D"/>
          <w:w w:val="90"/>
          <w:sz w:val="19"/>
        </w:rPr>
        <w:t>(SICCA</w:t>
      </w:r>
      <w:r>
        <w:rPr>
          <w:color w:val="4D4D4D"/>
          <w:spacing w:val="-21"/>
          <w:w w:val="90"/>
          <w:sz w:val="19"/>
        </w:rPr>
        <w:t> </w:t>
      </w:r>
      <w:r>
        <w:rPr>
          <w:color w:val="5D5D5D"/>
          <w:w w:val="90"/>
          <w:sz w:val="19"/>
        </w:rPr>
        <w:t>U),</w:t>
      </w:r>
      <w:r>
        <w:rPr>
          <w:color w:val="5D5D5D"/>
          <w:spacing w:val="-3"/>
          <w:w w:val="90"/>
          <w:sz w:val="19"/>
        </w:rPr>
        <w:t> </w:t>
      </w:r>
      <w:r>
        <w:rPr>
          <w:color w:val="4D4D4D"/>
          <w:w w:val="90"/>
          <w:sz w:val="19"/>
        </w:rPr>
        <w:t>including</w:t>
      </w:r>
      <w:r>
        <w:rPr>
          <w:color w:val="4D4D4D"/>
          <w:spacing w:val="5"/>
          <w:w w:val="90"/>
          <w:sz w:val="19"/>
        </w:rPr>
        <w:t> </w:t>
      </w:r>
      <w:r>
        <w:rPr>
          <w:color w:val="4D4D4D"/>
          <w:w w:val="90"/>
          <w:sz w:val="19"/>
        </w:rPr>
        <w:t>demographic </w:t>
      </w:r>
      <w:r>
        <w:rPr>
          <w:color w:val="4D4D4D"/>
          <w:sz w:val="19"/>
        </w:rPr>
        <w:t>data, documents, papers and</w:t>
      </w:r>
      <w:r>
        <w:rPr>
          <w:color w:val="4D4D4D"/>
          <w:spacing w:val="11"/>
          <w:sz w:val="19"/>
        </w:rPr>
        <w:t> </w:t>
      </w:r>
      <w:r>
        <w:rPr>
          <w:color w:val="4D4D4D"/>
          <w:sz w:val="19"/>
        </w:rPr>
        <w:t>surveys;</w:t>
      </w:r>
    </w:p>
    <w:p>
      <w:pPr>
        <w:pStyle w:val="ListParagraph"/>
        <w:numPr>
          <w:ilvl w:val="0"/>
          <w:numId w:val="1"/>
        </w:numPr>
        <w:tabs>
          <w:tab w:pos="1302" w:val="left" w:leader="none"/>
          <w:tab w:pos="1303" w:val="left" w:leader="none"/>
        </w:tabs>
        <w:spacing w:line="254" w:lineRule="auto" w:before="49" w:after="0"/>
        <w:ind w:left="1298" w:right="1841" w:hanging="321"/>
        <w:jc w:val="left"/>
        <w:rPr>
          <w:color w:val="5D5D5D"/>
          <w:sz w:val="19"/>
        </w:rPr>
      </w:pPr>
      <w:r>
        <w:rPr>
          <w:color w:val="4D4D4D"/>
          <w:w w:val="105"/>
          <w:sz w:val="19"/>
        </w:rPr>
        <w:t>Facilita te the representa tives of both countries to observe each </w:t>
      </w:r>
      <w:r>
        <w:rPr>
          <w:color w:val="5D5D5D"/>
          <w:w w:val="105"/>
          <w:sz w:val="19"/>
        </w:rPr>
        <w:t>other's </w:t>
      </w:r>
      <w:r>
        <w:rPr>
          <w:color w:val="4D4D4D"/>
          <w:w w:val="105"/>
          <w:sz w:val="19"/>
        </w:rPr>
        <w:t>activities </w:t>
      </w:r>
      <w:r>
        <w:rPr>
          <w:color w:val="5D5D5D"/>
          <w:w w:val="105"/>
          <w:sz w:val="19"/>
        </w:rPr>
        <w:t>in</w:t>
      </w:r>
      <w:r>
        <w:rPr>
          <w:color w:val="4D4D4D"/>
          <w:w w:val="105"/>
          <w:sz w:val="19"/>
        </w:rPr>
        <w:t> order to learn from both</w:t>
      </w:r>
      <w:r>
        <w:rPr>
          <w:color w:val="4D4D4D"/>
          <w:spacing w:val="22"/>
          <w:w w:val="105"/>
          <w:sz w:val="19"/>
        </w:rPr>
        <w:t> </w:t>
      </w:r>
      <w:r>
        <w:rPr>
          <w:color w:val="5D5D5D"/>
          <w:w w:val="105"/>
          <w:sz w:val="19"/>
        </w:rPr>
        <w:t>experiences.</w:t>
      </w:r>
    </w:p>
    <w:p>
      <w:pPr>
        <w:pStyle w:val="BodyText"/>
        <w:rPr>
          <w:sz w:val="20"/>
        </w:rPr>
      </w:pPr>
    </w:p>
    <w:p>
      <w:pPr>
        <w:pStyle w:val="BodyText"/>
        <w:spacing w:before="2"/>
        <w:rPr>
          <w:sz w:val="21"/>
        </w:rPr>
      </w:pPr>
    </w:p>
    <w:p>
      <w:pPr>
        <w:pStyle w:val="BodyText"/>
        <w:spacing w:line="254" w:lineRule="auto"/>
        <w:ind w:left="657" w:right="1886" w:firstLine="3"/>
      </w:pPr>
      <w:r>
        <w:rPr>
          <w:color w:val="4D4D4D"/>
          <w:w w:val="105"/>
          <w:sz w:val="20"/>
        </w:rPr>
        <w:t>ln </w:t>
      </w:r>
      <w:r>
        <w:rPr>
          <w:color w:val="4D4D4D"/>
          <w:w w:val="105"/>
        </w:rPr>
        <w:t>the spirit of cooperation and collaboration, the unders </w:t>
      </w:r>
      <w:r>
        <w:rPr>
          <w:color w:val="313131"/>
          <w:w w:val="105"/>
        </w:rPr>
        <w:t>i</w:t>
      </w:r>
      <w:r>
        <w:rPr>
          <w:color w:val="4D4D4D"/>
          <w:w w:val="105"/>
        </w:rPr>
        <w:t>gned hereby agrees </w:t>
      </w:r>
      <w:r>
        <w:rPr>
          <w:color w:val="5D5D5D"/>
          <w:w w:val="105"/>
        </w:rPr>
        <w:t>to </w:t>
      </w:r>
      <w:r>
        <w:rPr>
          <w:color w:val="4D4D4D"/>
          <w:w w:val="105"/>
        </w:rPr>
        <w:t>the principles contained within this Statement of Cooperation </w:t>
      </w:r>
      <w:r>
        <w:rPr>
          <w:color w:val="5D5D5D"/>
          <w:w w:val="105"/>
        </w:rPr>
        <w:t>and </w:t>
      </w:r>
      <w:r>
        <w:rPr>
          <w:color w:val="4D4D4D"/>
          <w:w w:val="105"/>
        </w:rPr>
        <w:t>confirms a willingness to share professional expertise in support of the profession of </w:t>
      </w:r>
      <w:r>
        <w:rPr>
          <w:color w:val="5D5D5D"/>
          <w:w w:val="105"/>
        </w:rPr>
        <w:t>Architec ture</w:t>
      </w:r>
      <w:r>
        <w:rPr>
          <w:color w:val="313131"/>
          <w:w w:val="105"/>
        </w:rPr>
        <w:t>.</w:t>
      </w:r>
    </w:p>
    <w:p>
      <w:pPr>
        <w:pStyle w:val="BodyText"/>
        <w:rPr>
          <w:sz w:val="20"/>
        </w:rPr>
      </w:pPr>
    </w:p>
    <w:p>
      <w:pPr>
        <w:spacing w:after="0"/>
        <w:rPr>
          <w:sz w:val="20"/>
        </w:rPr>
        <w:sectPr>
          <w:pgSz w:w="11910" w:h="16840"/>
          <w:pgMar w:header="1612" w:footer="0" w:top="2300" w:bottom="60" w:left="1500" w:right="540"/>
        </w:sectPr>
      </w:pPr>
    </w:p>
    <w:p>
      <w:pPr>
        <w:pStyle w:val="BodyText"/>
        <w:spacing w:before="11"/>
        <w:rPr>
          <w:sz w:val="93"/>
        </w:rPr>
      </w:pPr>
    </w:p>
    <w:p>
      <w:pPr>
        <w:pStyle w:val="BodyText"/>
        <w:ind w:left="653"/>
        <w:rPr>
          <w:i/>
          <w:sz w:val="74"/>
        </w:rPr>
      </w:pPr>
      <w:r>
        <w:rPr/>
        <w:pict>
          <v:shape style="position:absolute;margin-left:98.079033pt;margin-top:-20.314287pt;width:63.1pt;height:56.7pt;mso-position-horizontal-relative:page;mso-position-vertical-relative:paragraph;z-index:-4528" type="#_x0000_t202" filled="false" stroked="false">
            <v:textbox inset="0,0,0,0">
              <w:txbxContent>
                <w:p>
                  <w:pPr>
                    <w:spacing w:before="0"/>
                    <w:ind w:left="0" w:right="0" w:firstLine="0"/>
                    <w:jc w:val="left"/>
                    <w:rPr>
                      <w:rFonts w:ascii="Courier New"/>
                      <w:i/>
                      <w:sz w:val="100"/>
                    </w:rPr>
                  </w:pPr>
                  <w:r>
                    <w:rPr>
                      <w:rFonts w:ascii="Courier New"/>
                      <w:i/>
                      <w:color w:val="959CD6"/>
                      <w:w w:val="105"/>
                      <w:sz w:val="100"/>
                    </w:rPr>
                    <w:t>g(</w:t>
                  </w:r>
                </w:p>
              </w:txbxContent>
            </v:textbox>
            <w10:wrap type="none"/>
          </v:shape>
        </w:pict>
      </w:r>
      <w:r>
        <w:rPr/>
        <w:pict>
          <v:shape style="position:absolute;margin-left:107.934998pt;margin-top:8.552451pt;width:129.9pt;height:45.45pt;mso-position-horizontal-relative:page;mso-position-vertical-relative:paragraph;z-index:-4504" type="#_x0000_t202" filled="false" stroked="false">
            <v:textbox inset="0,0,0,0">
              <w:txbxContent>
                <w:p>
                  <w:pPr>
                    <w:pStyle w:val="BodyText"/>
                    <w:tabs>
                      <w:tab w:pos="2138" w:val="left" w:leader="none"/>
                    </w:tabs>
                    <w:spacing w:line="909" w:lineRule="exact"/>
                    <w:rPr>
                      <w:i/>
                      <w:sz w:val="82"/>
                    </w:rPr>
                  </w:pPr>
                  <w:r>
                    <w:rPr>
                      <w:color w:val="4D4D4D"/>
                      <w:spacing w:val="-1"/>
                      <w:w w:val="106"/>
                    </w:rPr>
                    <w:t>Presiden</w:t>
                  </w:r>
                  <w:r>
                    <w:rPr>
                      <w:color w:val="4D4D4D"/>
                      <w:w w:val="106"/>
                    </w:rPr>
                    <w:t>t</w:t>
                  </w:r>
                  <w:r>
                    <w:rPr>
                      <w:color w:val="4D4D4D"/>
                    </w:rPr>
                    <w:tab/>
                  </w:r>
                  <w:r>
                    <w:rPr>
                      <w:i/>
                      <w:color w:val="70748C"/>
                      <w:spacing w:val="14"/>
                      <w:w w:val="92"/>
                      <w:sz w:val="82"/>
                    </w:rPr>
                    <w:t>r</w:t>
                  </w:r>
                  <w:r>
                    <w:rPr>
                      <w:i/>
                      <w:color w:val="4D4D4D"/>
                      <w:spacing w:val="-19"/>
                      <w:w w:val="28"/>
                      <w:sz w:val="82"/>
                    </w:rPr>
                    <w:t>R</w:t>
                  </w:r>
                </w:p>
              </w:txbxContent>
            </v:textbox>
            <w10:wrap type="none"/>
          </v:shape>
        </w:pict>
      </w:r>
      <w:r>
        <w:rPr>
          <w:color w:val="4D4D4D"/>
          <w:w w:val="105"/>
        </w:rPr>
        <w:t>Dale McK.inney, </w:t>
      </w:r>
      <w:r>
        <w:rPr>
          <w:color w:val="5D5D5D"/>
          <w:w w:val="105"/>
        </w:rPr>
        <w:t>FAIA, N</w:t>
      </w:r>
      <w:r>
        <w:rPr>
          <w:color w:val="70748C"/>
          <w:w w:val="105"/>
        </w:rPr>
        <w:t>-;' </w:t>
      </w:r>
      <w:r>
        <w:rPr>
          <w:i/>
          <w:color w:val="70748C"/>
          <w:w w:val="105"/>
          <w:sz w:val="74"/>
        </w:rPr>
        <w:t>l</w:t>
      </w:r>
    </w:p>
    <w:p>
      <w:pPr>
        <w:pStyle w:val="Heading1"/>
        <w:spacing w:line="241" w:lineRule="exact" w:before="124"/>
      </w:pPr>
      <w:r>
        <w:rPr>
          <w:color w:val="4D4D4D"/>
        </w:rPr>
        <w:t>NCARB</w:t>
      </w:r>
    </w:p>
    <w:p>
      <w:pPr>
        <w:spacing w:line="252" w:lineRule="auto" w:before="0"/>
        <w:ind w:left="649" w:right="0" w:hanging="9"/>
        <w:jc w:val="left"/>
        <w:rPr>
          <w:sz w:val="18"/>
        </w:rPr>
      </w:pPr>
      <w:r>
        <w:rPr>
          <w:color w:val="4D4D4D"/>
          <w:sz w:val="18"/>
        </w:rPr>
        <w:t>1801 K </w:t>
      </w:r>
      <w:r>
        <w:rPr>
          <w:color w:val="4D4D4D"/>
          <w:sz w:val="19"/>
        </w:rPr>
        <w:t>Street </w:t>
      </w:r>
      <w:r>
        <w:rPr>
          <w:color w:val="5D5D5D"/>
          <w:sz w:val="19"/>
        </w:rPr>
        <w:t>1'TW, </w:t>
      </w:r>
      <w:r>
        <w:rPr>
          <w:color w:val="4D4D4D"/>
          <w:sz w:val="19"/>
        </w:rPr>
        <w:t>Suite </w:t>
      </w:r>
      <w:r>
        <w:rPr>
          <w:color w:val="5D5D5D"/>
          <w:sz w:val="18"/>
        </w:rPr>
        <w:t>700K Washington, </w:t>
      </w:r>
      <w:r>
        <w:rPr>
          <w:color w:val="4D4D4D"/>
          <w:sz w:val="18"/>
        </w:rPr>
        <w:t>DC </w:t>
      </w:r>
      <w:r>
        <w:rPr>
          <w:color w:val="5D5D5D"/>
          <w:sz w:val="18"/>
        </w:rPr>
        <w:t>20006</w:t>
      </w:r>
    </w:p>
    <w:p>
      <w:pPr>
        <w:spacing w:line="207" w:lineRule="exact" w:before="0"/>
        <w:ind w:left="646" w:right="0" w:firstLine="0"/>
        <w:jc w:val="left"/>
        <w:rPr>
          <w:sz w:val="18"/>
        </w:rPr>
      </w:pPr>
      <w:r>
        <w:rPr>
          <w:color w:val="5D5D5D"/>
          <w:sz w:val="18"/>
        </w:rPr>
        <w:t>United States </w:t>
      </w:r>
      <w:r>
        <w:rPr>
          <w:color w:val="4D4D4D"/>
          <w:sz w:val="18"/>
        </w:rPr>
        <w:t>of </w:t>
      </w:r>
      <w:r>
        <w:rPr>
          <w:color w:val="5D5D5D"/>
          <w:sz w:val="18"/>
        </w:rPr>
        <w:t>America</w:t>
      </w:r>
    </w:p>
    <w:p>
      <w:pPr>
        <w:pStyle w:val="BodyText"/>
        <w:spacing w:before="5"/>
        <w:rPr>
          <w:sz w:val="22"/>
        </w:rPr>
      </w:pPr>
      <w:r>
        <w:rPr/>
        <w:br w:type="column"/>
      </w:r>
      <w:r>
        <w:rPr>
          <w:sz w:val="22"/>
        </w:rPr>
      </w:r>
    </w:p>
    <w:p>
      <w:pPr>
        <w:pStyle w:val="BodyText"/>
        <w:ind w:left="6" w:right="4350"/>
        <w:jc w:val="center"/>
      </w:pPr>
      <w:r>
        <w:rPr>
          <w:color w:val="4D4D4D"/>
          <w:w w:val="105"/>
        </w:rPr>
        <w:t>Signed: 12 December</w:t>
      </w:r>
      <w:r>
        <w:rPr>
          <w:color w:val="4D4D4D"/>
          <w:spacing w:val="-26"/>
          <w:w w:val="105"/>
        </w:rPr>
        <w:t> </w:t>
      </w:r>
      <w:r>
        <w:rPr>
          <w:color w:val="4D4D4D"/>
          <w:w w:val="105"/>
        </w:rPr>
        <w:t>2014</w:t>
      </w:r>
    </w:p>
    <w:p>
      <w:pPr>
        <w:pStyle w:val="BodyText"/>
        <w:ind w:left="770"/>
        <w:rPr>
          <w:sz w:val="20"/>
        </w:rPr>
      </w:pPr>
      <w:r>
        <w:rPr>
          <w:sz w:val="20"/>
        </w:rPr>
        <w:drawing>
          <wp:inline distT="0" distB="0" distL="0" distR="0">
            <wp:extent cx="2475559" cy="876300"/>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0" cstate="print"/>
                    <a:stretch>
                      <a:fillRect/>
                    </a:stretch>
                  </pic:blipFill>
                  <pic:spPr>
                    <a:xfrm>
                      <a:off x="0" y="0"/>
                      <a:ext cx="2475559" cy="876300"/>
                    </a:xfrm>
                    <a:prstGeom prst="rect">
                      <a:avLst/>
                    </a:prstGeom>
                  </pic:spPr>
                </pic:pic>
              </a:graphicData>
            </a:graphic>
          </wp:inline>
        </w:drawing>
      </w:r>
      <w:r>
        <w:rPr>
          <w:sz w:val="20"/>
        </w:rPr>
      </w:r>
    </w:p>
    <w:p>
      <w:pPr>
        <w:pStyle w:val="BodyText"/>
        <w:ind w:left="921"/>
      </w:pPr>
      <w:r>
        <w:rPr>
          <w:color w:val="4D4D4D"/>
          <w:w w:val="105"/>
        </w:rPr>
        <w:t>P </w:t>
      </w:r>
      <w:r>
        <w:rPr>
          <w:color w:val="5D5D5D"/>
          <w:w w:val="105"/>
        </w:rPr>
        <w:t>esident</w:t>
      </w:r>
    </w:p>
    <w:p>
      <w:pPr>
        <w:pStyle w:val="Heading1"/>
        <w:ind w:left="920"/>
      </w:pPr>
      <w:r>
        <w:rPr>
          <w:color w:val="4D4D4D"/>
          <w:w w:val="110"/>
        </w:rPr>
        <w:t>C U/BR</w:t>
      </w:r>
    </w:p>
    <w:p>
      <w:pPr>
        <w:spacing w:before="8"/>
        <w:ind w:left="913" w:right="0" w:firstLine="0"/>
        <w:jc w:val="left"/>
        <w:rPr>
          <w:sz w:val="18"/>
        </w:rPr>
      </w:pPr>
      <w:r>
        <w:rPr>
          <w:color w:val="4D4D4D"/>
          <w:w w:val="105"/>
          <w:sz w:val="18"/>
        </w:rPr>
        <w:t>S S Qd 02 Bl. C</w:t>
      </w:r>
    </w:p>
    <w:p>
      <w:pPr>
        <w:spacing w:line="249" w:lineRule="auto" w:before="19"/>
        <w:ind w:left="917" w:right="3071" w:hanging="2"/>
        <w:jc w:val="left"/>
        <w:rPr>
          <w:sz w:val="18"/>
        </w:rPr>
      </w:pPr>
      <w:r>
        <w:rPr>
          <w:color w:val="4D4D4D"/>
          <w:w w:val="105"/>
          <w:sz w:val="18"/>
        </w:rPr>
        <w:t>Ed. Serra Dourada, </w:t>
      </w:r>
      <w:r>
        <w:rPr>
          <w:color w:val="5D5D5D"/>
          <w:w w:val="105"/>
          <w:sz w:val="18"/>
        </w:rPr>
        <w:t>Salas </w:t>
      </w:r>
      <w:r>
        <w:rPr>
          <w:color w:val="4D4D4D"/>
          <w:w w:val="105"/>
          <w:sz w:val="18"/>
        </w:rPr>
        <w:t>401/409 </w:t>
      </w:r>
      <w:r>
        <w:rPr>
          <w:color w:val="5D5D5D"/>
          <w:w w:val="105"/>
          <w:sz w:val="18"/>
        </w:rPr>
        <w:t>70.711-903 </w:t>
      </w:r>
      <w:r>
        <w:rPr>
          <w:color w:val="4D4D4D"/>
          <w:w w:val="105"/>
          <w:sz w:val="18"/>
        </w:rPr>
        <w:t>Brasilia/DF</w:t>
      </w:r>
    </w:p>
    <w:p>
      <w:pPr>
        <w:spacing w:line="204" w:lineRule="exact" w:before="0"/>
        <w:ind w:left="916" w:right="0" w:firstLine="0"/>
        <w:jc w:val="left"/>
        <w:rPr>
          <w:sz w:val="18"/>
        </w:rPr>
      </w:pPr>
      <w:r>
        <w:rPr>
          <w:color w:val="4D4D4D"/>
          <w:sz w:val="18"/>
        </w:rPr>
        <w:t>Brazil</w:t>
      </w:r>
    </w:p>
    <w:p>
      <w:pPr>
        <w:pStyle w:val="BodyText"/>
        <w:rPr>
          <w:sz w:val="20"/>
        </w:rPr>
      </w:pPr>
    </w:p>
    <w:p>
      <w:pPr>
        <w:pStyle w:val="BodyText"/>
        <w:spacing w:before="10"/>
        <w:rPr>
          <w:sz w:val="25"/>
        </w:rPr>
      </w:pPr>
    </w:p>
    <w:p>
      <w:pPr>
        <w:pStyle w:val="BodyText"/>
        <w:ind w:left="6" w:right="4372"/>
        <w:jc w:val="center"/>
      </w:pPr>
      <w:r>
        <w:rPr>
          <w:color w:val="5D5D5D"/>
        </w:rPr>
        <w:t>Witnessed </w:t>
      </w:r>
      <w:r>
        <w:rPr>
          <w:color w:val="4D4D4D"/>
        </w:rPr>
        <w:t>by:</w:t>
      </w:r>
    </w:p>
    <w:p>
      <w:pPr>
        <w:spacing w:after="0"/>
        <w:jc w:val="center"/>
        <w:sectPr>
          <w:type w:val="continuous"/>
          <w:pgSz w:w="11910" w:h="16840"/>
          <w:pgMar w:top="2300" w:bottom="40" w:left="1500" w:right="540"/>
          <w:cols w:num="2" w:equalWidth="0">
            <w:col w:w="3282" w:space="40"/>
            <w:col w:w="6548"/>
          </w:cols>
        </w:sectPr>
      </w:pPr>
    </w:p>
    <w:p>
      <w:pPr>
        <w:pStyle w:val="BodyText"/>
        <w:rPr>
          <w:sz w:val="20"/>
        </w:rPr>
      </w:pPr>
    </w:p>
    <w:p>
      <w:pPr>
        <w:pStyle w:val="BodyText"/>
        <w:spacing w:before="3"/>
        <w:rPr>
          <w:sz w:val="15"/>
        </w:rPr>
      </w:pPr>
    </w:p>
    <w:p>
      <w:pPr>
        <w:pStyle w:val="BodyText"/>
        <w:ind w:left="4190"/>
        <w:rPr>
          <w:sz w:val="20"/>
        </w:rPr>
      </w:pPr>
      <w:r>
        <w:rPr>
          <w:sz w:val="20"/>
        </w:rPr>
        <w:drawing>
          <wp:inline distT="0" distB="0" distL="0" distR="0">
            <wp:extent cx="2181357" cy="390143"/>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1" cstate="print"/>
                    <a:stretch>
                      <a:fillRect/>
                    </a:stretch>
                  </pic:blipFill>
                  <pic:spPr>
                    <a:xfrm>
                      <a:off x="0" y="0"/>
                      <a:ext cx="2181357" cy="390143"/>
                    </a:xfrm>
                    <a:prstGeom prst="rect">
                      <a:avLst/>
                    </a:prstGeom>
                  </pic:spPr>
                </pic:pic>
              </a:graphicData>
            </a:graphic>
          </wp:inline>
        </w:drawing>
      </w:r>
      <w:r>
        <w:rPr>
          <w:sz w:val="20"/>
        </w:rPr>
      </w:r>
    </w:p>
    <w:p>
      <w:pPr>
        <w:spacing w:after="0"/>
        <w:rPr>
          <w:sz w:val="20"/>
        </w:rPr>
        <w:sectPr>
          <w:type w:val="continuous"/>
          <w:pgSz w:w="11910" w:h="16840"/>
          <w:pgMar w:top="2300" w:bottom="40" w:left="1500" w:right="540"/>
        </w:sectPr>
      </w:pPr>
    </w:p>
    <w:p>
      <w:pPr>
        <w:pStyle w:val="BodyText"/>
        <w:rPr>
          <w:sz w:val="20"/>
        </w:rPr>
      </w:pPr>
    </w:p>
    <w:p>
      <w:pPr>
        <w:pStyle w:val="BodyText"/>
        <w:rPr>
          <w:sz w:val="20"/>
        </w:rPr>
      </w:pPr>
    </w:p>
    <w:p>
      <w:pPr>
        <w:pStyle w:val="BodyText"/>
        <w:spacing w:before="2"/>
        <w:rPr>
          <w:sz w:val="22"/>
        </w:rPr>
      </w:pPr>
    </w:p>
    <w:p>
      <w:pPr>
        <w:spacing w:line="249" w:lineRule="auto" w:before="0"/>
        <w:ind w:left="640" w:right="101" w:hanging="9"/>
        <w:jc w:val="left"/>
        <w:rPr>
          <w:sz w:val="18"/>
        </w:rPr>
      </w:pPr>
      <w:r>
        <w:rPr/>
        <w:drawing>
          <wp:anchor distT="0" distB="0" distL="0" distR="0" allowOverlap="1" layoutInCell="1" locked="0" behindDoc="0" simplePos="0" relativeHeight="1144">
            <wp:simplePos x="0" y="0"/>
            <wp:positionH relativeFrom="page">
              <wp:posOffset>1026479</wp:posOffset>
            </wp:positionH>
            <wp:positionV relativeFrom="paragraph">
              <wp:posOffset>-832609</wp:posOffset>
            </wp:positionV>
            <wp:extent cx="2487648" cy="805131"/>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2487648" cy="805131"/>
                    </a:xfrm>
                    <a:prstGeom prst="rect">
                      <a:avLst/>
                    </a:prstGeom>
                  </pic:spPr>
                </pic:pic>
              </a:graphicData>
            </a:graphic>
          </wp:anchor>
        </w:drawing>
      </w:r>
      <w:r>
        <w:rPr>
          <w:color w:val="4D4D4D"/>
          <w:w w:val="105"/>
          <w:sz w:val="18"/>
        </w:rPr>
        <w:t>1801 K Street </w:t>
      </w:r>
      <w:r>
        <w:rPr>
          <w:color w:val="5D5D5D"/>
          <w:w w:val="105"/>
          <w:sz w:val="18"/>
        </w:rPr>
        <w:t>NW, Suite 700K Washington, </w:t>
      </w:r>
      <w:r>
        <w:rPr>
          <w:color w:val="4D4D4D"/>
          <w:w w:val="105"/>
          <w:sz w:val="18"/>
        </w:rPr>
        <w:t>DC 20006</w:t>
      </w:r>
    </w:p>
    <w:p>
      <w:pPr>
        <w:spacing w:line="204" w:lineRule="exact" w:before="0"/>
        <w:ind w:left="646" w:right="0" w:firstLine="0"/>
        <w:jc w:val="left"/>
        <w:rPr>
          <w:sz w:val="18"/>
        </w:rPr>
      </w:pPr>
      <w:r>
        <w:rPr>
          <w:color w:val="5D5D5D"/>
          <w:sz w:val="18"/>
        </w:rPr>
        <w:t>United States </w:t>
      </w:r>
      <w:r>
        <w:rPr>
          <w:color w:val="4D4D4D"/>
          <w:sz w:val="18"/>
        </w:rPr>
        <w:t>of </w:t>
      </w:r>
      <w:r>
        <w:rPr>
          <w:color w:val="5D5D5D"/>
          <w:sz w:val="18"/>
        </w:rPr>
        <w:t>America</w:t>
      </w:r>
    </w:p>
    <w:p>
      <w:pPr>
        <w:pStyle w:val="BodyText"/>
        <w:spacing w:line="247" w:lineRule="auto" w:before="33"/>
        <w:ind w:left="153" w:right="3348" w:firstLine="5"/>
        <w:rPr>
          <w:b/>
          <w:sz w:val="21"/>
        </w:rPr>
      </w:pPr>
      <w:r>
        <w:rPr/>
        <w:br w:type="column"/>
      </w:r>
      <w:r>
        <w:rPr>
          <w:color w:val="5D5D5D"/>
          <w:w w:val="105"/>
        </w:rPr>
        <w:t>Fernando </w:t>
      </w:r>
      <w:r>
        <w:rPr>
          <w:color w:val="4D4D4D"/>
          <w:w w:val="105"/>
        </w:rPr>
        <w:t>Diniz </w:t>
      </w:r>
      <w:r>
        <w:rPr>
          <w:color w:val="5D5D5D"/>
          <w:w w:val="105"/>
        </w:rPr>
        <w:t>Moreira Federal Counselor </w:t>
      </w:r>
      <w:r>
        <w:rPr>
          <w:b/>
          <w:color w:val="4D4D4D"/>
          <w:w w:val="105"/>
          <w:sz w:val="21"/>
        </w:rPr>
        <w:t>CAU/BR</w:t>
      </w:r>
    </w:p>
    <w:p>
      <w:pPr>
        <w:spacing w:line="230" w:lineRule="exact" w:before="0"/>
        <w:ind w:left="144" w:right="0" w:firstLine="0"/>
        <w:jc w:val="left"/>
        <w:rPr>
          <w:sz w:val="26"/>
        </w:rPr>
      </w:pPr>
      <w:r>
        <w:rPr>
          <w:color w:val="4D4D4D"/>
          <w:sz w:val="26"/>
        </w:rPr>
        <w:t>ses </w:t>
      </w:r>
      <w:r>
        <w:rPr>
          <w:color w:val="4D4D4D"/>
          <w:sz w:val="18"/>
        </w:rPr>
        <w:t>Qd 02 B1. </w:t>
      </w:r>
      <w:r>
        <w:rPr>
          <w:color w:val="5D5D5D"/>
          <w:sz w:val="26"/>
        </w:rPr>
        <w:t>e</w:t>
      </w:r>
    </w:p>
    <w:p>
      <w:pPr>
        <w:spacing w:line="244" w:lineRule="auto" w:before="0"/>
        <w:ind w:left="155" w:right="3075" w:hanging="2"/>
        <w:jc w:val="left"/>
        <w:rPr>
          <w:sz w:val="18"/>
        </w:rPr>
      </w:pPr>
      <w:r>
        <w:rPr>
          <w:color w:val="5D5D5D"/>
          <w:w w:val="105"/>
          <w:sz w:val="18"/>
        </w:rPr>
        <w:t>Ed. </w:t>
      </w:r>
      <w:r>
        <w:rPr>
          <w:color w:val="4D4D4D"/>
          <w:w w:val="105"/>
          <w:sz w:val="18"/>
        </w:rPr>
        <w:t>Serra Dourada, Salas 401/409 70</w:t>
      </w:r>
      <w:r>
        <w:rPr>
          <w:color w:val="131313"/>
          <w:w w:val="105"/>
          <w:sz w:val="18"/>
        </w:rPr>
        <w:t>.</w:t>
      </w:r>
      <w:r>
        <w:rPr>
          <w:color w:val="5D5D5D"/>
          <w:w w:val="105"/>
          <w:sz w:val="18"/>
        </w:rPr>
        <w:t>711-903 </w:t>
      </w:r>
      <w:r>
        <w:rPr>
          <w:color w:val="4D4D4D"/>
          <w:w w:val="105"/>
          <w:sz w:val="18"/>
        </w:rPr>
        <w:t>Brasilia/DF</w:t>
      </w:r>
    </w:p>
    <w:p>
      <w:pPr>
        <w:spacing w:before="0"/>
        <w:ind w:left="153" w:right="0" w:firstLine="0"/>
        <w:jc w:val="left"/>
        <w:rPr>
          <w:sz w:val="18"/>
        </w:rPr>
      </w:pPr>
      <w:r>
        <w:rPr/>
        <w:pict>
          <v:group style="position:absolute;margin-left:97.99897pt;margin-top:6.721346pt;width:194.6pt;height:53.8pt;mso-position-horizontal-relative:page;mso-position-vertical-relative:paragraph;z-index:-4552" coordorigin="1960,134" coordsize="3892,1076">
            <v:shape style="position:absolute;left:1959;top:134;width:3267;height:1076" type="#_x0000_t75" stroked="false">
              <v:imagedata r:id="rId13" o:title=""/>
            </v:shape>
            <v:line style="position:absolute" from="5227,519" to="5851,519" stroked="true" strokeweight=".960548pt" strokecolor="#000000">
              <v:stroke dashstyle="solid"/>
            </v:line>
            <w10:wrap type="none"/>
          </v:group>
        </w:pict>
      </w:r>
      <w:r>
        <w:rPr>
          <w:color w:val="4D4D4D"/>
          <w:sz w:val="18"/>
        </w:rPr>
        <w:t>Brazil</w:t>
      </w:r>
    </w:p>
    <w:p>
      <w:pPr>
        <w:spacing w:after="0"/>
        <w:jc w:val="left"/>
        <w:rPr>
          <w:sz w:val="18"/>
        </w:rPr>
        <w:sectPr>
          <w:type w:val="continuous"/>
          <w:pgSz w:w="11910" w:h="16840"/>
          <w:pgMar w:top="2300" w:bottom="40" w:left="1500" w:right="540"/>
          <w:cols w:num="2" w:equalWidth="0">
            <w:col w:w="4035" w:space="40"/>
            <w:col w:w="5795"/>
          </w:cols>
        </w:sectPr>
      </w:pPr>
    </w:p>
    <w:p>
      <w:pPr>
        <w:pStyle w:val="BodyText"/>
        <w:rPr>
          <w:sz w:val="20"/>
        </w:rPr>
      </w:pPr>
      <w:r>
        <w:rPr/>
        <w:drawing>
          <wp:anchor distT="0" distB="0" distL="0" distR="0" allowOverlap="1" layoutInCell="1" locked="0" behindDoc="0" simplePos="0" relativeHeight="1096">
            <wp:simplePos x="0" y="0"/>
            <wp:positionH relativeFrom="page">
              <wp:posOffset>1537430</wp:posOffset>
            </wp:positionH>
            <wp:positionV relativeFrom="page">
              <wp:posOffset>963718</wp:posOffset>
            </wp:positionV>
            <wp:extent cx="1268990" cy="195183"/>
            <wp:effectExtent l="0" t="0" r="0" b="0"/>
            <wp:wrapNone/>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4" cstate="print"/>
                    <a:stretch>
                      <a:fillRect/>
                    </a:stretch>
                  </pic:blipFill>
                  <pic:spPr>
                    <a:xfrm>
                      <a:off x="0" y="0"/>
                      <a:ext cx="1268990" cy="195183"/>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4160824</wp:posOffset>
            </wp:positionH>
            <wp:positionV relativeFrom="page">
              <wp:posOffset>1001840</wp:posOffset>
            </wp:positionV>
            <wp:extent cx="402660" cy="437637"/>
            <wp:effectExtent l="0" t="0" r="0" b="0"/>
            <wp:wrapNone/>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5" cstate="print"/>
                    <a:stretch>
                      <a:fillRect/>
                    </a:stretch>
                  </pic:blipFill>
                  <pic:spPr>
                    <a:xfrm>
                      <a:off x="0" y="0"/>
                      <a:ext cx="402660" cy="437637"/>
                    </a:xfrm>
                    <a:prstGeom prst="rect">
                      <a:avLst/>
                    </a:prstGeom>
                  </pic:spPr>
                </pic:pic>
              </a:graphicData>
            </a:graphic>
          </wp:anchor>
        </w:drawing>
      </w:r>
    </w:p>
    <w:p>
      <w:pPr>
        <w:pStyle w:val="BodyText"/>
        <w:rPr>
          <w:sz w:val="20"/>
        </w:rPr>
      </w:pPr>
    </w:p>
    <w:p>
      <w:pPr>
        <w:pStyle w:val="BodyText"/>
        <w:rPr>
          <w:sz w:val="20"/>
        </w:rPr>
      </w:pPr>
    </w:p>
    <w:p>
      <w:pPr>
        <w:pStyle w:val="BodyText"/>
        <w:spacing w:before="6"/>
        <w:rPr>
          <w:sz w:val="27"/>
        </w:rPr>
      </w:pPr>
    </w:p>
    <w:p>
      <w:pPr>
        <w:pStyle w:val="BodyText"/>
        <w:spacing w:line="244" w:lineRule="auto" w:before="92"/>
        <w:ind w:left="625" w:right="6319"/>
        <w:jc w:val="both"/>
        <w:rPr>
          <w:b/>
          <w:sz w:val="21"/>
        </w:rPr>
      </w:pPr>
      <w:r>
        <w:rPr>
          <w:color w:val="4D4D4D"/>
          <w:w w:val="105"/>
        </w:rPr>
        <w:t>Stephen Nutt, AIA, NCARB, CAE Sr. </w:t>
      </w:r>
      <w:r>
        <w:rPr>
          <w:color w:val="5D5D5D"/>
          <w:w w:val="105"/>
        </w:rPr>
        <w:t>Architect </w:t>
      </w:r>
      <w:r>
        <w:rPr>
          <w:color w:val="4D4D4D"/>
          <w:w w:val="105"/>
        </w:rPr>
        <w:t>/ </w:t>
      </w:r>
      <w:r>
        <w:rPr>
          <w:color w:val="5D5D5D"/>
          <w:w w:val="105"/>
        </w:rPr>
        <w:t>Advisor </w:t>
      </w:r>
      <w:r>
        <w:rPr>
          <w:color w:val="4D4D4D"/>
          <w:w w:val="105"/>
        </w:rPr>
        <w:t>to </w:t>
      </w:r>
      <w:r>
        <w:rPr>
          <w:color w:val="5D5D5D"/>
          <w:w w:val="105"/>
        </w:rPr>
        <w:t>the </w:t>
      </w:r>
      <w:r>
        <w:rPr>
          <w:color w:val="4D4D4D"/>
          <w:w w:val="105"/>
        </w:rPr>
        <w:t>CEO </w:t>
      </w:r>
      <w:r>
        <w:rPr>
          <w:b/>
          <w:color w:val="4D4D4D"/>
          <w:w w:val="105"/>
          <w:sz w:val="21"/>
        </w:rPr>
        <w:t>NCARB</w:t>
      </w:r>
    </w:p>
    <w:p>
      <w:pPr>
        <w:spacing w:line="249" w:lineRule="auto" w:before="19"/>
        <w:ind w:left="635" w:right="5941" w:hanging="9"/>
        <w:jc w:val="left"/>
        <w:rPr>
          <w:sz w:val="18"/>
        </w:rPr>
      </w:pPr>
      <w:r>
        <w:rPr>
          <w:color w:val="4D4D4D"/>
          <w:w w:val="105"/>
          <w:sz w:val="18"/>
        </w:rPr>
        <w:t>1801 K </w:t>
      </w:r>
      <w:r>
        <w:rPr>
          <w:color w:val="5D5D5D"/>
          <w:w w:val="105"/>
          <w:sz w:val="18"/>
        </w:rPr>
        <w:t>Street NW, Suite 700K </w:t>
      </w:r>
      <w:r>
        <w:rPr>
          <w:color w:val="4D4D4D"/>
          <w:w w:val="105"/>
          <w:sz w:val="18"/>
        </w:rPr>
        <w:t>Washington, DC 20006</w:t>
      </w:r>
    </w:p>
    <w:p>
      <w:pPr>
        <w:spacing w:before="2"/>
        <w:ind w:left="636" w:right="0" w:firstLine="0"/>
        <w:jc w:val="both"/>
        <w:rPr>
          <w:sz w:val="18"/>
        </w:rPr>
      </w:pPr>
      <w:r>
        <w:rPr>
          <w:color w:val="5D5D5D"/>
          <w:sz w:val="18"/>
        </w:rPr>
        <w:t>United </w:t>
      </w:r>
      <w:r>
        <w:rPr>
          <w:color w:val="4D4D4D"/>
          <w:sz w:val="18"/>
        </w:rPr>
        <w:t>States of </w:t>
      </w:r>
      <w:r>
        <w:rPr>
          <w:color w:val="5D5D5D"/>
          <w:sz w:val="18"/>
        </w:rPr>
        <w:t>America</w:t>
      </w:r>
    </w:p>
    <w:sectPr>
      <w:type w:val="continuous"/>
      <w:pgSz w:w="11910" w:h="16840"/>
      <w:pgMar w:top="2300" w:bottom="40" w:left="15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4"/>
      </w:rPr>
    </w:pPr>
    <w:r>
      <w:rPr/>
      <w:pict>
        <v:line style="position:absolute;mso-position-horizontal-relative:page;mso-position-vertical-relative:page;z-index:-4648" from="1.921547pt,839.99939pt" to="595.280033pt,839.99939pt" stroked="true" strokeweight=".480274pt" strokecolor="#000000">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8.014404pt;margin-top:78.152191pt;width:90.05pt;height:34.450pt;mso-position-horizontal-relative:page;mso-position-vertical-relative:page;z-index:-4696" type="#_x0000_t202" filled="false" stroked="false">
          <v:textbox inset="0,0,0,0">
            <w:txbxContent>
              <w:p>
                <w:pPr>
                  <w:spacing w:before="1"/>
                  <w:ind w:left="20" w:right="0" w:firstLine="0"/>
                  <w:jc w:val="left"/>
                  <w:rPr>
                    <w:rFonts w:ascii="Arial"/>
                    <w:b/>
                    <w:sz w:val="58"/>
                  </w:rPr>
                </w:pPr>
                <w:r>
                  <w:rPr>
                    <w:rFonts w:ascii="Arial"/>
                    <w:b/>
                    <w:color w:val="878C8E"/>
                    <w:w w:val="75"/>
                    <w:sz w:val="58"/>
                    <w:u w:val="thick" w:color="878C8E"/>
                  </w:rPr>
                  <w:t>CAU/BR</w:t>
                </w:r>
              </w:p>
            </w:txbxContent>
          </v:textbox>
          <w10:wrap type="none"/>
        </v:shape>
      </w:pict>
    </w:r>
    <w:r>
      <w:rPr/>
      <w:pict>
        <v:shape style="position:absolute;margin-left:122.0401pt;margin-top:89.40152pt;width:99pt;height:26.95pt;mso-position-horizontal-relative:page;mso-position-vertical-relative:page;z-index:-4672" type="#_x0000_t202" filled="false" stroked="false">
          <v:textbox inset="0,0,0,0">
            <w:txbxContent>
              <w:p>
                <w:pPr>
                  <w:spacing w:before="1"/>
                  <w:ind w:left="20" w:right="0" w:firstLine="0"/>
                  <w:jc w:val="left"/>
                  <w:rPr>
                    <w:sz w:val="45"/>
                  </w:rPr>
                </w:pPr>
                <w:r>
                  <w:rPr>
                    <w:color w:val="878C8E"/>
                    <w:w w:val="125"/>
                    <w:sz w:val="45"/>
                  </w:rPr>
                  <w:t>NCARB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46" w:hanging="315"/>
      </w:pPr>
      <w:rPr>
        <w:rFonts w:hint="default"/>
        <w:w w:val="104"/>
      </w:rPr>
    </w:lvl>
    <w:lvl w:ilvl="1">
      <w:start w:val="0"/>
      <w:numFmt w:val="bullet"/>
      <w:lvlText w:val="•"/>
      <w:lvlJc w:val="left"/>
      <w:pPr>
        <w:ind w:left="2192" w:hanging="315"/>
      </w:pPr>
      <w:rPr>
        <w:rFonts w:hint="default"/>
      </w:rPr>
    </w:lvl>
    <w:lvl w:ilvl="2">
      <w:start w:val="0"/>
      <w:numFmt w:val="bullet"/>
      <w:lvlText w:val="•"/>
      <w:lvlJc w:val="left"/>
      <w:pPr>
        <w:ind w:left="3045" w:hanging="315"/>
      </w:pPr>
      <w:rPr>
        <w:rFonts w:hint="default"/>
      </w:rPr>
    </w:lvl>
    <w:lvl w:ilvl="3">
      <w:start w:val="0"/>
      <w:numFmt w:val="bullet"/>
      <w:lvlText w:val="•"/>
      <w:lvlJc w:val="left"/>
      <w:pPr>
        <w:ind w:left="3897" w:hanging="315"/>
      </w:pPr>
      <w:rPr>
        <w:rFonts w:hint="default"/>
      </w:rPr>
    </w:lvl>
    <w:lvl w:ilvl="4">
      <w:start w:val="0"/>
      <w:numFmt w:val="bullet"/>
      <w:lvlText w:val="•"/>
      <w:lvlJc w:val="left"/>
      <w:pPr>
        <w:ind w:left="4750" w:hanging="315"/>
      </w:pPr>
      <w:rPr>
        <w:rFonts w:hint="default"/>
      </w:rPr>
    </w:lvl>
    <w:lvl w:ilvl="5">
      <w:start w:val="0"/>
      <w:numFmt w:val="bullet"/>
      <w:lvlText w:val="•"/>
      <w:lvlJc w:val="left"/>
      <w:pPr>
        <w:ind w:left="5602" w:hanging="315"/>
      </w:pPr>
      <w:rPr>
        <w:rFonts w:hint="default"/>
      </w:rPr>
    </w:lvl>
    <w:lvl w:ilvl="6">
      <w:start w:val="0"/>
      <w:numFmt w:val="bullet"/>
      <w:lvlText w:val="•"/>
      <w:lvlJc w:val="left"/>
      <w:pPr>
        <w:ind w:left="6455" w:hanging="315"/>
      </w:pPr>
      <w:rPr>
        <w:rFonts w:hint="default"/>
      </w:rPr>
    </w:lvl>
    <w:lvl w:ilvl="7">
      <w:start w:val="0"/>
      <w:numFmt w:val="bullet"/>
      <w:lvlText w:val="•"/>
      <w:lvlJc w:val="left"/>
      <w:pPr>
        <w:ind w:left="7307" w:hanging="315"/>
      </w:pPr>
      <w:rPr>
        <w:rFonts w:hint="default"/>
      </w:rPr>
    </w:lvl>
    <w:lvl w:ilvl="8">
      <w:start w:val="0"/>
      <w:numFmt w:val="bullet"/>
      <w:lvlText w:val="•"/>
      <w:lvlJc w:val="left"/>
      <w:pPr>
        <w:ind w:left="8160" w:hanging="31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spacing w:before="7"/>
      <w:ind w:left="649"/>
      <w:outlineLvl w:val="1"/>
    </w:pPr>
    <w:rPr>
      <w:rFonts w:ascii="Times New Roman" w:hAnsi="Times New Roman" w:eastAsia="Times New Roman" w:cs="Times New Roman"/>
      <w:b/>
      <w:bCs/>
      <w:sz w:val="21"/>
      <w:szCs w:val="21"/>
    </w:rPr>
  </w:style>
  <w:style w:styleId="Heading2" w:type="paragraph">
    <w:name w:val="Heading 2"/>
    <w:basedOn w:val="Normal"/>
    <w:uiPriority w:val="1"/>
    <w:qFormat/>
    <w:pPr>
      <w:ind w:left="791"/>
      <w:jc w:val="center"/>
      <w:outlineLvl w:val="2"/>
    </w:pPr>
    <w:rPr>
      <w:rFonts w:ascii="Arial" w:hAnsi="Arial" w:eastAsia="Arial" w:cs="Arial"/>
      <w:b/>
      <w:bCs/>
      <w:sz w:val="19"/>
      <w:szCs w:val="19"/>
    </w:rPr>
  </w:style>
  <w:style w:styleId="ListParagraph" w:type="paragraph">
    <w:name w:val="List Paragraph"/>
    <w:basedOn w:val="Normal"/>
    <w:uiPriority w:val="1"/>
    <w:qFormat/>
    <w:pPr>
      <w:ind w:left="1298" w:right="1820" w:hanging="32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2019-04-12T17:58:15Z</dcterms:created>
  <dcterms:modified xsi:type="dcterms:W3CDTF">2019-04-12T17:58:15Z</dcterms:modified>
</cp:coreProperties>
</file>