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8"/>
        </w:rPr>
      </w:pPr>
    </w:p>
    <w:p>
      <w:pPr>
        <w:spacing w:before="94"/>
        <w:ind w:left="2555" w:right="25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DECLARAÇÃO DE COOPERAÇÃO ENTRE</w:t>
      </w:r>
    </w:p>
    <w:p>
      <w:pPr>
        <w:spacing w:line="252" w:lineRule="exact" w:before="0"/>
        <w:ind w:left="534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sz w:val="22"/>
        </w:rPr>
        <w:t>O </w:t>
      </w:r>
      <w:r>
        <w:rPr>
          <w:rFonts w:ascii="Arial"/>
          <w:b/>
          <w:i/>
          <w:sz w:val="22"/>
        </w:rPr>
        <w:t>NATIONAL CONUNCIL OF ARCHITECTURAL REGISTRATION BOARDS</w:t>
      </w:r>
    </w:p>
    <w:p>
      <w:pPr>
        <w:spacing w:before="0"/>
        <w:ind w:left="3882" w:right="388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(NCARB) E</w:t>
      </w:r>
    </w:p>
    <w:p>
      <w:pPr>
        <w:spacing w:before="0"/>
        <w:ind w:left="6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 CONSELHO DE ARQUITETURA E URBANISMO DO BRASIL (CAU/BR)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pStyle w:val="Heading1"/>
        <w:spacing w:line="240" w:lineRule="auto"/>
      </w:pPr>
      <w:r>
        <w:rPr/>
        <w:t>As Partes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102" w:right="363"/>
      </w:pPr>
      <w:r>
        <w:rPr>
          <w:b/>
        </w:rPr>
        <w:t>O </w:t>
      </w:r>
      <w:r>
        <w:rPr>
          <w:b/>
          <w:i/>
          <w:sz w:val="25"/>
        </w:rPr>
        <w:t>National Council of Architectural Registration Boards </w:t>
      </w:r>
      <w:r>
        <w:rPr>
          <w:b/>
        </w:rPr>
        <w:t>(NCARB) </w:t>
      </w:r>
      <w:r>
        <w:rPr/>
        <w:t>tem como função “salvaguardar a saúde pública, a segurança e o bem-estar, regulamentando o exercício da profissão de arquitetura, por meio do desenvolvimento e da aplicação de padrões de licenciamento e credenciamento de arquitetos”. Representa os órgãos de licenciamento de arquitetura de 50 estados, do Distrito de Colúmbia, de Guam, de Porto Rico e das Ilhas Virgens (EUA).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2" w:right="184"/>
      </w:pPr>
      <w:r>
        <w:rPr/>
        <w:t>O </w:t>
      </w:r>
      <w:r>
        <w:rPr>
          <w:b/>
        </w:rPr>
        <w:t>Conselho de Arquitetura e Urbanismo do Brasil (CAU/BR)</w:t>
      </w:r>
      <w:r>
        <w:rPr/>
        <w:t>, (Conselho de Arquitetura e Urbanismo no Brasil) foi criado pela Lei n º 12.378 em 31 de dezembro de 2010, para regulamentar a prática da arquitetura e do urbanismo no país. A função do CAU/BR é a de "orientar, disciplinar e fiscalizar o exercício da profissão de arquitetura e urbanismo, garantir a fiel observância dos princípios de ética e disciplina da classe em todo o país, bem como se esforçar para melhorar a prática da arquitetura e urbanismo".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2" w:right="115"/>
      </w:pPr>
      <w:r>
        <w:rPr>
          <w:b/>
        </w:rPr>
        <w:t>CONSIDERANDO </w:t>
      </w:r>
      <w:r>
        <w:rPr/>
        <w:t>que as partes têm competência para facilitar a regulamentação da profissão de arquitetura nos respectivos países, e compartilham o objetivo de licenciamento de arquitetos, para proporcionar serviços profissionais, nas respectivas jurisdições, visando a salvaguardar a saúde, a segurança e o bem-estar da</w:t>
      </w:r>
      <w:r>
        <w:rPr>
          <w:spacing w:val="-10"/>
        </w:rPr>
        <w:t> </w:t>
      </w:r>
      <w:r>
        <w:rPr/>
        <w:t>sociedade;</w:t>
      </w:r>
    </w:p>
    <w:p>
      <w:pPr>
        <w:pStyle w:val="BodyText"/>
        <w:spacing w:before="1"/>
      </w:pPr>
    </w:p>
    <w:p>
      <w:pPr>
        <w:pStyle w:val="BodyText"/>
        <w:ind w:left="102" w:right="123"/>
      </w:pPr>
      <w:r>
        <w:rPr>
          <w:b/>
        </w:rPr>
        <w:t>CONSIDERANDO </w:t>
      </w:r>
      <w:r>
        <w:rPr/>
        <w:t>que as partes estão interessadas em promover a cooperação mútua, a fim de aprimorar a prática da arquitetura em ambos os países;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02" w:right="96"/>
      </w:pPr>
      <w:r>
        <w:rPr>
          <w:b/>
        </w:rPr>
        <w:t>CONSIDERANDO </w:t>
      </w:r>
      <w:r>
        <w:rPr/>
        <w:t>que as partes reconhecem as diferenças nos procedimentos de licenciamento de arquitetos nos Estados Unidos e no Brasil, e que estes devem ser aceitos e respeitados;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483"/>
      </w:pPr>
      <w:r>
        <w:rPr>
          <w:b/>
        </w:rPr>
        <w:t>CONSIDERANDO </w:t>
      </w:r>
      <w:r>
        <w:rPr/>
        <w:t>que o NCARB possui uma longa história de desenvolvimento de padrões de ensino da arquitetura, de exame de ordem - para licenciamento inicial -, de estabelecimento de padrões para educação continuada - para a renovação da licença -; enquanto que, em contrapartida, o CAU/BR criou um efetivo sistema nacional de monitoramento de diversos aspectos da prática profissional no país;</w:t>
      </w:r>
    </w:p>
    <w:p>
      <w:pPr>
        <w:pStyle w:val="BodyText"/>
      </w:pPr>
    </w:p>
    <w:p>
      <w:pPr>
        <w:pStyle w:val="BodyText"/>
        <w:ind w:left="102" w:right="589"/>
      </w:pPr>
      <w:r>
        <w:rPr>
          <w:b/>
        </w:rPr>
        <w:t>PARA ESSE FIM</w:t>
      </w:r>
      <w:r>
        <w:rPr/>
        <w:t>, as partes concordam em cooperar, no âmbito das normas profissionais, no auxílio, no registro, na regulamentação, na proteção à sociedade e em outras áreas de mútuo interesse. Concordam ainda em: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35" w:lineRule="auto" w:before="0" w:after="0"/>
        <w:ind w:left="822" w:right="104" w:hanging="360"/>
        <w:jc w:val="left"/>
        <w:rPr>
          <w:i/>
          <w:sz w:val="24"/>
        </w:rPr>
      </w:pPr>
      <w:r>
        <w:rPr>
          <w:sz w:val="24"/>
        </w:rPr>
        <w:t>Intercambiar informações sobre procedimentos, padrões e melhores práticas relacionadas à regulamentação da arquitetura, particularmente relacionadas aos programas do NCARB – como o </w:t>
      </w:r>
      <w:r>
        <w:rPr>
          <w:i/>
          <w:sz w:val="24"/>
        </w:rPr>
        <w:t>NCARB Education Standard</w:t>
      </w:r>
      <w:r>
        <w:rPr>
          <w:sz w:val="24"/>
        </w:rPr>
        <w:t>, o </w:t>
      </w:r>
      <w:r>
        <w:rPr>
          <w:i/>
          <w:sz w:val="24"/>
        </w:rPr>
        <w:t>Intern Development </w:t>
      </w:r>
      <w:r>
        <w:rPr>
          <w:i/>
          <w:sz w:val="24"/>
        </w:rPr>
        <w:t>Program</w:t>
      </w:r>
      <w:r>
        <w:rPr>
          <w:sz w:val="24"/>
        </w:rPr>
        <w:t>, o </w:t>
      </w:r>
      <w:r>
        <w:rPr>
          <w:i/>
          <w:sz w:val="24"/>
        </w:rPr>
        <w:t>Architect Registration Examination</w:t>
      </w:r>
      <w:r>
        <w:rPr>
          <w:i/>
          <w:position w:val="10"/>
          <w:sz w:val="14"/>
        </w:rPr>
        <w:t>®</w:t>
      </w:r>
      <w:r>
        <w:rPr>
          <w:sz w:val="24"/>
        </w:rPr>
        <w:t>, o </w:t>
      </w:r>
      <w:r>
        <w:rPr>
          <w:i/>
          <w:sz w:val="24"/>
        </w:rPr>
        <w:t>Continuing Education</w:t>
      </w:r>
      <w:r>
        <w:rPr>
          <w:sz w:val="24"/>
        </w:rPr>
        <w:t>, </w:t>
      </w:r>
      <w:r>
        <w:rPr>
          <w:i/>
          <w:sz w:val="24"/>
        </w:rPr>
        <w:t>Model Law </w:t>
      </w:r>
      <w:r>
        <w:rPr>
          <w:sz w:val="24"/>
        </w:rPr>
        <w:t>e</w:t>
      </w:r>
      <w:r>
        <w:rPr>
          <w:spacing w:val="-30"/>
          <w:sz w:val="24"/>
        </w:rPr>
        <w:t> </w:t>
      </w:r>
      <w:r>
        <w:rPr>
          <w:i/>
          <w:sz w:val="24"/>
        </w:rPr>
        <w:t>Rules</w:t>
      </w:r>
    </w:p>
    <w:p>
      <w:pPr>
        <w:spacing w:after="0" w:line="235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607" w:top="1540" w:bottom="280" w:left="1600" w:right="1600"/>
        </w:sectPr>
      </w:pPr>
    </w:p>
    <w:p>
      <w:pPr>
        <w:pStyle w:val="BodyText"/>
        <w:spacing w:before="61"/>
        <w:ind w:left="821" w:right="342"/>
      </w:pPr>
      <w:r>
        <w:rPr>
          <w:i/>
        </w:rPr>
        <w:t>of conduct </w:t>
      </w:r>
      <w:r>
        <w:rPr/>
        <w:t>– e ao sistema do CAU/BR de monitoramento do exercício profissional no Brasil – como o SICCAU, os dados demográficos, os documentos, as publicações e pesquisas.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557" w:hanging="360"/>
        <w:jc w:val="left"/>
        <w:rPr>
          <w:sz w:val="24"/>
        </w:rPr>
      </w:pPr>
      <w:r>
        <w:rPr>
          <w:sz w:val="24"/>
        </w:rPr>
        <w:t>Permitir que representantes das partes observem, reciprocamente, as atividades desenvolvidas, a fim de adquirir</w:t>
      </w:r>
      <w:r>
        <w:rPr>
          <w:spacing w:val="-3"/>
          <w:sz w:val="24"/>
        </w:rPr>
        <w:t> </w:t>
      </w:r>
      <w:r>
        <w:rPr>
          <w:sz w:val="24"/>
        </w:rPr>
        <w:t>conhecimento.</w:t>
      </w:r>
    </w:p>
    <w:p>
      <w:pPr>
        <w:pStyle w:val="BodyText"/>
      </w:pPr>
    </w:p>
    <w:p>
      <w:pPr>
        <w:pStyle w:val="BodyText"/>
        <w:ind w:left="102" w:right="471"/>
      </w:pPr>
      <w:r>
        <w:rPr/>
        <w:t>No intuito de cooperação e colaboração, o abaixo assinado concorda com os princípios contidos nessa Declaração de Cooperação e ratifica a disposição em compartilhar conhecimento profissional para dar suporte à profissão de arquitetura.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4"/>
        <w:ind w:left="2555" w:right="2555"/>
        <w:jc w:val="center"/>
      </w:pPr>
      <w:r>
        <w:rPr/>
        <w:t>Assinado por: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tabs>
          <w:tab w:pos="4153" w:val="left" w:leader="none"/>
        </w:tabs>
        <w:spacing w:line="269" w:lineRule="exact" w:before="1"/>
        <w:ind w:left="102"/>
      </w:pPr>
      <w:r>
        <w:rPr/>
        <w:t>Dale</w:t>
      </w:r>
      <w:r>
        <w:rPr>
          <w:spacing w:val="-3"/>
        </w:rPr>
        <w:t> </w:t>
      </w:r>
      <w:r>
        <w:rPr/>
        <w:t>McKinney,</w:t>
      </w:r>
      <w:r>
        <w:rPr>
          <w:spacing w:val="-2"/>
        </w:rPr>
        <w:t> </w:t>
      </w:r>
      <w:r>
        <w:rPr/>
        <w:t>Presidente</w:t>
        <w:tab/>
        <w:t>Haroldo Pinheiro Villar de Queiroz,</w:t>
      </w:r>
      <w:r>
        <w:rPr>
          <w:spacing w:val="-10"/>
        </w:rPr>
        <w:t> </w:t>
      </w:r>
      <w:r>
        <w:rPr/>
        <w:t>Presidente</w:t>
      </w:r>
    </w:p>
    <w:p>
      <w:pPr>
        <w:pStyle w:val="Heading1"/>
        <w:tabs>
          <w:tab w:pos="4153" w:val="left" w:leader="none"/>
        </w:tabs>
      </w:pPr>
      <w:r>
        <w:rPr/>
        <w:t>NCARB</w:t>
        <w:tab/>
        <w:t>CAU/BR</w:t>
      </w:r>
    </w:p>
    <w:p>
      <w:pPr>
        <w:tabs>
          <w:tab w:pos="4153" w:val="left" w:leader="none"/>
        </w:tabs>
        <w:spacing w:line="247" w:lineRule="exact" w:before="1"/>
        <w:ind w:left="102" w:right="0" w:firstLine="0"/>
        <w:jc w:val="left"/>
        <w:rPr>
          <w:sz w:val="22"/>
        </w:rPr>
      </w:pPr>
      <w:r>
        <w:rPr>
          <w:sz w:val="22"/>
        </w:rPr>
        <w:t>1801 K Street NW,</w:t>
      </w:r>
      <w:r>
        <w:rPr>
          <w:spacing w:val="51"/>
          <w:sz w:val="22"/>
        </w:rPr>
        <w:t> </w:t>
      </w:r>
      <w:r>
        <w:rPr>
          <w:sz w:val="22"/>
        </w:rPr>
        <w:t>Suite</w:t>
      </w:r>
      <w:r>
        <w:rPr>
          <w:spacing w:val="-1"/>
          <w:sz w:val="22"/>
        </w:rPr>
        <w:t> </w:t>
      </w:r>
      <w:r>
        <w:rPr>
          <w:sz w:val="22"/>
        </w:rPr>
        <w:t>700K</w:t>
        <w:tab/>
        <w:t>SCS Qd 02 B1.</w:t>
      </w:r>
      <w:r>
        <w:rPr>
          <w:spacing w:val="-2"/>
          <w:sz w:val="22"/>
        </w:rPr>
        <w:t> </w:t>
      </w:r>
      <w:r>
        <w:rPr>
          <w:sz w:val="22"/>
        </w:rPr>
        <w:t>C</w:t>
      </w:r>
    </w:p>
    <w:p>
      <w:pPr>
        <w:tabs>
          <w:tab w:pos="4153" w:val="left" w:leader="none"/>
        </w:tabs>
        <w:spacing w:line="247" w:lineRule="exact" w:before="0"/>
        <w:ind w:left="102" w:right="0" w:firstLine="0"/>
        <w:jc w:val="left"/>
        <w:rPr>
          <w:sz w:val="22"/>
        </w:rPr>
      </w:pPr>
      <w:r>
        <w:rPr>
          <w:sz w:val="22"/>
        </w:rPr>
        <w:t>Washington,</w:t>
      </w:r>
      <w:r>
        <w:rPr>
          <w:spacing w:val="-5"/>
          <w:sz w:val="22"/>
        </w:rPr>
        <w:t> </w:t>
      </w:r>
      <w:r>
        <w:rPr>
          <w:sz w:val="22"/>
        </w:rPr>
        <w:t>DC</w:t>
      </w:r>
      <w:r>
        <w:rPr>
          <w:spacing w:val="52"/>
          <w:sz w:val="22"/>
        </w:rPr>
        <w:t> </w:t>
      </w:r>
      <w:r>
        <w:rPr>
          <w:sz w:val="22"/>
        </w:rPr>
        <w:t>20006</w:t>
        <w:tab/>
        <w:t>Ed. Serra Dourada, Salas</w:t>
      </w:r>
      <w:r>
        <w:rPr>
          <w:spacing w:val="1"/>
          <w:sz w:val="22"/>
        </w:rPr>
        <w:t> </w:t>
      </w:r>
      <w:r>
        <w:rPr>
          <w:sz w:val="22"/>
        </w:rPr>
        <w:t>401/409</w:t>
      </w:r>
    </w:p>
    <w:p>
      <w:pPr>
        <w:tabs>
          <w:tab w:pos="4153" w:val="left" w:leader="none"/>
        </w:tabs>
        <w:spacing w:before="0"/>
        <w:ind w:left="4153" w:right="2530" w:hanging="4052"/>
        <w:jc w:val="left"/>
        <w:rPr>
          <w:sz w:val="22"/>
        </w:rPr>
      </w:pPr>
      <w:r>
        <w:rPr>
          <w:sz w:val="22"/>
        </w:rPr>
        <w:t>United States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America</w:t>
        <w:tab/>
        <w:t>70.711-903 Brasilia/DF Brazil</w:t>
      </w: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2555" w:right="2555"/>
        <w:jc w:val="center"/>
      </w:pPr>
      <w:r>
        <w:rPr/>
        <w:t>Testemunhado por: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4153" w:val="left" w:leader="none"/>
        </w:tabs>
        <w:spacing w:line="269" w:lineRule="exact"/>
        <w:ind w:left="102"/>
      </w:pPr>
      <w:r>
        <w:rPr/>
        <w:t>Stephen Nutt, Advisor to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CEO</w:t>
        <w:tab/>
        <w:t>Fernando Diniz Moreira, Conselheiro</w:t>
      </w:r>
      <w:r>
        <w:rPr>
          <w:spacing w:val="-7"/>
        </w:rPr>
        <w:t> </w:t>
      </w:r>
      <w:r>
        <w:rPr/>
        <w:t>Federal</w:t>
      </w:r>
    </w:p>
    <w:p>
      <w:pPr>
        <w:pStyle w:val="Heading1"/>
        <w:tabs>
          <w:tab w:pos="4153" w:val="left" w:leader="none"/>
        </w:tabs>
      </w:pPr>
      <w:r>
        <w:rPr/>
        <w:t>NCARB</w:t>
        <w:tab/>
        <w:t>CAU/BR</w:t>
      </w:r>
    </w:p>
    <w:p>
      <w:pPr>
        <w:tabs>
          <w:tab w:pos="4153" w:val="left" w:leader="none"/>
        </w:tabs>
        <w:spacing w:line="247" w:lineRule="exact" w:before="2"/>
        <w:ind w:left="102" w:right="0" w:firstLine="0"/>
        <w:jc w:val="left"/>
        <w:rPr>
          <w:sz w:val="22"/>
        </w:rPr>
      </w:pPr>
      <w:r>
        <w:rPr>
          <w:sz w:val="22"/>
        </w:rPr>
        <w:t>1801 K Street NW,</w:t>
      </w:r>
      <w:r>
        <w:rPr>
          <w:spacing w:val="51"/>
          <w:sz w:val="22"/>
        </w:rPr>
        <w:t> </w:t>
      </w:r>
      <w:r>
        <w:rPr>
          <w:sz w:val="22"/>
        </w:rPr>
        <w:t>Suite</w:t>
      </w:r>
      <w:r>
        <w:rPr>
          <w:spacing w:val="-1"/>
          <w:sz w:val="22"/>
        </w:rPr>
        <w:t> </w:t>
      </w:r>
      <w:r>
        <w:rPr>
          <w:sz w:val="22"/>
        </w:rPr>
        <w:t>700K</w:t>
        <w:tab/>
        <w:t>SCS Qd 02 B1.</w:t>
      </w:r>
      <w:r>
        <w:rPr>
          <w:spacing w:val="-2"/>
          <w:sz w:val="22"/>
        </w:rPr>
        <w:t> </w:t>
      </w:r>
      <w:r>
        <w:rPr>
          <w:sz w:val="22"/>
        </w:rPr>
        <w:t>C</w:t>
      </w:r>
    </w:p>
    <w:p>
      <w:pPr>
        <w:tabs>
          <w:tab w:pos="4153" w:val="left" w:leader="none"/>
        </w:tabs>
        <w:spacing w:line="247" w:lineRule="exact" w:before="0"/>
        <w:ind w:left="102" w:right="0" w:firstLine="0"/>
        <w:jc w:val="left"/>
        <w:rPr>
          <w:sz w:val="22"/>
        </w:rPr>
      </w:pPr>
      <w:r>
        <w:rPr>
          <w:sz w:val="22"/>
        </w:rPr>
        <w:t>Washington,</w:t>
      </w:r>
      <w:r>
        <w:rPr>
          <w:spacing w:val="-5"/>
          <w:sz w:val="22"/>
        </w:rPr>
        <w:t> </w:t>
      </w:r>
      <w:r>
        <w:rPr>
          <w:sz w:val="22"/>
        </w:rPr>
        <w:t>DC</w:t>
      </w:r>
      <w:r>
        <w:rPr>
          <w:spacing w:val="52"/>
          <w:sz w:val="22"/>
        </w:rPr>
        <w:t> </w:t>
      </w:r>
      <w:r>
        <w:rPr>
          <w:sz w:val="22"/>
        </w:rPr>
        <w:t>20006</w:t>
        <w:tab/>
        <w:t>Ed. Serra Dourada, Salas</w:t>
      </w:r>
      <w:r>
        <w:rPr>
          <w:spacing w:val="1"/>
          <w:sz w:val="22"/>
        </w:rPr>
        <w:t> </w:t>
      </w:r>
      <w:r>
        <w:rPr>
          <w:sz w:val="22"/>
        </w:rPr>
        <w:t>401/409</w:t>
      </w:r>
    </w:p>
    <w:p>
      <w:pPr>
        <w:tabs>
          <w:tab w:pos="4153" w:val="left" w:leader="none"/>
        </w:tabs>
        <w:spacing w:before="0"/>
        <w:ind w:left="4153" w:right="2530" w:hanging="4052"/>
        <w:jc w:val="left"/>
        <w:rPr>
          <w:sz w:val="22"/>
        </w:rPr>
      </w:pPr>
      <w:r>
        <w:rPr>
          <w:sz w:val="22"/>
        </w:rPr>
        <w:t>United States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America</w:t>
        <w:tab/>
        <w:t>70.711-903 Brasilia/DF Brazil</w:t>
      </w:r>
    </w:p>
    <w:sectPr>
      <w:pgSz w:w="11910" w:h="16840"/>
      <w:pgMar w:header="607" w:footer="0" w:top="154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223">
          <wp:simplePos x="0" y="0"/>
          <wp:positionH relativeFrom="page">
            <wp:posOffset>4762213</wp:posOffset>
          </wp:positionH>
          <wp:positionV relativeFrom="page">
            <wp:posOffset>385354</wp:posOffset>
          </wp:positionV>
          <wp:extent cx="2257230" cy="599258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7230" cy="599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2247">
          <wp:simplePos x="0" y="0"/>
          <wp:positionH relativeFrom="page">
            <wp:posOffset>480059</wp:posOffset>
          </wp:positionH>
          <wp:positionV relativeFrom="page">
            <wp:posOffset>390524</wp:posOffset>
          </wp:positionV>
          <wp:extent cx="2207894" cy="50482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07894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608" w:hanging="36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397" w:hanging="3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85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74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63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51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40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129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line="269" w:lineRule="exact"/>
      <w:ind w:left="102"/>
      <w:outlineLvl w:val="1"/>
    </w:pPr>
    <w:rPr>
      <w:rFonts w:ascii="Garamond" w:hAnsi="Garamond" w:eastAsia="Garamond" w:cs="Garamond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822" w:right="104" w:hanging="360"/>
    </w:pPr>
    <w:rPr>
      <w:rFonts w:ascii="Garamond" w:hAnsi="Garamond" w:eastAsia="Garamond" w:cs="Garamond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Cons. Fernando Diniz</dc:creator>
  <dcterms:created xsi:type="dcterms:W3CDTF">2019-04-12T17:57:51Z</dcterms:created>
  <dcterms:modified xsi:type="dcterms:W3CDTF">2019-04-12T17:57:51Z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