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62.304001pt,780.935974pt" to="550.924001pt,780.935974pt" stroked="true" strokeweight="1.44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before="52"/>
        <w:ind w:left="1640"/>
      </w:pPr>
      <w:r>
        <w:rPr/>
        <w:t>DELIBERAÇÃO PLENÁRIA N° 26, DE 5 DE DEZEMBRO DE 2013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5" w:right="106"/>
        <w:jc w:val="both"/>
      </w:pPr>
      <w:r>
        <w:rPr/>
        <w:t>Designa a Comissão Organizadora da Primeira Conferência Nacional de Arquitetura e Urbanismo e dá outras</w:t>
      </w:r>
      <w:r>
        <w:rPr>
          <w:spacing w:val="-4"/>
        </w:rPr>
        <w:t> </w:t>
      </w:r>
      <w:r>
        <w:rPr/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O Conselho de Arquitetura e Urbanismo do Brasil (CAU/BR), no exercício das competências de que tratam o art. 28, incisos II e X da Lei n° 12.378, de 31 de dezembro de 2010, e os artigos 2°, inciso VI, 3°, inciso V, e 9°, incisos XXXVIII e XXXVI do Regimento Geral aprovado pela Resolução CAU/BR n° 33, de 6 de setembro de 2012, cumprindo o disposto no art. 3° da Resolução CAU/BR n° 53, de 6 de setembro de 2013, e de acordo com a deliberação adotada na Reunião Plenária Ordinária n° 25, realizada no dia 5 de dezembro de 2013;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DELIBERA: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02" w:right="109" w:firstLine="0"/>
        <w:jc w:val="left"/>
        <w:rPr>
          <w:sz w:val="24"/>
        </w:rPr>
      </w:pPr>
      <w:r>
        <w:rPr>
          <w:sz w:val="24"/>
        </w:rPr>
        <w:t>A Comissão Temporária Organizadora da Primeira Conferência Nacional de Arquitetura e Urbanismo terá a seguinte</w:t>
      </w:r>
      <w:r>
        <w:rPr>
          <w:spacing w:val="-2"/>
          <w:sz w:val="24"/>
        </w:rPr>
        <w:t> </w:t>
      </w:r>
      <w:r>
        <w:rPr>
          <w:sz w:val="24"/>
        </w:rPr>
        <w:t>composição: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40" w:lineRule="auto" w:before="1" w:after="0"/>
        <w:ind w:left="464" w:right="0" w:hanging="362"/>
        <w:jc w:val="left"/>
        <w:rPr>
          <w:sz w:val="24"/>
        </w:rPr>
      </w:pPr>
      <w:r>
        <w:rPr>
          <w:sz w:val="24"/>
        </w:rPr>
        <w:t>- o presidente do CAU/BR, Arquiteto e Urbanista Haroldo Pinheiro Villar de</w:t>
      </w:r>
      <w:r>
        <w:rPr>
          <w:spacing w:val="-18"/>
          <w:sz w:val="24"/>
        </w:rPr>
        <w:t> </w:t>
      </w:r>
      <w:r>
        <w:rPr>
          <w:sz w:val="24"/>
        </w:rPr>
        <w:t>Queiroz;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um membro indicado pela Comissão de Exercício Profissional, Arquiteto e Urbanista Silvio Carvajal</w:t>
      </w:r>
      <w:r>
        <w:rPr>
          <w:spacing w:val="-1"/>
          <w:sz w:val="24"/>
        </w:rPr>
        <w:t> </w:t>
      </w:r>
      <w:r>
        <w:rPr>
          <w:sz w:val="24"/>
        </w:rPr>
        <w:t>Feitosa;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0" w:after="0"/>
        <w:ind w:left="102" w:right="107" w:firstLine="0"/>
        <w:jc w:val="left"/>
        <w:rPr>
          <w:sz w:val="24"/>
        </w:rPr>
      </w:pPr>
      <w:r>
        <w:rPr>
          <w:sz w:val="24"/>
        </w:rPr>
        <w:t>- um membro indicado pela Comissão de Organização e Administração, Arquiteto e Urbanista Celso</w:t>
      </w:r>
      <w:r>
        <w:rPr>
          <w:spacing w:val="1"/>
          <w:sz w:val="24"/>
        </w:rPr>
        <w:t> </w:t>
      </w:r>
      <w:r>
        <w:rPr>
          <w:sz w:val="24"/>
        </w:rPr>
        <w:t>Costa;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102" w:right="106" w:firstLine="0"/>
        <w:jc w:val="left"/>
        <w:rPr>
          <w:sz w:val="24"/>
        </w:rPr>
      </w:pPr>
      <w:r>
        <w:rPr>
          <w:sz w:val="24"/>
        </w:rPr>
        <w:t>- um membro indicado pela Comissão de Planejamento e Finanças, Arquiteta e Urbanista Cláudia Teresa Pereira</w:t>
      </w:r>
      <w:r>
        <w:rPr>
          <w:spacing w:val="-3"/>
          <w:sz w:val="24"/>
        </w:rPr>
        <w:t> </w:t>
      </w:r>
      <w:r>
        <w:rPr>
          <w:sz w:val="24"/>
        </w:rPr>
        <w:t>Pires;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um membro indicado pela Comissão de Ensino e Formação, Arquiteto e Urbanista Marcelo Augusto Costa</w:t>
      </w:r>
      <w:r>
        <w:rPr>
          <w:spacing w:val="-3"/>
          <w:sz w:val="24"/>
        </w:rPr>
        <w:t> </w:t>
      </w:r>
      <w:r>
        <w:rPr>
          <w:sz w:val="24"/>
        </w:rPr>
        <w:t>Maciel;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2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um membro indicado pela Comissão de Ética e Disciplina, Arquiteto e Urbanista Napoleão Ferreira da silva</w:t>
      </w:r>
      <w:r>
        <w:rPr>
          <w:spacing w:val="-4"/>
          <w:sz w:val="24"/>
        </w:rPr>
        <w:t> </w:t>
      </w:r>
      <w:r>
        <w:rPr>
          <w:sz w:val="24"/>
        </w:rPr>
        <w:t>Neto;</w:t>
      </w: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89" w:lineRule="exact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- um membro indicado pelo CEAU, Arquiteto e Urbanista Sérgio Ferraz</w:t>
      </w:r>
      <w:r>
        <w:rPr>
          <w:spacing w:val="-15"/>
          <w:sz w:val="24"/>
        </w:rPr>
        <w:t> </w:t>
      </w:r>
      <w:r>
        <w:rPr>
          <w:sz w:val="24"/>
        </w:rPr>
        <w:t>Magalhães.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09" w:firstLine="0"/>
        <w:jc w:val="left"/>
        <w:rPr>
          <w:sz w:val="24"/>
        </w:rPr>
      </w:pPr>
      <w:r>
        <w:rPr>
          <w:sz w:val="24"/>
        </w:rPr>
        <w:t>A Comissão Temporária Organizadora de que trata esta Deliberação será presidida pelo Presidente do CAU/BR, Arquiteto e Urbanista HAROLDO PINHEIRO VILLAR DE</w:t>
      </w:r>
      <w:r>
        <w:rPr>
          <w:spacing w:val="-18"/>
          <w:sz w:val="24"/>
        </w:rPr>
        <w:t> </w:t>
      </w:r>
      <w:r>
        <w:rPr>
          <w:sz w:val="24"/>
        </w:rPr>
        <w:t>QUEIROZ.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O mandato da Comissão Temporária Organizadora da Primeira Conferência Nacional de Arquitetura e Urbanismo tem início na data desta Deliberação e se estenderá até 30 de junho de 2014, podendo ser prorrogado no caso de necessidades relacionadas à conclusão dos trabalhos.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6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576" w:right="2583"/>
        <w:jc w:val="center"/>
      </w:pPr>
      <w:r>
        <w:rPr/>
        <w:t>Brasília, 5 de dezembro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2576" w:right="2584"/>
        <w:jc w:val="center"/>
      </w:pPr>
      <w:r>
        <w:rPr/>
        <w:t>HAROLDO PINHEIRO VILLAR DE QUEIROZ</w:t>
      </w:r>
    </w:p>
    <w:p>
      <w:pPr>
        <w:pStyle w:val="BodyText"/>
        <w:ind w:left="2575" w:right="2584"/>
        <w:jc w:val="center"/>
      </w:pPr>
      <w:r>
        <w:rPr/>
        <w:t>Presidente do CAU/BR</w:t>
      </w:r>
    </w:p>
    <w:p>
      <w:pPr>
        <w:pStyle w:val="BodyText"/>
        <w:spacing w:before="10"/>
        <w:rPr>
          <w:sz w:val="26"/>
        </w:rPr>
      </w:pPr>
    </w:p>
    <w:p>
      <w:pPr>
        <w:spacing w:line="288" w:lineRule="auto" w:before="93"/>
        <w:ind w:left="1263" w:right="545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5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4" w:hanging="36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439" w:hanging="36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19" w:hanging="36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399" w:hanging="36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379" w:hanging="36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59" w:hanging="36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39" w:hanging="36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19" w:hanging="36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2019-04-12T17:44:21Z</dcterms:created>
  <dcterms:modified xsi:type="dcterms:W3CDTF">2019-04-12T17:44:21Z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