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12pt;margin-top:12pt;width:818pt;height:571pt;mso-position-horizontal-relative:page;mso-position-vertical-relative:page;z-index:-148048" coordorigin="240,240" coordsize="16360,11420">
            <v:shape style="position:absolute;left:240;top:240;width:16360;height:11420" type="#_x0000_t75" stroked="false">
              <v:imagedata r:id="rId5" o:title=""/>
            </v:shape>
            <v:shape style="position:absolute;left:398;top:9672;width:4656;height:1335" type="#_x0000_t75" stroked="false">
              <v:imagedata r:id="rId6" o:title=""/>
            </v:shape>
            <w10:wrap type="none"/>
          </v:group>
        </w:pict>
      </w:r>
    </w:p>
    <w:p>
      <w:pPr>
        <w:pStyle w:val="BodyText"/>
        <w:spacing w:before="6"/>
        <w:rPr>
          <w:rFonts w:ascii="Times New Roman"/>
          <w:sz w:val="24"/>
        </w:rPr>
      </w:pPr>
    </w:p>
    <w:p>
      <w:pPr>
        <w:spacing w:line="172" w:lineRule="auto" w:before="152"/>
        <w:ind w:left="5985" w:right="2070" w:hanging="1492"/>
        <w:jc w:val="left"/>
        <w:rPr>
          <w:rFonts w:ascii="Arial Unicode MS" w:hAnsi="Arial Unicode MS"/>
          <w:sz w:val="43"/>
        </w:rPr>
      </w:pPr>
      <w:r>
        <w:rPr>
          <w:rFonts w:ascii="Arial Unicode MS" w:hAnsi="Arial Unicode MS"/>
          <w:color w:val="D9D9D9"/>
          <w:sz w:val="43"/>
        </w:rPr>
        <w:t>Manual de Fiscalização do Exercício da Arquitetura e Urbanismo</w:t>
      </w:r>
    </w:p>
    <w:p>
      <w:pPr>
        <w:spacing w:after="0" w:line="172" w:lineRule="auto"/>
        <w:jc w:val="left"/>
        <w:rPr>
          <w:rFonts w:ascii="Arial Unicode MS" w:hAnsi="Arial Unicode MS"/>
          <w:sz w:val="43"/>
        </w:rPr>
        <w:sectPr>
          <w:type w:val="continuous"/>
          <w:pgSz w:w="16840" w:h="11900" w:orient="landscape"/>
          <w:pgMar w:top="1100" w:bottom="280" w:left="140" w:right="860"/>
        </w:sectPr>
      </w:pPr>
    </w:p>
    <w:p>
      <w:pPr>
        <w:pStyle w:val="BodyText"/>
        <w:spacing w:before="17"/>
        <w:rPr>
          <w:rFonts w:ascii="Arial Unicode MS"/>
          <w:sz w:val="7"/>
        </w:rPr>
      </w:pPr>
      <w:r>
        <w:rPr/>
        <w:pict>
          <v:shapetype id="_x0000_t202" o:spt="202" coordsize="21600,21600" path="m,l,21600r21600,l21600,xe">
            <v:stroke joinstyle="miter"/>
            <v:path gradientshapeok="t" o:connecttype="rect"/>
          </v:shapetype>
          <v:shape style="position:absolute;margin-left:362.753387pt;margin-top:36.060001pt;width:292.1pt;height:13.5pt;mso-position-horizontal-relative:page;mso-position-vertical-relative:page;z-index:-147976" type="#_x0000_t202" filled="false" stroked="false">
            <v:textbox inset="0,0,0,0">
              <w:txbxContent>
                <w:p>
                  <w:pPr>
                    <w:spacing w:before="0"/>
                    <w:ind w:left="0" w:right="0" w:firstLine="0"/>
                    <w:jc w:val="left"/>
                    <w:rPr>
                      <w:rFonts w:ascii="DaxCondensed" w:hAnsi="DaxCondensed"/>
                      <w:sz w:val="24"/>
                    </w:rPr>
                  </w:pPr>
                  <w:r>
                    <w:rPr>
                      <w:rFonts w:ascii="DaxCondensed" w:hAnsi="DaxCondensed"/>
                      <w:color w:val="00666D"/>
                      <w:sz w:val="24"/>
                    </w:rPr>
                    <w:t>- Manual de Fiscalização do Exercício da Arquitetura e Urbanismo -</w:t>
                  </w:r>
                </w:p>
              </w:txbxContent>
            </v:textbox>
            <w10:wrap type="none"/>
          </v:shape>
        </w:pict>
      </w:r>
      <w:r>
        <w:rPr/>
        <w:pict>
          <v:shape style="position:absolute;margin-left:76.088127pt;margin-top:559.892090pt;width:17.75pt;height:11pt;mso-position-horizontal-relative:page;mso-position-vertical-relative:page;z-index:-147952" type="#_x0000_t202" filled="false" stroked="false">
            <v:textbox inset="0,0,0,0">
              <w:txbxContent>
                <w:p>
                  <w:pPr>
                    <w:pStyle w:val="BodyText"/>
                  </w:pPr>
                  <w:r>
                    <w:rPr>
                      <w:color w:val="FFFFFF"/>
                      <w:w w:val="105"/>
                    </w:rPr>
                    <w:t>- 1 -</w:t>
                  </w:r>
                </w:p>
              </w:txbxContent>
            </v:textbox>
            <w10:wrap type="none"/>
          </v:shape>
        </w:pict>
      </w:r>
      <w:r>
        <w:rPr/>
        <w:pict>
          <v:shape style="position:absolute;margin-left:12.000001pt;margin-top:11.999972pt;width:158.2pt;height:571pt;mso-position-horizontal-relative:page;mso-position-vertical-relative:page;z-index:1144" coordorigin="240,240" coordsize="3164,11420" path="m3403,240l240,240,240,11660,1378,11660,2045,11660,3403,11660,3403,240e" filled="true" fillcolor="#00666d" stroked="false">
            <v:path arrowok="t"/>
            <v:fill type="solid"/>
            <w10:wrap type="none"/>
          </v:shape>
        </w:pict>
      </w:r>
    </w:p>
    <w:p>
      <w:pPr>
        <w:pStyle w:val="BodyText"/>
        <w:ind w:left="5783"/>
        <w:rPr>
          <w:rFonts w:ascii="Arial Unicode MS"/>
          <w:sz w:val="20"/>
        </w:rPr>
      </w:pPr>
      <w:r>
        <w:rPr>
          <w:rFonts w:ascii="Arial Unicode MS"/>
          <w:sz w:val="20"/>
        </w:rPr>
        <w:pict>
          <v:group style="width:359.3pt;height:51.15pt;mso-position-horizontal-relative:char;mso-position-vertical-relative:line" coordorigin="0,0" coordsize="7186,1023">
            <v:rect style="position:absolute;left:0;top:0;width:7186;height:1023" filled="true" fillcolor="#ffffff" stroked="false">
              <v:fill type="solid"/>
            </v:rect>
          </v:group>
        </w:pict>
      </w:r>
      <w:r>
        <w:rPr>
          <w:rFonts w:ascii="Arial Unicode MS"/>
          <w:sz w:val="20"/>
        </w:rPr>
      </w:r>
    </w:p>
    <w:p>
      <w:pPr>
        <w:pStyle w:val="BodyText"/>
        <w:rPr>
          <w:rFonts w:ascii="Arial Unicode MS"/>
          <w:sz w:val="20"/>
        </w:rPr>
      </w:pPr>
    </w:p>
    <w:p>
      <w:pPr>
        <w:pStyle w:val="BodyText"/>
        <w:spacing w:before="2"/>
        <w:rPr>
          <w:rFonts w:ascii="Arial Unicode MS"/>
          <w:sz w:val="23"/>
        </w:rPr>
      </w:pPr>
      <w:r>
        <w:rPr/>
        <w:drawing>
          <wp:anchor distT="0" distB="0" distL="0" distR="0" allowOverlap="1" layoutInCell="1" locked="0" behindDoc="0" simplePos="0" relativeHeight="2">
            <wp:simplePos x="0" y="0"/>
            <wp:positionH relativeFrom="page">
              <wp:posOffset>5534249</wp:posOffset>
            </wp:positionH>
            <wp:positionV relativeFrom="paragraph">
              <wp:posOffset>301012</wp:posOffset>
            </wp:positionV>
            <wp:extent cx="1684146" cy="1723644"/>
            <wp:effectExtent l="0" t="0" r="0" b="0"/>
            <wp:wrapTopAndBottom/>
            <wp:docPr id="1" name="image3.jpeg" descr=""/>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1684146" cy="1723644"/>
                    </a:xfrm>
                    <a:prstGeom prst="rect">
                      <a:avLst/>
                    </a:prstGeom>
                  </pic:spPr>
                </pic:pic>
              </a:graphicData>
            </a:graphic>
          </wp:anchor>
        </w:drawing>
      </w:r>
    </w:p>
    <w:p>
      <w:pPr>
        <w:pStyle w:val="BodyText"/>
        <w:rPr>
          <w:rFonts w:ascii="Arial Unicode MS"/>
          <w:sz w:val="20"/>
        </w:rPr>
      </w:pPr>
    </w:p>
    <w:p>
      <w:pPr>
        <w:pStyle w:val="BodyText"/>
        <w:spacing w:before="17"/>
        <w:rPr>
          <w:rFonts w:ascii="Arial Unicode MS"/>
          <w:sz w:val="11"/>
        </w:rPr>
      </w:pPr>
    </w:p>
    <w:p>
      <w:pPr>
        <w:spacing w:line="201" w:lineRule="auto" w:before="89"/>
        <w:ind w:left="5086" w:right="1158" w:firstLine="0"/>
        <w:jc w:val="center"/>
        <w:rPr>
          <w:rFonts w:ascii="Arial Unicode MS"/>
          <w:b/>
          <w:sz w:val="31"/>
        </w:rPr>
      </w:pPr>
      <w:r>
        <w:rPr>
          <w:rFonts w:ascii="Arial Unicode MS"/>
          <w:b/>
          <w:color w:val="00666D"/>
          <w:spacing w:val="24"/>
          <w:sz w:val="31"/>
        </w:rPr>
        <w:t>CONSELHO </w:t>
      </w:r>
      <w:r>
        <w:rPr>
          <w:rFonts w:ascii="Arial Unicode MS"/>
          <w:b/>
          <w:color w:val="00666D"/>
          <w:spacing w:val="14"/>
          <w:sz w:val="31"/>
        </w:rPr>
        <w:t>DE </w:t>
      </w:r>
      <w:r>
        <w:rPr>
          <w:rFonts w:ascii="Arial Unicode MS"/>
          <w:b/>
          <w:color w:val="00666D"/>
          <w:spacing w:val="25"/>
          <w:sz w:val="31"/>
        </w:rPr>
        <w:t>ARQUITETURA </w:t>
      </w:r>
      <w:r>
        <w:rPr>
          <w:rFonts w:ascii="Arial Unicode MS"/>
          <w:b/>
          <w:color w:val="00666D"/>
          <w:sz w:val="31"/>
        </w:rPr>
        <w:t>E </w:t>
      </w:r>
      <w:r>
        <w:rPr>
          <w:rFonts w:ascii="Arial Unicode MS"/>
          <w:b/>
          <w:color w:val="00666D"/>
          <w:spacing w:val="25"/>
          <w:sz w:val="31"/>
        </w:rPr>
        <w:t>URBANISMO </w:t>
      </w:r>
      <w:r>
        <w:rPr>
          <w:rFonts w:ascii="Arial Unicode MS"/>
          <w:b/>
          <w:color w:val="00666D"/>
          <w:spacing w:val="14"/>
          <w:sz w:val="31"/>
        </w:rPr>
        <w:t>DO </w:t>
      </w:r>
      <w:r>
        <w:rPr>
          <w:rFonts w:ascii="Arial Unicode MS"/>
          <w:b/>
          <w:color w:val="00666D"/>
          <w:spacing w:val="23"/>
          <w:sz w:val="31"/>
        </w:rPr>
        <w:t>BRASIL </w:t>
      </w:r>
      <w:r>
        <w:rPr>
          <w:rFonts w:ascii="Arial Unicode MS"/>
          <w:b/>
          <w:color w:val="00666D"/>
          <w:spacing w:val="22"/>
          <w:sz w:val="31"/>
        </w:rPr>
        <w:t>(CAU/</w:t>
      </w:r>
      <w:r>
        <w:rPr>
          <w:rFonts w:ascii="Arial Unicode MS"/>
          <w:b/>
          <w:color w:val="00666D"/>
          <w:spacing w:val="-59"/>
          <w:sz w:val="31"/>
        </w:rPr>
        <w:t> </w:t>
      </w:r>
      <w:r>
        <w:rPr>
          <w:rFonts w:ascii="Arial Unicode MS"/>
          <w:b/>
          <w:color w:val="00666D"/>
          <w:spacing w:val="19"/>
          <w:sz w:val="31"/>
        </w:rPr>
        <w:t>BR)</w:t>
      </w:r>
    </w:p>
    <w:p>
      <w:pPr>
        <w:spacing w:line="201" w:lineRule="auto" w:before="0"/>
        <w:ind w:left="6364" w:right="2435" w:firstLine="0"/>
        <w:jc w:val="center"/>
        <w:rPr>
          <w:rFonts w:ascii="Arial Unicode MS" w:hAnsi="Arial Unicode MS"/>
          <w:b/>
          <w:sz w:val="31"/>
        </w:rPr>
      </w:pPr>
      <w:r>
        <w:rPr>
          <w:rFonts w:ascii="Arial Unicode MS" w:hAnsi="Arial Unicode MS"/>
          <w:b/>
          <w:color w:val="00666D"/>
          <w:sz w:val="31"/>
        </w:rPr>
        <w:t>MANUAL DE FISCALIZAÇÃO DO EXERCÍCIO DA ARQUITETURA E URBANISMO</w:t>
      </w:r>
    </w:p>
    <w:p>
      <w:pPr>
        <w:pStyle w:val="BodyText"/>
        <w:spacing w:before="8"/>
        <w:rPr>
          <w:rFonts w:ascii="Arial Unicode MS"/>
          <w:b/>
          <w:sz w:val="28"/>
        </w:rPr>
      </w:pPr>
    </w:p>
    <w:p>
      <w:pPr>
        <w:spacing w:before="0"/>
        <w:ind w:left="5086" w:right="1130" w:firstLine="0"/>
        <w:jc w:val="center"/>
        <w:rPr>
          <w:rFonts w:ascii="Arial Unicode MS" w:hAnsi="Arial Unicode MS"/>
          <w:b/>
          <w:sz w:val="24"/>
        </w:rPr>
      </w:pPr>
      <w:r>
        <w:rPr>
          <w:rFonts w:ascii="Arial Unicode MS" w:hAnsi="Arial Unicode MS"/>
          <w:b/>
          <w:color w:val="00666D"/>
          <w:sz w:val="24"/>
        </w:rPr>
        <w:t>Brasília (DF), 5 de dezembro de 2012.</w:t>
      </w:r>
    </w:p>
    <w:p>
      <w:pPr>
        <w:spacing w:after="0"/>
        <w:jc w:val="center"/>
        <w:rPr>
          <w:rFonts w:ascii="Arial Unicode MS" w:hAnsi="Arial Unicode MS"/>
          <w:sz w:val="24"/>
        </w:rPr>
        <w:sectPr>
          <w:pgSz w:w="16840" w:h="11900" w:orient="landscape"/>
          <w:pgMar w:top="240" w:bottom="0" w:left="140" w:right="860"/>
        </w:sectPr>
      </w:pPr>
    </w:p>
    <w:p>
      <w:pPr>
        <w:pStyle w:val="BodyText"/>
        <w:spacing w:before="15"/>
        <w:rPr>
          <w:rFonts w:ascii="Arial Unicode MS"/>
          <w:b/>
          <w:sz w:val="15"/>
        </w:rPr>
      </w:pPr>
      <w:r>
        <w:rPr/>
        <w:pict>
          <v:shape style="position:absolute;margin-left:76.088127pt;margin-top:559.892090pt;width:17.75pt;height:11pt;mso-position-horizontal-relative:page;mso-position-vertical-relative:page;z-index:-147808" type="#_x0000_t202" filled="false" stroked="false">
            <v:textbox inset="0,0,0,0">
              <w:txbxContent>
                <w:p>
                  <w:pPr>
                    <w:pStyle w:val="BodyText"/>
                  </w:pPr>
                  <w:r>
                    <w:rPr>
                      <w:color w:val="FFFFFF"/>
                      <w:w w:val="105"/>
                    </w:rPr>
                    <w:t>- 2 -</w:t>
                  </w:r>
                </w:p>
              </w:txbxContent>
            </v:textbox>
            <w10:wrap type="none"/>
          </v:shape>
        </w:pict>
      </w:r>
      <w:r>
        <w:rPr/>
        <w:pict>
          <v:shape style="position:absolute;margin-left:12pt;margin-top:12pt;width:158.2pt;height:571pt;mso-position-horizontal-relative:page;mso-position-vertical-relative:page;z-index:1288" type="#_x0000_t202" filled="true" fillcolor="#00666d" stroked="false">
            <v:textbox inset="0,0,0,0">
              <w:txbxContent>
                <w:p>
                  <w:pPr>
                    <w:pStyle w:val="BodyText"/>
                    <w:rPr>
                      <w:rFonts w:ascii="Arial Unicode MS"/>
                      <w:sz w:val="40"/>
                    </w:rPr>
                  </w:pPr>
                </w:p>
                <w:p>
                  <w:pPr>
                    <w:pStyle w:val="BodyText"/>
                    <w:spacing w:before="5"/>
                    <w:rPr>
                      <w:rFonts w:ascii="Arial Unicode MS"/>
                      <w:sz w:val="23"/>
                    </w:rPr>
                  </w:pPr>
                </w:p>
                <w:p>
                  <w:pPr>
                    <w:spacing w:before="0"/>
                    <w:ind w:left="41" w:right="0" w:firstLine="0"/>
                    <w:jc w:val="left"/>
                    <w:rPr>
                      <w:rFonts w:ascii="DaxCondensed"/>
                      <w:sz w:val="36"/>
                    </w:rPr>
                  </w:pPr>
                  <w:r>
                    <w:rPr>
                      <w:rFonts w:ascii="DaxCondensed"/>
                      <w:color w:val="FFFFFF"/>
                      <w:sz w:val="36"/>
                    </w:rPr>
                    <w:t>CONSELHO DIRETOR</w:t>
                  </w:r>
                </w:p>
              </w:txbxContent>
            </v:textbox>
            <v:fill type="solid"/>
            <w10:wrap type="none"/>
          </v:shape>
        </w:pict>
      </w:r>
    </w:p>
    <w:p>
      <w:pPr>
        <w:pStyle w:val="BodyText"/>
        <w:ind w:left="5840"/>
        <w:rPr>
          <w:rFonts w:ascii="Arial Unicode MS"/>
          <w:sz w:val="20"/>
        </w:rPr>
      </w:pPr>
      <w:r>
        <w:rPr>
          <w:rFonts w:ascii="Arial Unicode MS"/>
          <w:sz w:val="20"/>
        </w:rPr>
        <w:pict>
          <v:group style="width:361.95pt;height:36.5pt;mso-position-horizontal-relative:char;mso-position-vertical-relative:line" coordorigin="0,0" coordsize="7239,730">
            <v:rect style="position:absolute;left:0;top:0;width:7239;height:730" filled="true" fillcolor="#ffffff" stroked="false">
              <v:fill type="solid"/>
            </v:rect>
          </v:group>
        </w:pict>
      </w:r>
      <w:r>
        <w:rPr>
          <w:rFonts w:ascii="Arial Unicode MS"/>
          <w:sz w:val="20"/>
        </w:rPr>
      </w:r>
    </w:p>
    <w:p>
      <w:pPr>
        <w:pStyle w:val="BodyText"/>
        <w:rPr>
          <w:rFonts w:ascii="Arial Unicode MS"/>
          <w:b/>
          <w:sz w:val="20"/>
        </w:rPr>
      </w:pPr>
    </w:p>
    <w:p>
      <w:pPr>
        <w:pStyle w:val="BodyText"/>
        <w:rPr>
          <w:rFonts w:ascii="Arial Unicode MS"/>
          <w:b/>
          <w:sz w:val="20"/>
        </w:rPr>
      </w:pPr>
    </w:p>
    <w:p>
      <w:pPr>
        <w:pStyle w:val="BodyText"/>
        <w:spacing w:before="9"/>
        <w:rPr>
          <w:rFonts w:ascii="Arial Unicode MS"/>
          <w:b/>
          <w:sz w:val="16"/>
        </w:rPr>
      </w:pPr>
      <w:r>
        <w:rPr/>
        <w:pict>
          <v:line style="position:absolute;mso-position-horizontal-relative:page;mso-position-vertical-relative:paragraph;z-index:-856;mso-wrap-distance-left:0;mso-wrap-distance-right:0" from="330.720001pt,17.723255pt" to="756.000001pt,17.723255pt" stroked="true" strokeweight=".480011pt" strokecolor="#9db5bc">
            <v:stroke dashstyle="solid"/>
            <w10:wrap type="topAndBottom"/>
          </v:line>
        </w:pict>
      </w:r>
    </w:p>
    <w:p>
      <w:pPr>
        <w:pStyle w:val="BodyText"/>
        <w:spacing w:before="14"/>
        <w:rPr>
          <w:rFonts w:ascii="Arial Unicode MS"/>
          <w:b/>
          <w:sz w:val="12"/>
        </w:rPr>
      </w:pPr>
    </w:p>
    <w:p>
      <w:pPr>
        <w:spacing w:line="389" w:lineRule="exact" w:before="43"/>
        <w:ind w:left="6364" w:right="748" w:firstLine="0"/>
        <w:jc w:val="center"/>
        <w:rPr>
          <w:rFonts w:ascii="Arial Unicode MS"/>
          <w:i/>
          <w:sz w:val="24"/>
        </w:rPr>
      </w:pPr>
      <w:r>
        <w:rPr/>
        <w:pict>
          <v:shape style="position:absolute;margin-left:362.753387pt;margin-top:-97.87188pt;width:292.1pt;height:13.5pt;mso-position-horizontal-relative:page;mso-position-vertical-relative:paragraph;z-index:-147832" type="#_x0000_t202" filled="false" stroked="false">
            <v:textbox inset="0,0,0,0">
              <w:txbxContent>
                <w:p>
                  <w:pPr>
                    <w:spacing w:before="0"/>
                    <w:ind w:left="0" w:right="0" w:firstLine="0"/>
                    <w:jc w:val="left"/>
                    <w:rPr>
                      <w:rFonts w:ascii="DaxCondensed" w:hAnsi="DaxCondensed"/>
                      <w:sz w:val="24"/>
                    </w:rPr>
                  </w:pPr>
                  <w:r>
                    <w:rPr>
                      <w:rFonts w:ascii="DaxCondensed" w:hAnsi="DaxCondensed"/>
                      <w:color w:val="00666D"/>
                      <w:sz w:val="24"/>
                    </w:rPr>
                    <w:t>- Manual de Fiscalização do Exercício da Arquitetura e Urbanismo -</w:t>
                  </w:r>
                </w:p>
              </w:txbxContent>
            </v:textbox>
            <w10:wrap type="none"/>
          </v:shape>
        </w:pict>
      </w:r>
      <w:r>
        <w:rPr>
          <w:rFonts w:ascii="Arial Unicode MS"/>
          <w:i/>
          <w:sz w:val="24"/>
        </w:rPr>
        <w:t>Haroldo Pinheiro Villar de Queiroz</w:t>
      </w:r>
    </w:p>
    <w:p>
      <w:pPr>
        <w:spacing w:line="343" w:lineRule="exact" w:before="0"/>
        <w:ind w:left="6364" w:right="748" w:firstLine="0"/>
        <w:jc w:val="center"/>
        <w:rPr>
          <w:rFonts w:ascii="Arial Unicode MS"/>
          <w:sz w:val="24"/>
        </w:rPr>
      </w:pPr>
      <w:r>
        <w:rPr>
          <w:rFonts w:ascii="Arial Unicode MS"/>
          <w:sz w:val="24"/>
        </w:rPr>
        <w:t>Presidente</w:t>
      </w:r>
    </w:p>
    <w:p>
      <w:pPr>
        <w:spacing w:line="343" w:lineRule="exact" w:before="0"/>
        <w:ind w:left="6364" w:right="748" w:firstLine="0"/>
        <w:jc w:val="center"/>
        <w:rPr>
          <w:rFonts w:ascii="Arial Unicode MS" w:hAnsi="Arial Unicode MS"/>
          <w:i/>
          <w:sz w:val="24"/>
        </w:rPr>
      </w:pPr>
      <w:r>
        <w:rPr>
          <w:rFonts w:ascii="Arial Unicode MS" w:hAnsi="Arial Unicode MS"/>
          <w:i/>
          <w:sz w:val="24"/>
        </w:rPr>
        <w:t>Antônio Francisco de Oliveira (PB)</w:t>
      </w:r>
    </w:p>
    <w:p>
      <w:pPr>
        <w:spacing w:line="341" w:lineRule="exact" w:before="0"/>
        <w:ind w:left="6364" w:right="748" w:firstLine="0"/>
        <w:jc w:val="center"/>
        <w:rPr>
          <w:rFonts w:ascii="Arial Unicode MS" w:hAnsi="Arial Unicode MS"/>
          <w:sz w:val="24"/>
        </w:rPr>
      </w:pPr>
      <w:r>
        <w:rPr>
          <w:rFonts w:ascii="Arial Unicode MS" w:hAnsi="Arial Unicode MS"/>
          <w:sz w:val="24"/>
        </w:rPr>
        <w:t>1º Vice Presidente ¦ Coordenador da Comissão de Exercício Profissional</w:t>
      </w:r>
    </w:p>
    <w:p>
      <w:pPr>
        <w:spacing w:line="341" w:lineRule="exact" w:before="0"/>
        <w:ind w:left="6364" w:right="748" w:firstLine="0"/>
        <w:jc w:val="center"/>
        <w:rPr>
          <w:rFonts w:ascii="Arial Unicode MS" w:hAnsi="Arial Unicode MS"/>
          <w:i/>
          <w:sz w:val="24"/>
        </w:rPr>
      </w:pPr>
      <w:r>
        <w:rPr>
          <w:rFonts w:ascii="Arial Unicode MS" w:hAnsi="Arial Unicode MS"/>
          <w:i/>
          <w:sz w:val="24"/>
        </w:rPr>
        <w:t>Napoleão Ferreira da Silva Neto (CE)</w:t>
      </w:r>
    </w:p>
    <w:p>
      <w:pPr>
        <w:spacing w:line="341" w:lineRule="exact" w:before="0"/>
        <w:ind w:left="6364" w:right="748" w:firstLine="0"/>
        <w:jc w:val="center"/>
        <w:rPr>
          <w:rFonts w:ascii="Arial Unicode MS" w:hAnsi="Arial Unicode MS"/>
          <w:sz w:val="24"/>
        </w:rPr>
      </w:pPr>
      <w:r>
        <w:rPr>
          <w:rFonts w:ascii="Arial Unicode MS" w:hAnsi="Arial Unicode MS"/>
          <w:sz w:val="24"/>
        </w:rPr>
        <w:t>2º Vice Presidente ¦ Coordenador da Comissão de Ética e Disciplina</w:t>
      </w:r>
    </w:p>
    <w:p>
      <w:pPr>
        <w:spacing w:line="341" w:lineRule="exact" w:before="0"/>
        <w:ind w:left="6364" w:right="748" w:firstLine="0"/>
        <w:jc w:val="center"/>
        <w:rPr>
          <w:rFonts w:ascii="Arial Unicode MS"/>
          <w:i/>
          <w:sz w:val="24"/>
        </w:rPr>
      </w:pPr>
      <w:r>
        <w:rPr>
          <w:rFonts w:ascii="Arial Unicode MS"/>
          <w:i/>
          <w:sz w:val="24"/>
        </w:rPr>
        <w:t>Anderson Fioreti Menezes (ES)</w:t>
      </w:r>
    </w:p>
    <w:p>
      <w:pPr>
        <w:spacing w:line="343" w:lineRule="exact" w:before="0"/>
        <w:ind w:left="6364" w:right="748" w:firstLine="0"/>
        <w:jc w:val="center"/>
        <w:rPr>
          <w:rFonts w:ascii="Arial Unicode MS" w:hAnsi="Arial Unicode MS"/>
          <w:sz w:val="24"/>
        </w:rPr>
      </w:pPr>
      <w:r>
        <w:rPr>
          <w:rFonts w:ascii="Arial Unicode MS" w:hAnsi="Arial Unicode MS"/>
          <w:sz w:val="24"/>
        </w:rPr>
        <w:t>Coordenador da Comissão de Organização e Administração</w:t>
      </w:r>
    </w:p>
    <w:p>
      <w:pPr>
        <w:spacing w:line="180" w:lineRule="auto" w:before="34"/>
        <w:ind w:left="7706" w:right="2070" w:firstLine="1360"/>
        <w:jc w:val="left"/>
        <w:rPr>
          <w:rFonts w:ascii="Arial Unicode MS" w:hAnsi="Arial Unicode MS"/>
          <w:i/>
          <w:sz w:val="24"/>
        </w:rPr>
      </w:pPr>
      <w:r>
        <w:rPr>
          <w:rFonts w:ascii="Arial Unicode MS" w:hAnsi="Arial Unicode MS"/>
          <w:i/>
          <w:sz w:val="24"/>
        </w:rPr>
        <w:t>Roberto Rodrigues Simon (SC) </w:t>
      </w:r>
      <w:r>
        <w:rPr>
          <w:rFonts w:ascii="Arial Unicode MS" w:hAnsi="Arial Unicode MS"/>
          <w:sz w:val="24"/>
        </w:rPr>
        <w:t>Coordenador da Comissão de Planejamento e Finanças </w:t>
      </w:r>
      <w:r>
        <w:rPr>
          <w:rFonts w:ascii="Arial Unicode MS" w:hAnsi="Arial Unicode MS"/>
          <w:i/>
          <w:sz w:val="24"/>
        </w:rPr>
        <w:t>José Roberto Geraldine Júnior (Inst. de Ensino Superior)</w:t>
      </w:r>
    </w:p>
    <w:p>
      <w:pPr>
        <w:spacing w:line="363" w:lineRule="exact" w:before="0"/>
        <w:ind w:left="6364" w:right="748" w:firstLine="0"/>
        <w:jc w:val="center"/>
        <w:rPr>
          <w:rFonts w:ascii="Arial Unicode MS" w:hAnsi="Arial Unicode MS"/>
          <w:sz w:val="24"/>
        </w:rPr>
      </w:pPr>
      <w:r>
        <w:rPr>
          <w:rFonts w:ascii="Arial Unicode MS" w:hAnsi="Arial Unicode MS"/>
          <w:sz w:val="24"/>
        </w:rPr>
        <w:t>Coordenador da Comissão de Ensino e Formação</w:t>
      </w:r>
    </w:p>
    <w:p>
      <w:pPr>
        <w:pStyle w:val="BodyText"/>
        <w:rPr>
          <w:rFonts w:ascii="Arial Unicode MS"/>
          <w:sz w:val="20"/>
        </w:rPr>
      </w:pPr>
    </w:p>
    <w:p>
      <w:pPr>
        <w:pStyle w:val="BodyText"/>
        <w:spacing w:before="16"/>
        <w:rPr>
          <w:rFonts w:ascii="Arial Unicode MS"/>
          <w:sz w:val="25"/>
        </w:rPr>
      </w:pPr>
      <w:r>
        <w:rPr/>
        <w:pict>
          <v:line style="position:absolute;mso-position-horizontal-relative:page;mso-position-vertical-relative:paragraph;z-index:-832;mso-wrap-distance-left:0;mso-wrap-distance-right:0" from="330.720001pt,26.547119pt" to="756.000001pt,26.547119pt" stroked="true" strokeweight=".479996pt" strokecolor="#9db5bc">
            <v:stroke dashstyle="solid"/>
            <w10:wrap type="topAndBottom"/>
          </v:line>
        </w:pict>
      </w:r>
    </w:p>
    <w:p>
      <w:pPr>
        <w:spacing w:after="0"/>
        <w:rPr>
          <w:rFonts w:ascii="Arial Unicode MS"/>
          <w:sz w:val="25"/>
        </w:rPr>
        <w:sectPr>
          <w:pgSz w:w="16840" w:h="11900" w:orient="landscape"/>
          <w:pgMar w:top="240" w:bottom="0" w:left="140" w:right="860"/>
        </w:sectPr>
      </w:pPr>
    </w:p>
    <w:p>
      <w:pPr>
        <w:pStyle w:val="BodyText"/>
        <w:spacing w:before="2"/>
        <w:rPr>
          <w:rFonts w:ascii="Arial Unicode MS"/>
        </w:rPr>
      </w:pPr>
      <w:r>
        <w:rPr/>
        <w:pict>
          <v:shape style="position:absolute;margin-left:362.753387pt;margin-top:36.060001pt;width:292.1pt;height:13.5pt;mso-position-horizontal-relative:page;mso-position-vertical-relative:page;z-index:-147736" type="#_x0000_t202" filled="false" stroked="false">
            <v:textbox inset="0,0,0,0">
              <w:txbxContent>
                <w:p>
                  <w:pPr>
                    <w:spacing w:before="0"/>
                    <w:ind w:left="0" w:right="0" w:firstLine="0"/>
                    <w:jc w:val="left"/>
                    <w:rPr>
                      <w:rFonts w:ascii="DaxCondensed" w:hAnsi="DaxCondensed"/>
                      <w:sz w:val="24"/>
                    </w:rPr>
                  </w:pPr>
                  <w:r>
                    <w:rPr>
                      <w:rFonts w:ascii="DaxCondensed" w:hAnsi="DaxCondensed"/>
                      <w:color w:val="00666D"/>
                      <w:sz w:val="24"/>
                    </w:rPr>
                    <w:t>- Manual de Fiscalização do Exercício da Arquitetura e Urbanismo -</w:t>
                  </w:r>
                </w:p>
              </w:txbxContent>
            </v:textbox>
            <w10:wrap type="none"/>
          </v:shape>
        </w:pict>
      </w:r>
      <w:r>
        <w:rPr/>
        <w:pict>
          <v:shape style="position:absolute;margin-left:76.088127pt;margin-top:559.892090pt;width:17.75pt;height:11pt;mso-position-horizontal-relative:page;mso-position-vertical-relative:page;z-index:-147712" type="#_x0000_t202" filled="false" stroked="false">
            <v:textbox inset="0,0,0,0">
              <w:txbxContent>
                <w:p>
                  <w:pPr>
                    <w:pStyle w:val="BodyText"/>
                  </w:pPr>
                  <w:r>
                    <w:rPr>
                      <w:color w:val="FFFFFF"/>
                      <w:w w:val="105"/>
                    </w:rPr>
                    <w:t>- 3 -</w:t>
                  </w:r>
                </w:p>
              </w:txbxContent>
            </v:textbox>
            <w10:wrap type="none"/>
          </v:shape>
        </w:pict>
      </w:r>
      <w:r>
        <w:rPr/>
        <w:pict>
          <v:shape style="position:absolute;margin-left:12pt;margin-top:12pt;width:158.2pt;height:571pt;mso-position-horizontal-relative:page;mso-position-vertical-relative:page;z-index:1432" type="#_x0000_t202" filled="true" fillcolor="#00666d" stroked="false">
            <v:textbox inset="0,0,0,0">
              <w:txbxContent>
                <w:p>
                  <w:pPr>
                    <w:pStyle w:val="BodyText"/>
                    <w:rPr>
                      <w:rFonts w:ascii="Arial Unicode MS"/>
                      <w:i/>
                      <w:sz w:val="40"/>
                    </w:rPr>
                  </w:pPr>
                </w:p>
                <w:p>
                  <w:pPr>
                    <w:pStyle w:val="BodyText"/>
                    <w:spacing w:before="5"/>
                    <w:rPr>
                      <w:rFonts w:ascii="Arial Unicode MS"/>
                      <w:i/>
                      <w:sz w:val="23"/>
                    </w:rPr>
                  </w:pPr>
                </w:p>
                <w:p>
                  <w:pPr>
                    <w:spacing w:before="0"/>
                    <w:ind w:left="41" w:right="0" w:firstLine="0"/>
                    <w:jc w:val="left"/>
                    <w:rPr>
                      <w:rFonts w:ascii="DaxCondensed" w:hAnsi="DaxCondensed"/>
                      <w:sz w:val="36"/>
                    </w:rPr>
                  </w:pPr>
                  <w:r>
                    <w:rPr>
                      <w:rFonts w:ascii="DaxCondensed" w:hAnsi="DaxCondensed"/>
                      <w:color w:val="FFFFFF"/>
                      <w:sz w:val="36"/>
                    </w:rPr>
                    <w:t>PLENÁRIO CAU/BR</w:t>
                  </w:r>
                </w:p>
              </w:txbxContent>
            </v:textbox>
            <v:fill type="solid"/>
            <w10:wrap type="none"/>
          </v:shape>
        </w:pict>
      </w:r>
    </w:p>
    <w:p>
      <w:pPr>
        <w:pStyle w:val="BodyText"/>
        <w:ind w:left="6748"/>
        <w:rPr>
          <w:rFonts w:ascii="Arial Unicode MS"/>
          <w:sz w:val="20"/>
        </w:rPr>
      </w:pPr>
      <w:r>
        <w:rPr>
          <w:rFonts w:ascii="Arial Unicode MS"/>
          <w:sz w:val="20"/>
        </w:rPr>
        <w:pict>
          <v:group style="width:321.4pt;height:20.65pt;mso-position-horizontal-relative:char;mso-position-vertical-relative:line" coordorigin="0,0" coordsize="6428,413">
            <v:rect style="position:absolute;left:0;top:0;width:6428;height:413" filled="true" fillcolor="#ffffff" stroked="false">
              <v:fill type="solid"/>
            </v:rect>
          </v:group>
        </w:pict>
      </w:r>
      <w:r>
        <w:rPr>
          <w:rFonts w:ascii="Arial Unicode MS"/>
          <w:sz w:val="20"/>
        </w:rPr>
      </w:r>
    </w:p>
    <w:p>
      <w:pPr>
        <w:pStyle w:val="BodyText"/>
        <w:spacing w:before="4"/>
        <w:rPr>
          <w:rFonts w:ascii="Arial Unicode MS"/>
          <w:sz w:val="17"/>
        </w:rPr>
      </w:pPr>
    </w:p>
    <w:tbl>
      <w:tblPr>
        <w:tblW w:w="0" w:type="auto"/>
        <w:jc w:val="left"/>
        <w:tblInd w:w="6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7"/>
        <w:gridCol w:w="3307"/>
        <w:gridCol w:w="3665"/>
      </w:tblGrid>
      <w:tr>
        <w:trPr>
          <w:trHeight w:val="273" w:hRule="atLeast"/>
        </w:trPr>
        <w:tc>
          <w:tcPr>
            <w:tcW w:w="967" w:type="dxa"/>
          </w:tcPr>
          <w:p>
            <w:pPr>
              <w:pStyle w:val="TableParagraph"/>
              <w:spacing w:line="254" w:lineRule="exact"/>
              <w:ind w:left="443"/>
              <w:rPr>
                <w:rFonts w:ascii="Arial Unicode MS"/>
                <w:b/>
                <w:sz w:val="16"/>
              </w:rPr>
            </w:pPr>
            <w:r>
              <w:rPr>
                <w:rFonts w:ascii="Arial Unicode MS"/>
                <w:b/>
                <w:color w:val="00666D"/>
                <w:sz w:val="16"/>
              </w:rPr>
              <w:t>UF </w:t>
            </w:r>
          </w:p>
        </w:tc>
        <w:tc>
          <w:tcPr>
            <w:tcW w:w="3307" w:type="dxa"/>
          </w:tcPr>
          <w:p>
            <w:pPr>
              <w:pStyle w:val="TableParagraph"/>
              <w:spacing w:line="254" w:lineRule="exact"/>
              <w:ind w:left="266"/>
              <w:rPr>
                <w:rFonts w:ascii="Arial Unicode MS"/>
                <w:b/>
                <w:sz w:val="16"/>
              </w:rPr>
            </w:pPr>
            <w:r>
              <w:rPr>
                <w:rFonts w:ascii="Arial Unicode MS"/>
                <w:b/>
                <w:color w:val="00666D"/>
                <w:sz w:val="16"/>
              </w:rPr>
              <w:t>TITULAR</w:t>
            </w:r>
          </w:p>
        </w:tc>
        <w:tc>
          <w:tcPr>
            <w:tcW w:w="3665" w:type="dxa"/>
          </w:tcPr>
          <w:p>
            <w:pPr>
              <w:pStyle w:val="TableParagraph"/>
              <w:spacing w:line="254" w:lineRule="exact"/>
              <w:ind w:left="367"/>
              <w:rPr>
                <w:rFonts w:ascii="Arial Unicode MS"/>
                <w:b/>
                <w:sz w:val="16"/>
              </w:rPr>
            </w:pPr>
            <w:r>
              <w:rPr>
                <w:rFonts w:ascii="Arial Unicode MS"/>
                <w:b/>
                <w:color w:val="00666D"/>
                <w:sz w:val="16"/>
              </w:rPr>
              <w:t>SUPLENTE</w:t>
            </w:r>
          </w:p>
        </w:tc>
      </w:tr>
      <w:tr>
        <w:trPr>
          <w:trHeight w:val="288" w:hRule="atLeast"/>
        </w:trPr>
        <w:tc>
          <w:tcPr>
            <w:tcW w:w="967" w:type="dxa"/>
            <w:tcBorders>
              <w:bottom w:val="single" w:sz="4" w:space="0" w:color="BFBFBF"/>
            </w:tcBorders>
          </w:tcPr>
          <w:p>
            <w:pPr>
              <w:pStyle w:val="TableParagraph"/>
              <w:spacing w:line="249" w:lineRule="exact" w:before="20"/>
              <w:ind w:left="445"/>
              <w:rPr>
                <w:rFonts w:ascii="Arial Unicode MS"/>
                <w:sz w:val="17"/>
              </w:rPr>
            </w:pPr>
            <w:r>
              <w:rPr>
                <w:rFonts w:ascii="Arial Unicode MS"/>
                <w:sz w:val="17"/>
              </w:rPr>
              <w:t>AC</w:t>
            </w:r>
          </w:p>
        </w:tc>
        <w:tc>
          <w:tcPr>
            <w:tcW w:w="3307" w:type="dxa"/>
            <w:tcBorders>
              <w:bottom w:val="single" w:sz="4" w:space="0" w:color="BFBFBF"/>
            </w:tcBorders>
          </w:tcPr>
          <w:p>
            <w:pPr>
              <w:pStyle w:val="TableParagraph"/>
              <w:spacing w:line="249" w:lineRule="exact" w:before="20"/>
              <w:ind w:left="266"/>
              <w:rPr>
                <w:rFonts w:ascii="Arial Unicode MS" w:hAnsi="Arial Unicode MS"/>
                <w:sz w:val="17"/>
              </w:rPr>
            </w:pPr>
            <w:r>
              <w:rPr>
                <w:rFonts w:ascii="Arial Unicode MS" w:hAnsi="Arial Unicode MS"/>
                <w:sz w:val="17"/>
              </w:rPr>
              <w:t>Clênio Plauto S. Farias</w:t>
            </w:r>
          </w:p>
        </w:tc>
        <w:tc>
          <w:tcPr>
            <w:tcW w:w="3665" w:type="dxa"/>
            <w:tcBorders>
              <w:bottom w:val="single" w:sz="4" w:space="0" w:color="BFBFBF"/>
            </w:tcBorders>
          </w:tcPr>
          <w:p>
            <w:pPr>
              <w:pStyle w:val="TableParagraph"/>
              <w:spacing w:line="249" w:lineRule="exact" w:before="20"/>
              <w:ind w:left="367"/>
              <w:rPr>
                <w:rFonts w:ascii="Arial Unicode MS"/>
                <w:sz w:val="17"/>
              </w:rPr>
            </w:pPr>
            <w:r>
              <w:rPr>
                <w:rFonts w:ascii="Arial Unicode MS"/>
                <w:sz w:val="17"/>
              </w:rPr>
              <w:t>Ulderico Queiroz</w:t>
            </w:r>
          </w:p>
        </w:tc>
      </w:tr>
      <w:tr>
        <w:trPr>
          <w:trHeight w:val="230" w:hRule="atLeast"/>
        </w:trPr>
        <w:tc>
          <w:tcPr>
            <w:tcW w:w="967" w:type="dxa"/>
            <w:tcBorders>
              <w:top w:val="single" w:sz="4" w:space="0" w:color="BFBFBF"/>
              <w:bottom w:val="single" w:sz="4" w:space="0" w:color="BFBFBF"/>
            </w:tcBorders>
          </w:tcPr>
          <w:p>
            <w:pPr>
              <w:pStyle w:val="TableParagraph"/>
              <w:spacing w:line="210" w:lineRule="exact"/>
              <w:ind w:left="459"/>
              <w:rPr>
                <w:rFonts w:ascii="Arial Unicode MS"/>
                <w:sz w:val="17"/>
              </w:rPr>
            </w:pPr>
            <w:r>
              <w:rPr>
                <w:rFonts w:ascii="Arial Unicode MS"/>
                <w:sz w:val="17"/>
              </w:rPr>
              <w:t>AL</w:t>
            </w:r>
          </w:p>
        </w:tc>
        <w:tc>
          <w:tcPr>
            <w:tcW w:w="3307" w:type="dxa"/>
            <w:tcBorders>
              <w:top w:val="single" w:sz="4" w:space="0" w:color="BFBFBF"/>
              <w:bottom w:val="single" w:sz="4" w:space="0" w:color="BFBFBF"/>
            </w:tcBorders>
          </w:tcPr>
          <w:p>
            <w:pPr>
              <w:pStyle w:val="TableParagraph"/>
              <w:spacing w:line="210" w:lineRule="exact"/>
              <w:ind w:left="266"/>
              <w:rPr>
                <w:rFonts w:ascii="Arial Unicode MS"/>
                <w:sz w:val="17"/>
              </w:rPr>
            </w:pPr>
            <w:r>
              <w:rPr>
                <w:rFonts w:ascii="Arial Unicode MS"/>
                <w:sz w:val="17"/>
              </w:rPr>
              <w:t>Heitor Antonio Maia das Dores</w:t>
            </w:r>
          </w:p>
        </w:tc>
        <w:tc>
          <w:tcPr>
            <w:tcW w:w="3665" w:type="dxa"/>
            <w:tcBorders>
              <w:top w:val="single" w:sz="4" w:space="0" w:color="BFBFBF"/>
              <w:bottom w:val="single" w:sz="4" w:space="0" w:color="BFBFBF"/>
            </w:tcBorders>
          </w:tcPr>
          <w:p>
            <w:pPr>
              <w:pStyle w:val="TableParagraph"/>
              <w:spacing w:line="210" w:lineRule="exact"/>
              <w:ind w:left="367"/>
              <w:rPr>
                <w:rFonts w:ascii="Arial Unicode MS"/>
                <w:sz w:val="17"/>
              </w:rPr>
            </w:pPr>
            <w:r>
              <w:rPr>
                <w:rFonts w:ascii="Arial Unicode MS"/>
                <w:sz w:val="17"/>
              </w:rPr>
              <w:t>Pedro Cabral de Oliveira Filho</w:t>
            </w:r>
          </w:p>
        </w:tc>
      </w:tr>
      <w:tr>
        <w:trPr>
          <w:trHeight w:val="225" w:hRule="atLeast"/>
        </w:trPr>
        <w:tc>
          <w:tcPr>
            <w:tcW w:w="967" w:type="dxa"/>
            <w:tcBorders>
              <w:top w:val="single" w:sz="4" w:space="0" w:color="BFBFBF"/>
              <w:bottom w:val="single" w:sz="4" w:space="0" w:color="BFBFBF"/>
            </w:tcBorders>
          </w:tcPr>
          <w:p>
            <w:pPr>
              <w:pStyle w:val="TableParagraph"/>
              <w:spacing w:line="205" w:lineRule="exact"/>
              <w:ind w:left="450"/>
              <w:rPr>
                <w:rFonts w:ascii="Arial Unicode MS"/>
                <w:sz w:val="17"/>
              </w:rPr>
            </w:pPr>
            <w:r>
              <w:rPr>
                <w:rFonts w:ascii="Arial Unicode MS"/>
                <w:sz w:val="17"/>
              </w:rPr>
              <w:t>AP</w:t>
            </w:r>
          </w:p>
        </w:tc>
        <w:tc>
          <w:tcPr>
            <w:tcW w:w="3307" w:type="dxa"/>
            <w:tcBorders>
              <w:top w:val="single" w:sz="4" w:space="0" w:color="BFBFBF"/>
              <w:bottom w:val="single" w:sz="4" w:space="0" w:color="BFBFBF"/>
            </w:tcBorders>
          </w:tcPr>
          <w:p>
            <w:pPr>
              <w:pStyle w:val="TableParagraph"/>
              <w:spacing w:line="205" w:lineRule="exact"/>
              <w:ind w:left="266"/>
              <w:rPr>
                <w:rFonts w:ascii="Arial Unicode MS"/>
                <w:sz w:val="17"/>
              </w:rPr>
            </w:pPr>
            <w:r>
              <w:rPr>
                <w:rFonts w:ascii="Arial Unicode MS"/>
                <w:sz w:val="17"/>
              </w:rPr>
              <w:t>Oscarito A. do Nascimento</w:t>
            </w:r>
          </w:p>
        </w:tc>
        <w:tc>
          <w:tcPr>
            <w:tcW w:w="3665" w:type="dxa"/>
            <w:tcBorders>
              <w:top w:val="single" w:sz="4" w:space="0" w:color="BFBFBF"/>
              <w:bottom w:val="single" w:sz="4" w:space="0" w:color="BFBFBF"/>
            </w:tcBorders>
          </w:tcPr>
          <w:p>
            <w:pPr>
              <w:pStyle w:val="TableParagraph"/>
              <w:spacing w:line="205" w:lineRule="exact"/>
              <w:ind w:left="367"/>
              <w:rPr>
                <w:rFonts w:ascii="Arial Unicode MS"/>
                <w:sz w:val="17"/>
              </w:rPr>
            </w:pPr>
            <w:r>
              <w:rPr>
                <w:rFonts w:ascii="Arial Unicode MS"/>
                <w:sz w:val="17"/>
              </w:rPr>
              <w:t>Ana Karina N.S. Rodrigues</w:t>
            </w:r>
          </w:p>
        </w:tc>
      </w:tr>
      <w:tr>
        <w:trPr>
          <w:trHeight w:val="230" w:hRule="atLeast"/>
        </w:trPr>
        <w:tc>
          <w:tcPr>
            <w:tcW w:w="967" w:type="dxa"/>
            <w:tcBorders>
              <w:top w:val="single" w:sz="4" w:space="0" w:color="BFBFBF"/>
              <w:bottom w:val="single" w:sz="4" w:space="0" w:color="BFBFBF"/>
            </w:tcBorders>
          </w:tcPr>
          <w:p>
            <w:pPr>
              <w:pStyle w:val="TableParagraph"/>
              <w:spacing w:line="210" w:lineRule="exact"/>
              <w:ind w:left="435"/>
              <w:rPr>
                <w:rFonts w:ascii="Arial Unicode MS"/>
                <w:sz w:val="17"/>
              </w:rPr>
            </w:pPr>
            <w:r>
              <w:rPr>
                <w:rFonts w:ascii="Arial Unicode MS"/>
                <w:sz w:val="17"/>
              </w:rPr>
              <w:t>AM</w:t>
            </w:r>
          </w:p>
        </w:tc>
        <w:tc>
          <w:tcPr>
            <w:tcW w:w="3307" w:type="dxa"/>
            <w:tcBorders>
              <w:top w:val="single" w:sz="4" w:space="0" w:color="BFBFBF"/>
              <w:bottom w:val="single" w:sz="4" w:space="0" w:color="BFBFBF"/>
            </w:tcBorders>
          </w:tcPr>
          <w:p>
            <w:pPr>
              <w:pStyle w:val="TableParagraph"/>
              <w:spacing w:line="210" w:lineRule="exact"/>
              <w:ind w:left="266"/>
              <w:rPr>
                <w:rFonts w:ascii="Arial Unicode MS"/>
                <w:sz w:val="17"/>
              </w:rPr>
            </w:pPr>
            <w:r>
              <w:rPr>
                <w:rFonts w:ascii="Arial Unicode MS"/>
                <w:sz w:val="17"/>
              </w:rPr>
              <w:t>Rodrigo Capelato</w:t>
            </w:r>
          </w:p>
        </w:tc>
        <w:tc>
          <w:tcPr>
            <w:tcW w:w="3665" w:type="dxa"/>
            <w:tcBorders>
              <w:top w:val="single" w:sz="4" w:space="0" w:color="BFBFBF"/>
              <w:bottom w:val="single" w:sz="4" w:space="0" w:color="BFBFBF"/>
            </w:tcBorders>
          </w:tcPr>
          <w:p>
            <w:pPr>
              <w:pStyle w:val="TableParagraph"/>
              <w:spacing w:line="210" w:lineRule="exact"/>
              <w:ind w:left="367"/>
              <w:rPr>
                <w:rFonts w:ascii="Arial Unicode MS"/>
                <w:sz w:val="17"/>
              </w:rPr>
            </w:pPr>
            <w:r>
              <w:rPr>
                <w:rFonts w:ascii="Arial Unicode MS"/>
                <w:sz w:val="17"/>
              </w:rPr>
              <w:t>Marcelo de Borborema Correia</w:t>
            </w:r>
          </w:p>
        </w:tc>
      </w:tr>
      <w:tr>
        <w:trPr>
          <w:trHeight w:val="230" w:hRule="atLeast"/>
        </w:trPr>
        <w:tc>
          <w:tcPr>
            <w:tcW w:w="967" w:type="dxa"/>
            <w:tcBorders>
              <w:top w:val="single" w:sz="4" w:space="0" w:color="BFBFBF"/>
              <w:bottom w:val="single" w:sz="4" w:space="0" w:color="BFBFBF"/>
            </w:tcBorders>
          </w:tcPr>
          <w:p>
            <w:pPr>
              <w:pStyle w:val="TableParagraph"/>
              <w:spacing w:line="210" w:lineRule="exact"/>
              <w:ind w:left="450"/>
              <w:rPr>
                <w:rFonts w:ascii="Arial Unicode MS"/>
                <w:sz w:val="17"/>
              </w:rPr>
            </w:pPr>
            <w:r>
              <w:rPr>
                <w:rFonts w:ascii="Arial Unicode MS"/>
                <w:sz w:val="17"/>
              </w:rPr>
              <w:t>BA</w:t>
            </w:r>
          </w:p>
        </w:tc>
        <w:tc>
          <w:tcPr>
            <w:tcW w:w="3307" w:type="dxa"/>
            <w:tcBorders>
              <w:top w:val="single" w:sz="4" w:space="0" w:color="BFBFBF"/>
              <w:bottom w:val="single" w:sz="4" w:space="0" w:color="BFBFBF"/>
            </w:tcBorders>
          </w:tcPr>
          <w:p>
            <w:pPr>
              <w:pStyle w:val="TableParagraph"/>
              <w:spacing w:line="210" w:lineRule="exact"/>
              <w:ind w:left="266"/>
              <w:rPr>
                <w:rFonts w:ascii="Arial Unicode MS"/>
                <w:sz w:val="17"/>
              </w:rPr>
            </w:pPr>
            <w:r>
              <w:rPr>
                <w:rFonts w:ascii="Arial Unicode MS"/>
                <w:sz w:val="17"/>
              </w:rPr>
              <w:t>Paulo Ormindo David de Azevedo *</w:t>
            </w:r>
          </w:p>
        </w:tc>
        <w:tc>
          <w:tcPr>
            <w:tcW w:w="3665" w:type="dxa"/>
            <w:tcBorders>
              <w:top w:val="single" w:sz="4" w:space="0" w:color="BFBFBF"/>
              <w:bottom w:val="single" w:sz="4" w:space="0" w:color="BFBFBF"/>
            </w:tcBorders>
          </w:tcPr>
          <w:p>
            <w:pPr>
              <w:pStyle w:val="TableParagraph"/>
              <w:spacing w:line="210" w:lineRule="exact"/>
              <w:ind w:left="367"/>
              <w:rPr>
                <w:rFonts w:ascii="Arial Unicode MS"/>
                <w:sz w:val="17"/>
              </w:rPr>
            </w:pPr>
            <w:r>
              <w:rPr>
                <w:rFonts w:ascii="Arial Unicode MS"/>
                <w:sz w:val="17"/>
              </w:rPr>
              <w:t>Raimundo Lopes Pereira *</w:t>
            </w:r>
          </w:p>
        </w:tc>
      </w:tr>
      <w:tr>
        <w:trPr>
          <w:trHeight w:val="225" w:hRule="atLeast"/>
        </w:trPr>
        <w:tc>
          <w:tcPr>
            <w:tcW w:w="967" w:type="dxa"/>
            <w:tcBorders>
              <w:top w:val="single" w:sz="4" w:space="0" w:color="BFBFBF"/>
              <w:bottom w:val="single" w:sz="4" w:space="0" w:color="BFBFBF"/>
            </w:tcBorders>
          </w:tcPr>
          <w:p>
            <w:pPr>
              <w:pStyle w:val="TableParagraph"/>
              <w:spacing w:line="205" w:lineRule="exact"/>
              <w:ind w:left="445"/>
              <w:rPr>
                <w:rFonts w:ascii="Arial Unicode MS"/>
                <w:sz w:val="17"/>
              </w:rPr>
            </w:pPr>
            <w:r>
              <w:rPr>
                <w:rFonts w:ascii="Arial Unicode MS"/>
                <w:sz w:val="17"/>
              </w:rPr>
              <w:t>CE</w:t>
            </w:r>
          </w:p>
        </w:tc>
        <w:tc>
          <w:tcPr>
            <w:tcW w:w="3307" w:type="dxa"/>
            <w:tcBorders>
              <w:top w:val="single" w:sz="4" w:space="0" w:color="BFBFBF"/>
              <w:bottom w:val="single" w:sz="4" w:space="0" w:color="BFBFBF"/>
            </w:tcBorders>
          </w:tcPr>
          <w:p>
            <w:pPr>
              <w:pStyle w:val="TableParagraph"/>
              <w:spacing w:line="205" w:lineRule="exact"/>
              <w:ind w:left="266"/>
              <w:rPr>
                <w:rFonts w:ascii="Arial Unicode MS" w:hAnsi="Arial Unicode MS"/>
                <w:sz w:val="17"/>
              </w:rPr>
            </w:pPr>
            <w:r>
              <w:rPr>
                <w:rFonts w:ascii="Arial Unicode MS" w:hAnsi="Arial Unicode MS"/>
                <w:sz w:val="17"/>
              </w:rPr>
              <w:t>Napoleão Ferreira da Silva Neto</w:t>
            </w:r>
          </w:p>
        </w:tc>
        <w:tc>
          <w:tcPr>
            <w:tcW w:w="3665" w:type="dxa"/>
            <w:tcBorders>
              <w:top w:val="single" w:sz="4" w:space="0" w:color="BFBFBF"/>
              <w:bottom w:val="single" w:sz="4" w:space="0" w:color="BFBFBF"/>
            </w:tcBorders>
          </w:tcPr>
          <w:p>
            <w:pPr>
              <w:pStyle w:val="TableParagraph"/>
              <w:spacing w:line="205" w:lineRule="exact"/>
              <w:ind w:left="367"/>
              <w:rPr>
                <w:rFonts w:ascii="Arial Unicode MS" w:hAnsi="Arial Unicode MS"/>
                <w:sz w:val="17"/>
              </w:rPr>
            </w:pPr>
            <w:r>
              <w:rPr>
                <w:rFonts w:ascii="Arial Unicode MS" w:hAnsi="Arial Unicode MS"/>
                <w:sz w:val="17"/>
              </w:rPr>
              <w:t>Antônio Martins da Rocha Júnior</w:t>
            </w:r>
          </w:p>
        </w:tc>
      </w:tr>
      <w:tr>
        <w:trPr>
          <w:trHeight w:val="230" w:hRule="atLeast"/>
        </w:trPr>
        <w:tc>
          <w:tcPr>
            <w:tcW w:w="967" w:type="dxa"/>
            <w:tcBorders>
              <w:top w:val="single" w:sz="4" w:space="0" w:color="BFBFBF"/>
              <w:bottom w:val="single" w:sz="4" w:space="0" w:color="BFBFBF"/>
            </w:tcBorders>
          </w:tcPr>
          <w:p>
            <w:pPr>
              <w:pStyle w:val="TableParagraph"/>
              <w:spacing w:line="210" w:lineRule="exact"/>
              <w:ind w:left="450"/>
              <w:rPr>
                <w:rFonts w:ascii="Arial Unicode MS"/>
                <w:sz w:val="17"/>
              </w:rPr>
            </w:pPr>
            <w:r>
              <w:rPr>
                <w:rFonts w:ascii="Arial Unicode MS"/>
                <w:sz w:val="17"/>
              </w:rPr>
              <w:t>DF</w:t>
            </w:r>
          </w:p>
        </w:tc>
        <w:tc>
          <w:tcPr>
            <w:tcW w:w="3307" w:type="dxa"/>
            <w:tcBorders>
              <w:top w:val="single" w:sz="4" w:space="0" w:color="BFBFBF"/>
              <w:bottom w:val="single" w:sz="4" w:space="0" w:color="BFBFBF"/>
            </w:tcBorders>
          </w:tcPr>
          <w:p>
            <w:pPr>
              <w:pStyle w:val="TableParagraph"/>
              <w:spacing w:line="210" w:lineRule="exact"/>
              <w:ind w:left="266"/>
              <w:rPr>
                <w:rFonts w:ascii="Arial Unicode MS"/>
                <w:sz w:val="17"/>
              </w:rPr>
            </w:pPr>
            <w:r>
              <w:rPr>
                <w:rFonts w:ascii="Arial Unicode MS"/>
                <w:sz w:val="17"/>
              </w:rPr>
              <w:t>Haroldo Pinheiro Villar de Queiroz</w:t>
            </w:r>
          </w:p>
        </w:tc>
        <w:tc>
          <w:tcPr>
            <w:tcW w:w="3665" w:type="dxa"/>
            <w:tcBorders>
              <w:top w:val="single" w:sz="4" w:space="0" w:color="BFBFBF"/>
              <w:bottom w:val="single" w:sz="4" w:space="0" w:color="BFBFBF"/>
            </w:tcBorders>
          </w:tcPr>
          <w:p>
            <w:pPr>
              <w:pStyle w:val="TableParagraph"/>
              <w:spacing w:line="210" w:lineRule="exact"/>
              <w:ind w:left="367"/>
              <w:rPr>
                <w:rFonts w:ascii="Arial Unicode MS" w:hAnsi="Arial Unicode MS"/>
                <w:sz w:val="17"/>
              </w:rPr>
            </w:pPr>
            <w:r>
              <w:rPr>
                <w:rFonts w:ascii="Arial Unicode MS" w:hAnsi="Arial Unicode MS"/>
                <w:sz w:val="17"/>
              </w:rPr>
              <w:t>Antônio Menezes Júnior</w:t>
            </w:r>
          </w:p>
        </w:tc>
      </w:tr>
      <w:tr>
        <w:trPr>
          <w:trHeight w:val="225" w:hRule="atLeast"/>
        </w:trPr>
        <w:tc>
          <w:tcPr>
            <w:tcW w:w="967" w:type="dxa"/>
            <w:tcBorders>
              <w:top w:val="single" w:sz="4" w:space="0" w:color="BFBFBF"/>
              <w:bottom w:val="single" w:sz="4" w:space="0" w:color="BFBFBF"/>
            </w:tcBorders>
          </w:tcPr>
          <w:p>
            <w:pPr>
              <w:pStyle w:val="TableParagraph"/>
              <w:spacing w:line="205" w:lineRule="exact"/>
              <w:ind w:left="450"/>
              <w:rPr>
                <w:rFonts w:ascii="Arial Unicode MS"/>
                <w:sz w:val="17"/>
              </w:rPr>
            </w:pPr>
            <w:r>
              <w:rPr>
                <w:rFonts w:ascii="Arial Unicode MS"/>
                <w:sz w:val="17"/>
              </w:rPr>
              <w:t>ES</w:t>
            </w:r>
          </w:p>
        </w:tc>
        <w:tc>
          <w:tcPr>
            <w:tcW w:w="3307" w:type="dxa"/>
            <w:tcBorders>
              <w:top w:val="single" w:sz="4" w:space="0" w:color="BFBFBF"/>
              <w:bottom w:val="single" w:sz="4" w:space="0" w:color="BFBFBF"/>
            </w:tcBorders>
          </w:tcPr>
          <w:p>
            <w:pPr>
              <w:pStyle w:val="TableParagraph"/>
              <w:spacing w:line="205" w:lineRule="exact"/>
              <w:ind w:left="266"/>
              <w:rPr>
                <w:rFonts w:ascii="Arial Unicode MS"/>
                <w:sz w:val="17"/>
              </w:rPr>
            </w:pPr>
            <w:r>
              <w:rPr>
                <w:rFonts w:ascii="Arial Unicode MS"/>
                <w:sz w:val="17"/>
              </w:rPr>
              <w:t>Anderson Fioreti de Menezes</w:t>
            </w:r>
          </w:p>
        </w:tc>
        <w:tc>
          <w:tcPr>
            <w:tcW w:w="3665" w:type="dxa"/>
            <w:tcBorders>
              <w:top w:val="single" w:sz="4" w:space="0" w:color="BFBFBF"/>
              <w:bottom w:val="single" w:sz="4" w:space="0" w:color="BFBFBF"/>
            </w:tcBorders>
          </w:tcPr>
          <w:p>
            <w:pPr>
              <w:pStyle w:val="TableParagraph"/>
              <w:spacing w:line="205" w:lineRule="exact"/>
              <w:ind w:left="367"/>
              <w:rPr>
                <w:rFonts w:ascii="Arial Unicode MS" w:hAnsi="Arial Unicode MS"/>
                <w:sz w:val="17"/>
              </w:rPr>
            </w:pPr>
            <w:r>
              <w:rPr>
                <w:rFonts w:ascii="Arial Unicode MS" w:hAnsi="Arial Unicode MS"/>
                <w:sz w:val="17"/>
              </w:rPr>
              <w:t>André Tomoyuki Abe</w:t>
            </w:r>
          </w:p>
        </w:tc>
      </w:tr>
      <w:tr>
        <w:trPr>
          <w:trHeight w:val="230" w:hRule="atLeast"/>
        </w:trPr>
        <w:tc>
          <w:tcPr>
            <w:tcW w:w="967" w:type="dxa"/>
            <w:tcBorders>
              <w:top w:val="single" w:sz="4" w:space="0" w:color="BFBFBF"/>
              <w:bottom w:val="single" w:sz="4" w:space="0" w:color="BFBFBF"/>
            </w:tcBorders>
          </w:tcPr>
          <w:p>
            <w:pPr>
              <w:pStyle w:val="TableParagraph"/>
              <w:spacing w:line="210" w:lineRule="exact"/>
              <w:ind w:left="431"/>
              <w:rPr>
                <w:rFonts w:ascii="Arial Unicode MS"/>
                <w:sz w:val="17"/>
              </w:rPr>
            </w:pPr>
            <w:r>
              <w:rPr>
                <w:rFonts w:ascii="Arial Unicode MS"/>
                <w:sz w:val="17"/>
              </w:rPr>
              <w:t>GO</w:t>
            </w:r>
          </w:p>
        </w:tc>
        <w:tc>
          <w:tcPr>
            <w:tcW w:w="3307" w:type="dxa"/>
            <w:tcBorders>
              <w:top w:val="single" w:sz="4" w:space="0" w:color="BFBFBF"/>
              <w:bottom w:val="single" w:sz="4" w:space="0" w:color="BFBFBF"/>
            </w:tcBorders>
          </w:tcPr>
          <w:p>
            <w:pPr>
              <w:pStyle w:val="TableParagraph"/>
              <w:spacing w:line="210" w:lineRule="exact"/>
              <w:ind w:left="266"/>
              <w:rPr>
                <w:rFonts w:ascii="Arial Unicode MS"/>
                <w:sz w:val="17"/>
              </w:rPr>
            </w:pPr>
            <w:r>
              <w:rPr>
                <w:rFonts w:ascii="Arial Unicode MS"/>
                <w:sz w:val="17"/>
              </w:rPr>
              <w:t>Arnaldo Mascarenhas Braga</w:t>
            </w:r>
          </w:p>
        </w:tc>
        <w:tc>
          <w:tcPr>
            <w:tcW w:w="3665" w:type="dxa"/>
            <w:tcBorders>
              <w:top w:val="single" w:sz="4" w:space="0" w:color="BFBFBF"/>
              <w:bottom w:val="single" w:sz="4" w:space="0" w:color="BFBFBF"/>
            </w:tcBorders>
          </w:tcPr>
          <w:p>
            <w:pPr>
              <w:pStyle w:val="TableParagraph"/>
              <w:spacing w:line="210" w:lineRule="exact"/>
              <w:ind w:left="367"/>
              <w:rPr>
                <w:rFonts w:ascii="Arial Unicode MS"/>
                <w:sz w:val="17"/>
              </w:rPr>
            </w:pPr>
            <w:r>
              <w:rPr>
                <w:rFonts w:ascii="Arial Unicode MS"/>
                <w:sz w:val="17"/>
              </w:rPr>
              <w:t>Daniel Dias Pimentel</w:t>
            </w:r>
          </w:p>
        </w:tc>
      </w:tr>
      <w:tr>
        <w:trPr>
          <w:trHeight w:val="225" w:hRule="atLeast"/>
        </w:trPr>
        <w:tc>
          <w:tcPr>
            <w:tcW w:w="967" w:type="dxa"/>
            <w:tcBorders>
              <w:top w:val="single" w:sz="4" w:space="0" w:color="BFBFBF"/>
              <w:bottom w:val="single" w:sz="4" w:space="0" w:color="BFBFBF"/>
            </w:tcBorders>
          </w:tcPr>
          <w:p>
            <w:pPr>
              <w:pStyle w:val="TableParagraph"/>
              <w:spacing w:line="205" w:lineRule="exact"/>
              <w:ind w:left="435"/>
              <w:rPr>
                <w:rFonts w:ascii="Arial Unicode MS"/>
                <w:sz w:val="17"/>
              </w:rPr>
            </w:pPr>
            <w:r>
              <w:rPr>
                <w:rFonts w:ascii="Arial Unicode MS"/>
                <w:sz w:val="17"/>
              </w:rPr>
              <w:t>MA</w:t>
            </w:r>
          </w:p>
        </w:tc>
        <w:tc>
          <w:tcPr>
            <w:tcW w:w="3307" w:type="dxa"/>
            <w:tcBorders>
              <w:top w:val="single" w:sz="4" w:space="0" w:color="BFBFBF"/>
              <w:bottom w:val="single" w:sz="4" w:space="0" w:color="BFBFBF"/>
            </w:tcBorders>
          </w:tcPr>
          <w:p>
            <w:pPr>
              <w:pStyle w:val="TableParagraph"/>
              <w:spacing w:line="205" w:lineRule="exact"/>
              <w:ind w:left="266"/>
              <w:rPr>
                <w:rFonts w:ascii="Arial Unicode MS"/>
                <w:sz w:val="17"/>
              </w:rPr>
            </w:pPr>
            <w:r>
              <w:rPr>
                <w:rFonts w:ascii="Arial Unicode MS"/>
                <w:sz w:val="17"/>
              </w:rPr>
              <w:t>Roberto Lopes Furtado</w:t>
            </w:r>
          </w:p>
        </w:tc>
        <w:tc>
          <w:tcPr>
            <w:tcW w:w="3665" w:type="dxa"/>
            <w:tcBorders>
              <w:top w:val="single" w:sz="4" w:space="0" w:color="BFBFBF"/>
              <w:bottom w:val="single" w:sz="4" w:space="0" w:color="BFBFBF"/>
            </w:tcBorders>
          </w:tcPr>
          <w:p>
            <w:pPr>
              <w:pStyle w:val="TableParagraph"/>
              <w:spacing w:line="205" w:lineRule="exact"/>
              <w:ind w:left="367"/>
              <w:rPr>
                <w:rFonts w:ascii="Arial Unicode MS"/>
                <w:sz w:val="17"/>
              </w:rPr>
            </w:pPr>
            <w:r>
              <w:rPr>
                <w:rFonts w:ascii="Arial Unicode MS"/>
                <w:sz w:val="17"/>
              </w:rPr>
              <w:t>Maria Lais Cunha Pereira</w:t>
            </w:r>
          </w:p>
        </w:tc>
      </w:tr>
      <w:tr>
        <w:trPr>
          <w:trHeight w:val="230" w:hRule="atLeast"/>
        </w:trPr>
        <w:tc>
          <w:tcPr>
            <w:tcW w:w="967" w:type="dxa"/>
            <w:tcBorders>
              <w:top w:val="single" w:sz="4" w:space="0" w:color="BFBFBF"/>
              <w:bottom w:val="single" w:sz="4" w:space="0" w:color="BFBFBF"/>
            </w:tcBorders>
          </w:tcPr>
          <w:p>
            <w:pPr>
              <w:pStyle w:val="TableParagraph"/>
              <w:spacing w:line="210" w:lineRule="exact"/>
              <w:ind w:left="440"/>
              <w:rPr>
                <w:rFonts w:ascii="Arial Unicode MS"/>
                <w:sz w:val="17"/>
              </w:rPr>
            </w:pPr>
            <w:r>
              <w:rPr>
                <w:rFonts w:ascii="Arial Unicode MS"/>
                <w:sz w:val="17"/>
              </w:rPr>
              <w:t>MT</w:t>
            </w:r>
          </w:p>
        </w:tc>
        <w:tc>
          <w:tcPr>
            <w:tcW w:w="3307" w:type="dxa"/>
            <w:tcBorders>
              <w:top w:val="single" w:sz="4" w:space="0" w:color="BFBFBF"/>
              <w:bottom w:val="single" w:sz="4" w:space="0" w:color="BFBFBF"/>
            </w:tcBorders>
          </w:tcPr>
          <w:p>
            <w:pPr>
              <w:pStyle w:val="TableParagraph"/>
              <w:spacing w:line="210" w:lineRule="exact"/>
              <w:ind w:left="266"/>
              <w:rPr>
                <w:rFonts w:ascii="Arial Unicode MS"/>
                <w:sz w:val="17"/>
              </w:rPr>
            </w:pPr>
            <w:r>
              <w:rPr>
                <w:rFonts w:ascii="Arial Unicode MS"/>
                <w:sz w:val="17"/>
              </w:rPr>
              <w:t>Eduardo Cairo Chiletto</w:t>
            </w:r>
          </w:p>
        </w:tc>
        <w:tc>
          <w:tcPr>
            <w:tcW w:w="3665" w:type="dxa"/>
            <w:tcBorders>
              <w:top w:val="single" w:sz="4" w:space="0" w:color="BFBFBF"/>
              <w:bottom w:val="single" w:sz="4" w:space="0" w:color="BFBFBF"/>
            </w:tcBorders>
          </w:tcPr>
          <w:p>
            <w:pPr>
              <w:pStyle w:val="TableParagraph"/>
              <w:spacing w:line="210" w:lineRule="exact"/>
              <w:ind w:left="367"/>
              <w:rPr>
                <w:rFonts w:ascii="Arial Unicode MS" w:hAnsi="Arial Unicode MS"/>
                <w:sz w:val="17"/>
              </w:rPr>
            </w:pPr>
            <w:r>
              <w:rPr>
                <w:rFonts w:ascii="Arial Unicode MS" w:hAnsi="Arial Unicode MS"/>
                <w:sz w:val="17"/>
              </w:rPr>
              <w:t>Ana de Cássia M. A. Bernardino</w:t>
            </w:r>
          </w:p>
        </w:tc>
      </w:tr>
      <w:tr>
        <w:trPr>
          <w:trHeight w:val="225" w:hRule="atLeast"/>
        </w:trPr>
        <w:tc>
          <w:tcPr>
            <w:tcW w:w="967" w:type="dxa"/>
            <w:tcBorders>
              <w:top w:val="single" w:sz="4" w:space="0" w:color="BFBFBF"/>
              <w:bottom w:val="single" w:sz="4" w:space="0" w:color="BFBFBF"/>
            </w:tcBorders>
          </w:tcPr>
          <w:p>
            <w:pPr>
              <w:pStyle w:val="TableParagraph"/>
              <w:spacing w:line="205" w:lineRule="exact"/>
              <w:ind w:left="435"/>
              <w:rPr>
                <w:rFonts w:ascii="Arial Unicode MS"/>
                <w:sz w:val="17"/>
              </w:rPr>
            </w:pPr>
            <w:r>
              <w:rPr>
                <w:rFonts w:ascii="Arial Unicode MS"/>
                <w:sz w:val="17"/>
              </w:rPr>
              <w:t>MS</w:t>
            </w:r>
          </w:p>
        </w:tc>
        <w:tc>
          <w:tcPr>
            <w:tcW w:w="3307" w:type="dxa"/>
            <w:tcBorders>
              <w:top w:val="single" w:sz="4" w:space="0" w:color="BFBFBF"/>
              <w:bottom w:val="single" w:sz="4" w:space="0" w:color="BFBFBF"/>
            </w:tcBorders>
          </w:tcPr>
          <w:p>
            <w:pPr>
              <w:pStyle w:val="TableParagraph"/>
              <w:spacing w:line="205" w:lineRule="exact"/>
              <w:ind w:left="266"/>
              <w:rPr>
                <w:rFonts w:ascii="Arial Unicode MS"/>
                <w:sz w:val="17"/>
              </w:rPr>
            </w:pPr>
            <w:r>
              <w:rPr>
                <w:rFonts w:ascii="Arial Unicode MS"/>
                <w:sz w:val="17"/>
              </w:rPr>
              <w:t>Celso Costa</w:t>
            </w:r>
          </w:p>
        </w:tc>
        <w:tc>
          <w:tcPr>
            <w:tcW w:w="3665" w:type="dxa"/>
            <w:tcBorders>
              <w:top w:val="single" w:sz="4" w:space="0" w:color="BFBFBF"/>
              <w:bottom w:val="single" w:sz="4" w:space="0" w:color="BFBFBF"/>
            </w:tcBorders>
          </w:tcPr>
          <w:p>
            <w:pPr>
              <w:pStyle w:val="TableParagraph"/>
              <w:spacing w:line="205" w:lineRule="exact"/>
              <w:ind w:left="367"/>
              <w:rPr>
                <w:rFonts w:ascii="Arial Unicode MS" w:hAnsi="Arial Unicode MS"/>
                <w:sz w:val="17"/>
              </w:rPr>
            </w:pPr>
            <w:r>
              <w:rPr>
                <w:rFonts w:ascii="Arial Unicode MS" w:hAnsi="Arial Unicode MS"/>
                <w:sz w:val="17"/>
              </w:rPr>
              <w:t>Reginaldo João Bacha</w:t>
            </w:r>
          </w:p>
        </w:tc>
      </w:tr>
      <w:tr>
        <w:trPr>
          <w:trHeight w:val="230" w:hRule="atLeast"/>
        </w:trPr>
        <w:tc>
          <w:tcPr>
            <w:tcW w:w="967" w:type="dxa"/>
            <w:tcBorders>
              <w:top w:val="single" w:sz="4" w:space="0" w:color="BFBFBF"/>
              <w:bottom w:val="single" w:sz="4" w:space="0" w:color="BFBFBF"/>
            </w:tcBorders>
          </w:tcPr>
          <w:p>
            <w:pPr>
              <w:pStyle w:val="TableParagraph"/>
              <w:spacing w:line="210" w:lineRule="exact"/>
              <w:ind w:left="426"/>
              <w:rPr>
                <w:rFonts w:ascii="Arial Unicode MS"/>
                <w:sz w:val="17"/>
              </w:rPr>
            </w:pPr>
            <w:r>
              <w:rPr>
                <w:rFonts w:ascii="Arial Unicode MS"/>
                <w:sz w:val="17"/>
              </w:rPr>
              <w:t>MG</w:t>
            </w:r>
          </w:p>
        </w:tc>
        <w:tc>
          <w:tcPr>
            <w:tcW w:w="3307" w:type="dxa"/>
            <w:tcBorders>
              <w:top w:val="single" w:sz="4" w:space="0" w:color="BFBFBF"/>
              <w:bottom w:val="single" w:sz="4" w:space="0" w:color="BFBFBF"/>
            </w:tcBorders>
          </w:tcPr>
          <w:p>
            <w:pPr>
              <w:pStyle w:val="TableParagraph"/>
              <w:spacing w:line="210" w:lineRule="exact"/>
              <w:ind w:left="266"/>
              <w:rPr>
                <w:rFonts w:ascii="Arial Unicode MS"/>
                <w:sz w:val="17"/>
              </w:rPr>
            </w:pPr>
            <w:r>
              <w:rPr>
                <w:rFonts w:ascii="Arial Unicode MS"/>
                <w:sz w:val="17"/>
              </w:rPr>
              <w:t>Claudia Teresa Pereira Pires</w:t>
            </w:r>
          </w:p>
        </w:tc>
        <w:tc>
          <w:tcPr>
            <w:tcW w:w="3665" w:type="dxa"/>
            <w:tcBorders>
              <w:top w:val="single" w:sz="4" w:space="0" w:color="BFBFBF"/>
              <w:bottom w:val="single" w:sz="4" w:space="0" w:color="BFBFBF"/>
            </w:tcBorders>
          </w:tcPr>
          <w:p>
            <w:pPr>
              <w:pStyle w:val="TableParagraph"/>
              <w:spacing w:line="210" w:lineRule="exact"/>
              <w:ind w:left="367"/>
              <w:rPr>
                <w:rFonts w:ascii="Arial Unicode MS"/>
                <w:sz w:val="17"/>
              </w:rPr>
            </w:pPr>
            <w:r>
              <w:rPr>
                <w:rFonts w:ascii="Arial Unicode MS"/>
                <w:sz w:val="17"/>
              </w:rPr>
              <w:t>Rosilene Guedes Souza</w:t>
            </w:r>
          </w:p>
        </w:tc>
      </w:tr>
      <w:tr>
        <w:trPr>
          <w:trHeight w:val="225" w:hRule="atLeast"/>
        </w:trPr>
        <w:tc>
          <w:tcPr>
            <w:tcW w:w="967" w:type="dxa"/>
            <w:tcBorders>
              <w:top w:val="single" w:sz="4" w:space="0" w:color="BFBFBF"/>
              <w:bottom w:val="single" w:sz="4" w:space="0" w:color="BFBFBF"/>
            </w:tcBorders>
          </w:tcPr>
          <w:p>
            <w:pPr>
              <w:pStyle w:val="TableParagraph"/>
              <w:spacing w:line="205" w:lineRule="exact"/>
              <w:ind w:left="450"/>
              <w:rPr>
                <w:rFonts w:ascii="Arial Unicode MS"/>
                <w:sz w:val="17"/>
              </w:rPr>
            </w:pPr>
            <w:r>
              <w:rPr>
                <w:rFonts w:ascii="Arial Unicode MS"/>
                <w:sz w:val="17"/>
              </w:rPr>
              <w:t>PA</w:t>
            </w:r>
          </w:p>
        </w:tc>
        <w:tc>
          <w:tcPr>
            <w:tcW w:w="3307" w:type="dxa"/>
            <w:tcBorders>
              <w:top w:val="single" w:sz="4" w:space="0" w:color="BFBFBF"/>
              <w:bottom w:val="single" w:sz="4" w:space="0" w:color="BFBFBF"/>
            </w:tcBorders>
          </w:tcPr>
          <w:p>
            <w:pPr>
              <w:pStyle w:val="TableParagraph"/>
              <w:spacing w:line="205" w:lineRule="exact"/>
              <w:ind w:left="266"/>
              <w:rPr>
                <w:rFonts w:ascii="Arial Unicode MS"/>
                <w:sz w:val="17"/>
              </w:rPr>
            </w:pPr>
            <w:r>
              <w:rPr>
                <w:rFonts w:ascii="Arial Unicode MS"/>
                <w:sz w:val="17"/>
              </w:rPr>
              <w:t>Raimundo Nonato da Silva Souza*</w:t>
            </w:r>
          </w:p>
        </w:tc>
        <w:tc>
          <w:tcPr>
            <w:tcW w:w="3665" w:type="dxa"/>
            <w:tcBorders>
              <w:top w:val="single" w:sz="4" w:space="0" w:color="BFBFBF"/>
              <w:bottom w:val="single" w:sz="4" w:space="0" w:color="BFBFBF"/>
            </w:tcBorders>
          </w:tcPr>
          <w:p>
            <w:pPr>
              <w:pStyle w:val="TableParagraph"/>
              <w:spacing w:line="205" w:lineRule="exact"/>
              <w:ind w:left="367"/>
              <w:rPr>
                <w:rFonts w:ascii="Arial Unicode MS" w:hAnsi="Arial Unicode MS"/>
                <w:sz w:val="17"/>
              </w:rPr>
            </w:pPr>
            <w:r>
              <w:rPr>
                <w:rFonts w:ascii="Arial Unicode MS" w:hAnsi="Arial Unicode MS"/>
                <w:sz w:val="17"/>
              </w:rPr>
              <w:t>Mariano de Jesus Farias Conceição</w:t>
            </w:r>
          </w:p>
        </w:tc>
      </w:tr>
      <w:tr>
        <w:trPr>
          <w:trHeight w:val="230" w:hRule="atLeast"/>
        </w:trPr>
        <w:tc>
          <w:tcPr>
            <w:tcW w:w="967" w:type="dxa"/>
            <w:tcBorders>
              <w:top w:val="single" w:sz="4" w:space="0" w:color="BFBFBF"/>
              <w:bottom w:val="single" w:sz="4" w:space="0" w:color="BFBFBF"/>
            </w:tcBorders>
          </w:tcPr>
          <w:p>
            <w:pPr>
              <w:pStyle w:val="TableParagraph"/>
              <w:spacing w:line="210" w:lineRule="exact"/>
              <w:ind w:left="450"/>
              <w:rPr>
                <w:rFonts w:ascii="Arial Unicode MS"/>
                <w:sz w:val="17"/>
              </w:rPr>
            </w:pPr>
            <w:r>
              <w:rPr>
                <w:rFonts w:ascii="Arial Unicode MS"/>
                <w:sz w:val="17"/>
              </w:rPr>
              <w:t>PB</w:t>
            </w:r>
          </w:p>
        </w:tc>
        <w:tc>
          <w:tcPr>
            <w:tcW w:w="3307" w:type="dxa"/>
            <w:tcBorders>
              <w:top w:val="single" w:sz="4" w:space="0" w:color="BFBFBF"/>
              <w:bottom w:val="single" w:sz="4" w:space="0" w:color="BFBFBF"/>
            </w:tcBorders>
          </w:tcPr>
          <w:p>
            <w:pPr>
              <w:pStyle w:val="TableParagraph"/>
              <w:spacing w:line="210" w:lineRule="exact"/>
              <w:ind w:left="266"/>
              <w:rPr>
                <w:rFonts w:ascii="Arial Unicode MS" w:hAnsi="Arial Unicode MS"/>
                <w:sz w:val="17"/>
              </w:rPr>
            </w:pPr>
            <w:r>
              <w:rPr>
                <w:rFonts w:ascii="Arial Unicode MS" w:hAnsi="Arial Unicode MS"/>
                <w:sz w:val="17"/>
              </w:rPr>
              <w:t>Antônio Francisco de Oliveira *</w:t>
            </w:r>
          </w:p>
        </w:tc>
        <w:tc>
          <w:tcPr>
            <w:tcW w:w="3665" w:type="dxa"/>
            <w:tcBorders>
              <w:top w:val="single" w:sz="4" w:space="0" w:color="BFBFBF"/>
              <w:bottom w:val="single" w:sz="4" w:space="0" w:color="BFBFBF"/>
            </w:tcBorders>
          </w:tcPr>
          <w:p>
            <w:pPr>
              <w:pStyle w:val="TableParagraph"/>
              <w:spacing w:line="210" w:lineRule="exact"/>
              <w:ind w:left="367"/>
              <w:rPr>
                <w:rFonts w:ascii="Arial Unicode MS"/>
                <w:sz w:val="17"/>
              </w:rPr>
            </w:pPr>
            <w:r>
              <w:rPr>
                <w:rFonts w:ascii="Arial Unicode MS"/>
                <w:sz w:val="17"/>
              </w:rPr>
              <w:t>Fabio Torres Galisa de Andrade *</w:t>
            </w:r>
          </w:p>
        </w:tc>
      </w:tr>
      <w:tr>
        <w:trPr>
          <w:trHeight w:val="225" w:hRule="atLeast"/>
        </w:trPr>
        <w:tc>
          <w:tcPr>
            <w:tcW w:w="967" w:type="dxa"/>
            <w:tcBorders>
              <w:top w:val="single" w:sz="4" w:space="0" w:color="BFBFBF"/>
              <w:bottom w:val="single" w:sz="4" w:space="0" w:color="BFBFBF"/>
            </w:tcBorders>
          </w:tcPr>
          <w:p>
            <w:pPr>
              <w:pStyle w:val="TableParagraph"/>
              <w:spacing w:line="205" w:lineRule="exact"/>
              <w:ind w:left="445"/>
              <w:rPr>
                <w:rFonts w:ascii="Arial Unicode MS"/>
                <w:sz w:val="17"/>
              </w:rPr>
            </w:pPr>
            <w:r>
              <w:rPr>
                <w:rFonts w:ascii="Arial Unicode MS"/>
                <w:sz w:val="17"/>
              </w:rPr>
              <w:t>PR</w:t>
            </w:r>
          </w:p>
        </w:tc>
        <w:tc>
          <w:tcPr>
            <w:tcW w:w="3307" w:type="dxa"/>
            <w:tcBorders>
              <w:top w:val="single" w:sz="4" w:space="0" w:color="BFBFBF"/>
              <w:bottom w:val="single" w:sz="4" w:space="0" w:color="BFBFBF"/>
            </w:tcBorders>
          </w:tcPr>
          <w:p>
            <w:pPr>
              <w:pStyle w:val="TableParagraph"/>
              <w:spacing w:line="205" w:lineRule="exact"/>
              <w:ind w:left="266"/>
              <w:rPr>
                <w:rFonts w:ascii="Arial Unicode MS" w:hAnsi="Arial Unicode MS"/>
                <w:sz w:val="17"/>
              </w:rPr>
            </w:pPr>
            <w:r>
              <w:rPr>
                <w:rFonts w:ascii="Arial Unicode MS" w:hAnsi="Arial Unicode MS"/>
                <w:sz w:val="17"/>
              </w:rPr>
              <w:t>Laércio Leonardo de Araújo</w:t>
            </w:r>
          </w:p>
        </w:tc>
        <w:tc>
          <w:tcPr>
            <w:tcW w:w="3665" w:type="dxa"/>
            <w:tcBorders>
              <w:top w:val="single" w:sz="4" w:space="0" w:color="BFBFBF"/>
              <w:bottom w:val="single" w:sz="4" w:space="0" w:color="BFBFBF"/>
            </w:tcBorders>
          </w:tcPr>
          <w:p>
            <w:pPr>
              <w:pStyle w:val="TableParagraph"/>
              <w:spacing w:line="205" w:lineRule="exact"/>
              <w:ind w:left="367"/>
              <w:rPr>
                <w:rFonts w:ascii="Arial Unicode MS" w:hAnsi="Arial Unicode MS"/>
                <w:sz w:val="17"/>
              </w:rPr>
            </w:pPr>
            <w:r>
              <w:rPr>
                <w:rFonts w:ascii="Arial Unicode MS" w:hAnsi="Arial Unicode MS"/>
                <w:sz w:val="17"/>
              </w:rPr>
              <w:t>Luís Salvador Petrucci Gnoato</w:t>
            </w:r>
          </w:p>
        </w:tc>
      </w:tr>
      <w:tr>
        <w:trPr>
          <w:trHeight w:val="230" w:hRule="atLeast"/>
        </w:trPr>
        <w:tc>
          <w:tcPr>
            <w:tcW w:w="967" w:type="dxa"/>
            <w:tcBorders>
              <w:top w:val="single" w:sz="4" w:space="0" w:color="BFBFBF"/>
              <w:bottom w:val="single" w:sz="4" w:space="0" w:color="BFBFBF"/>
            </w:tcBorders>
          </w:tcPr>
          <w:p>
            <w:pPr>
              <w:pStyle w:val="TableParagraph"/>
              <w:spacing w:line="210" w:lineRule="exact"/>
              <w:ind w:left="450"/>
              <w:rPr>
                <w:rFonts w:ascii="Arial Unicode MS"/>
                <w:sz w:val="17"/>
              </w:rPr>
            </w:pPr>
            <w:r>
              <w:rPr>
                <w:rFonts w:ascii="Arial Unicode MS"/>
                <w:sz w:val="17"/>
              </w:rPr>
              <w:t>PE</w:t>
            </w:r>
          </w:p>
        </w:tc>
        <w:tc>
          <w:tcPr>
            <w:tcW w:w="3307" w:type="dxa"/>
            <w:tcBorders>
              <w:top w:val="single" w:sz="4" w:space="0" w:color="BFBFBF"/>
              <w:bottom w:val="single" w:sz="4" w:space="0" w:color="BFBFBF"/>
            </w:tcBorders>
          </w:tcPr>
          <w:p>
            <w:pPr>
              <w:pStyle w:val="TableParagraph"/>
              <w:spacing w:line="210" w:lineRule="exact"/>
              <w:ind w:left="266"/>
              <w:rPr>
                <w:rFonts w:ascii="Arial Unicode MS"/>
                <w:sz w:val="17"/>
              </w:rPr>
            </w:pPr>
            <w:r>
              <w:rPr>
                <w:rFonts w:ascii="Arial Unicode MS"/>
                <w:sz w:val="17"/>
              </w:rPr>
              <w:t>Fernando Diniz Moreira</w:t>
            </w:r>
          </w:p>
        </w:tc>
        <w:tc>
          <w:tcPr>
            <w:tcW w:w="3665" w:type="dxa"/>
            <w:tcBorders>
              <w:top w:val="single" w:sz="4" w:space="0" w:color="BFBFBF"/>
              <w:bottom w:val="single" w:sz="4" w:space="0" w:color="BFBFBF"/>
            </w:tcBorders>
          </w:tcPr>
          <w:p>
            <w:pPr>
              <w:pStyle w:val="TableParagraph"/>
              <w:spacing w:line="210" w:lineRule="exact"/>
              <w:ind w:left="367"/>
              <w:rPr>
                <w:rFonts w:ascii="Arial Unicode MS" w:hAnsi="Arial Unicode MS"/>
                <w:sz w:val="17"/>
              </w:rPr>
            </w:pPr>
            <w:r>
              <w:rPr>
                <w:rFonts w:ascii="Arial Unicode MS" w:hAnsi="Arial Unicode MS"/>
                <w:sz w:val="17"/>
              </w:rPr>
              <w:t>José Luiz Mota Menezes</w:t>
            </w:r>
          </w:p>
        </w:tc>
      </w:tr>
      <w:tr>
        <w:trPr>
          <w:trHeight w:val="230" w:hRule="atLeast"/>
        </w:trPr>
        <w:tc>
          <w:tcPr>
            <w:tcW w:w="967" w:type="dxa"/>
            <w:tcBorders>
              <w:top w:val="single" w:sz="4" w:space="0" w:color="BFBFBF"/>
              <w:bottom w:val="single" w:sz="4" w:space="0" w:color="BFBFBF"/>
            </w:tcBorders>
          </w:tcPr>
          <w:p>
            <w:pPr>
              <w:pStyle w:val="TableParagraph"/>
              <w:spacing w:line="210" w:lineRule="exact"/>
              <w:ind w:left="483"/>
              <w:rPr>
                <w:rFonts w:ascii="Arial Unicode MS"/>
                <w:sz w:val="17"/>
              </w:rPr>
            </w:pPr>
            <w:r>
              <w:rPr>
                <w:rFonts w:ascii="Arial Unicode MS"/>
                <w:sz w:val="17"/>
              </w:rPr>
              <w:t>PI</w:t>
            </w:r>
          </w:p>
        </w:tc>
        <w:tc>
          <w:tcPr>
            <w:tcW w:w="3307" w:type="dxa"/>
            <w:tcBorders>
              <w:top w:val="single" w:sz="4" w:space="0" w:color="BFBFBF"/>
              <w:bottom w:val="single" w:sz="4" w:space="0" w:color="BFBFBF"/>
            </w:tcBorders>
          </w:tcPr>
          <w:p>
            <w:pPr>
              <w:pStyle w:val="TableParagraph"/>
              <w:spacing w:line="210" w:lineRule="exact"/>
              <w:ind w:left="266"/>
              <w:rPr>
                <w:rFonts w:ascii="Arial Unicode MS"/>
                <w:sz w:val="17"/>
              </w:rPr>
            </w:pPr>
            <w:r>
              <w:rPr>
                <w:rFonts w:ascii="Arial Unicode MS"/>
                <w:sz w:val="17"/>
              </w:rPr>
              <w:t>Ana Karine B. de Sousa</w:t>
            </w:r>
          </w:p>
        </w:tc>
        <w:tc>
          <w:tcPr>
            <w:tcW w:w="3665" w:type="dxa"/>
            <w:tcBorders>
              <w:top w:val="single" w:sz="4" w:space="0" w:color="BFBFBF"/>
              <w:bottom w:val="single" w:sz="4" w:space="0" w:color="BFBFBF"/>
            </w:tcBorders>
          </w:tcPr>
          <w:p>
            <w:pPr>
              <w:pStyle w:val="TableParagraph"/>
              <w:spacing w:line="210" w:lineRule="exact"/>
              <w:ind w:left="367"/>
              <w:rPr>
                <w:rFonts w:ascii="Arial Unicode MS"/>
                <w:sz w:val="17"/>
              </w:rPr>
            </w:pPr>
            <w:r>
              <w:rPr>
                <w:rFonts w:ascii="Arial Unicode MS"/>
                <w:sz w:val="17"/>
              </w:rPr>
              <w:t>Sinvaldo Gomes de Moura</w:t>
            </w:r>
          </w:p>
        </w:tc>
      </w:tr>
      <w:tr>
        <w:trPr>
          <w:trHeight w:val="225" w:hRule="atLeast"/>
        </w:trPr>
        <w:tc>
          <w:tcPr>
            <w:tcW w:w="967" w:type="dxa"/>
            <w:tcBorders>
              <w:top w:val="single" w:sz="4" w:space="0" w:color="BFBFBF"/>
              <w:bottom w:val="single" w:sz="4" w:space="0" w:color="BFBFBF"/>
            </w:tcBorders>
          </w:tcPr>
          <w:p>
            <w:pPr>
              <w:pStyle w:val="TableParagraph"/>
              <w:spacing w:line="205" w:lineRule="exact"/>
              <w:ind w:left="459"/>
              <w:rPr>
                <w:rFonts w:ascii="Arial Unicode MS"/>
                <w:sz w:val="17"/>
              </w:rPr>
            </w:pPr>
            <w:r>
              <w:rPr>
                <w:rFonts w:ascii="Arial Unicode MS"/>
                <w:sz w:val="17"/>
              </w:rPr>
              <w:t>RJ</w:t>
            </w:r>
          </w:p>
        </w:tc>
        <w:tc>
          <w:tcPr>
            <w:tcW w:w="3307" w:type="dxa"/>
            <w:tcBorders>
              <w:top w:val="single" w:sz="4" w:space="0" w:color="BFBFBF"/>
              <w:bottom w:val="single" w:sz="4" w:space="0" w:color="BFBFBF"/>
            </w:tcBorders>
          </w:tcPr>
          <w:p>
            <w:pPr>
              <w:pStyle w:val="TableParagraph"/>
              <w:spacing w:line="205" w:lineRule="exact"/>
              <w:ind w:left="266"/>
              <w:rPr>
                <w:rFonts w:ascii="Arial Unicode MS"/>
                <w:sz w:val="17"/>
              </w:rPr>
            </w:pPr>
            <w:r>
              <w:rPr>
                <w:rFonts w:ascii="Arial Unicode MS"/>
                <w:sz w:val="17"/>
              </w:rPr>
              <w:t>Paulo Oscar Saad</w:t>
            </w:r>
          </w:p>
        </w:tc>
        <w:tc>
          <w:tcPr>
            <w:tcW w:w="3665" w:type="dxa"/>
            <w:tcBorders>
              <w:top w:val="single" w:sz="4" w:space="0" w:color="BFBFBF"/>
              <w:bottom w:val="single" w:sz="4" w:space="0" w:color="BFBFBF"/>
            </w:tcBorders>
          </w:tcPr>
          <w:p>
            <w:pPr>
              <w:pStyle w:val="TableParagraph"/>
              <w:spacing w:line="205" w:lineRule="exact"/>
              <w:ind w:left="367"/>
              <w:rPr>
                <w:rFonts w:ascii="Arial Unicode MS" w:hAnsi="Arial Unicode MS"/>
                <w:sz w:val="17"/>
              </w:rPr>
            </w:pPr>
            <w:r>
              <w:rPr>
                <w:rFonts w:ascii="Arial Unicode MS" w:hAnsi="Arial Unicode MS"/>
                <w:sz w:val="17"/>
              </w:rPr>
              <w:t>Jerônimo de Moraes Neto</w:t>
            </w:r>
          </w:p>
        </w:tc>
      </w:tr>
      <w:tr>
        <w:trPr>
          <w:trHeight w:val="229" w:hRule="atLeast"/>
        </w:trPr>
        <w:tc>
          <w:tcPr>
            <w:tcW w:w="967" w:type="dxa"/>
            <w:tcBorders>
              <w:top w:val="single" w:sz="4" w:space="0" w:color="BFBFBF"/>
              <w:bottom w:val="single" w:sz="4" w:space="0" w:color="BFBFBF"/>
            </w:tcBorders>
          </w:tcPr>
          <w:p>
            <w:pPr>
              <w:pStyle w:val="TableParagraph"/>
              <w:spacing w:line="210" w:lineRule="exact"/>
              <w:ind w:left="440"/>
              <w:rPr>
                <w:rFonts w:ascii="Arial Unicode MS"/>
                <w:sz w:val="17"/>
              </w:rPr>
            </w:pPr>
            <w:r>
              <w:rPr>
                <w:rFonts w:ascii="Arial Unicode MS"/>
                <w:sz w:val="17"/>
              </w:rPr>
              <w:t>RN</w:t>
            </w:r>
          </w:p>
        </w:tc>
        <w:tc>
          <w:tcPr>
            <w:tcW w:w="3307" w:type="dxa"/>
            <w:tcBorders>
              <w:top w:val="single" w:sz="4" w:space="0" w:color="BFBFBF"/>
              <w:bottom w:val="single" w:sz="4" w:space="0" w:color="BFBFBF"/>
            </w:tcBorders>
          </w:tcPr>
          <w:p>
            <w:pPr>
              <w:pStyle w:val="TableParagraph"/>
              <w:spacing w:line="210" w:lineRule="exact"/>
              <w:ind w:left="266"/>
              <w:rPr>
                <w:rFonts w:ascii="Arial Unicode MS" w:hAnsi="Arial Unicode MS"/>
                <w:sz w:val="17"/>
              </w:rPr>
            </w:pPr>
            <w:r>
              <w:rPr>
                <w:rFonts w:ascii="Arial Unicode MS" w:hAnsi="Arial Unicode MS"/>
                <w:sz w:val="17"/>
              </w:rPr>
              <w:t>Fernando José de Medeiros Costa</w:t>
            </w:r>
          </w:p>
        </w:tc>
        <w:tc>
          <w:tcPr>
            <w:tcW w:w="3665" w:type="dxa"/>
            <w:tcBorders>
              <w:top w:val="single" w:sz="4" w:space="0" w:color="BFBFBF"/>
              <w:bottom w:val="single" w:sz="4" w:space="0" w:color="BFBFBF"/>
            </w:tcBorders>
          </w:tcPr>
          <w:p>
            <w:pPr>
              <w:pStyle w:val="TableParagraph"/>
              <w:spacing w:line="210" w:lineRule="exact"/>
              <w:ind w:left="367"/>
              <w:rPr>
                <w:rFonts w:ascii="Arial Unicode MS" w:hAnsi="Arial Unicode MS"/>
                <w:sz w:val="17"/>
              </w:rPr>
            </w:pPr>
            <w:r>
              <w:rPr>
                <w:rFonts w:ascii="Arial Unicode MS" w:hAnsi="Arial Unicode MS"/>
                <w:sz w:val="17"/>
              </w:rPr>
              <w:t>Josenita Araújo da C. Dantas</w:t>
            </w:r>
          </w:p>
        </w:tc>
      </w:tr>
      <w:tr>
        <w:trPr>
          <w:trHeight w:val="225" w:hRule="atLeast"/>
        </w:trPr>
        <w:tc>
          <w:tcPr>
            <w:tcW w:w="967" w:type="dxa"/>
            <w:tcBorders>
              <w:top w:val="single" w:sz="4" w:space="0" w:color="BFBFBF"/>
              <w:bottom w:val="single" w:sz="4" w:space="0" w:color="BFBFBF"/>
            </w:tcBorders>
          </w:tcPr>
          <w:p>
            <w:pPr>
              <w:pStyle w:val="TableParagraph"/>
              <w:spacing w:line="205" w:lineRule="exact"/>
              <w:ind w:left="445"/>
              <w:rPr>
                <w:rFonts w:ascii="Arial Unicode MS"/>
                <w:sz w:val="17"/>
              </w:rPr>
            </w:pPr>
            <w:r>
              <w:rPr>
                <w:rFonts w:ascii="Arial Unicode MS"/>
                <w:sz w:val="17"/>
              </w:rPr>
              <w:t>RS</w:t>
            </w:r>
          </w:p>
        </w:tc>
        <w:tc>
          <w:tcPr>
            <w:tcW w:w="3307" w:type="dxa"/>
            <w:tcBorders>
              <w:top w:val="single" w:sz="4" w:space="0" w:color="BFBFBF"/>
              <w:bottom w:val="single" w:sz="4" w:space="0" w:color="BFBFBF"/>
            </w:tcBorders>
          </w:tcPr>
          <w:p>
            <w:pPr>
              <w:pStyle w:val="TableParagraph"/>
              <w:spacing w:line="205" w:lineRule="exact"/>
              <w:ind w:left="266"/>
              <w:rPr>
                <w:rFonts w:ascii="Arial Unicode MS"/>
                <w:sz w:val="17"/>
              </w:rPr>
            </w:pPr>
            <w:r>
              <w:rPr>
                <w:rFonts w:ascii="Arial Unicode MS"/>
                <w:sz w:val="17"/>
              </w:rPr>
              <w:t>Cesar Dorfman *</w:t>
            </w:r>
          </w:p>
        </w:tc>
        <w:tc>
          <w:tcPr>
            <w:tcW w:w="3665" w:type="dxa"/>
            <w:tcBorders>
              <w:top w:val="single" w:sz="4" w:space="0" w:color="BFBFBF"/>
              <w:bottom w:val="single" w:sz="4" w:space="0" w:color="BFBFBF"/>
            </w:tcBorders>
          </w:tcPr>
          <w:p>
            <w:pPr>
              <w:pStyle w:val="TableParagraph"/>
              <w:spacing w:line="205" w:lineRule="exact"/>
              <w:ind w:left="367"/>
              <w:rPr>
                <w:rFonts w:ascii="Arial Unicode MS"/>
                <w:sz w:val="17"/>
              </w:rPr>
            </w:pPr>
            <w:r>
              <w:rPr>
                <w:rFonts w:ascii="Arial Unicode MS"/>
                <w:sz w:val="17"/>
              </w:rPr>
              <w:t>Gislaine Vargas Saibro *</w:t>
            </w:r>
          </w:p>
        </w:tc>
      </w:tr>
      <w:tr>
        <w:trPr>
          <w:trHeight w:val="230" w:hRule="atLeast"/>
        </w:trPr>
        <w:tc>
          <w:tcPr>
            <w:tcW w:w="967" w:type="dxa"/>
            <w:tcBorders>
              <w:top w:val="single" w:sz="4" w:space="0" w:color="BFBFBF"/>
              <w:bottom w:val="single" w:sz="4" w:space="0" w:color="BFBFBF"/>
            </w:tcBorders>
          </w:tcPr>
          <w:p>
            <w:pPr>
              <w:pStyle w:val="TableParagraph"/>
              <w:spacing w:line="210" w:lineRule="exact"/>
              <w:ind w:left="435"/>
              <w:rPr>
                <w:rFonts w:ascii="Arial Unicode MS"/>
                <w:sz w:val="17"/>
              </w:rPr>
            </w:pPr>
            <w:r>
              <w:rPr>
                <w:rFonts w:ascii="Arial Unicode MS"/>
                <w:sz w:val="17"/>
              </w:rPr>
              <w:t>RO</w:t>
            </w:r>
          </w:p>
        </w:tc>
        <w:tc>
          <w:tcPr>
            <w:tcW w:w="3307" w:type="dxa"/>
            <w:tcBorders>
              <w:top w:val="single" w:sz="4" w:space="0" w:color="BFBFBF"/>
              <w:bottom w:val="single" w:sz="4" w:space="0" w:color="BFBFBF"/>
            </w:tcBorders>
          </w:tcPr>
          <w:p>
            <w:pPr>
              <w:pStyle w:val="TableParagraph"/>
              <w:spacing w:line="210" w:lineRule="exact"/>
              <w:ind w:left="266"/>
              <w:rPr>
                <w:rFonts w:ascii="Arial Unicode MS"/>
                <w:sz w:val="17"/>
              </w:rPr>
            </w:pPr>
            <w:r>
              <w:rPr>
                <w:rFonts w:ascii="Arial Unicode MS"/>
                <w:sz w:val="17"/>
              </w:rPr>
              <w:t>Silvio Carvajal Feitosa *</w:t>
            </w:r>
          </w:p>
        </w:tc>
        <w:tc>
          <w:tcPr>
            <w:tcW w:w="3665" w:type="dxa"/>
            <w:tcBorders>
              <w:top w:val="single" w:sz="4" w:space="0" w:color="BFBFBF"/>
              <w:bottom w:val="single" w:sz="4" w:space="0" w:color="BFBFBF"/>
            </w:tcBorders>
          </w:tcPr>
          <w:p>
            <w:pPr>
              <w:pStyle w:val="TableParagraph"/>
              <w:spacing w:line="210" w:lineRule="exact"/>
              <w:ind w:left="367"/>
              <w:rPr>
                <w:rFonts w:ascii="Arial Unicode MS"/>
                <w:sz w:val="17"/>
              </w:rPr>
            </w:pPr>
            <w:r>
              <w:rPr>
                <w:rFonts w:ascii="Arial Unicode MS"/>
                <w:sz w:val="17"/>
              </w:rPr>
              <w:t>Ana Cristina L. Barreiros da Silva *</w:t>
            </w:r>
          </w:p>
        </w:tc>
      </w:tr>
      <w:tr>
        <w:trPr>
          <w:trHeight w:val="225" w:hRule="atLeast"/>
        </w:trPr>
        <w:tc>
          <w:tcPr>
            <w:tcW w:w="967" w:type="dxa"/>
            <w:tcBorders>
              <w:top w:val="single" w:sz="4" w:space="0" w:color="BFBFBF"/>
              <w:bottom w:val="single" w:sz="4" w:space="0" w:color="BFBFBF"/>
            </w:tcBorders>
          </w:tcPr>
          <w:p>
            <w:pPr>
              <w:pStyle w:val="TableParagraph"/>
              <w:spacing w:line="205" w:lineRule="exact"/>
              <w:ind w:left="440"/>
              <w:rPr>
                <w:rFonts w:ascii="Arial Unicode MS"/>
                <w:sz w:val="17"/>
              </w:rPr>
            </w:pPr>
            <w:r>
              <w:rPr>
                <w:rFonts w:ascii="Arial Unicode MS"/>
                <w:sz w:val="17"/>
              </w:rPr>
              <w:t>RR</w:t>
            </w:r>
          </w:p>
        </w:tc>
        <w:tc>
          <w:tcPr>
            <w:tcW w:w="3307" w:type="dxa"/>
            <w:tcBorders>
              <w:top w:val="single" w:sz="4" w:space="0" w:color="BFBFBF"/>
              <w:bottom w:val="single" w:sz="4" w:space="0" w:color="BFBFBF"/>
            </w:tcBorders>
          </w:tcPr>
          <w:p>
            <w:pPr>
              <w:pStyle w:val="TableParagraph"/>
              <w:spacing w:line="205" w:lineRule="exact"/>
              <w:ind w:left="266"/>
              <w:rPr>
                <w:rFonts w:ascii="Arial Unicode MS"/>
                <w:sz w:val="17"/>
              </w:rPr>
            </w:pPr>
            <w:r>
              <w:rPr>
                <w:rFonts w:ascii="Arial Unicode MS"/>
                <w:sz w:val="17"/>
              </w:rPr>
              <w:t>Luiz Afonso Maciel de Melo</w:t>
            </w:r>
          </w:p>
        </w:tc>
        <w:tc>
          <w:tcPr>
            <w:tcW w:w="3665" w:type="dxa"/>
            <w:tcBorders>
              <w:top w:val="single" w:sz="4" w:space="0" w:color="BFBFBF"/>
              <w:bottom w:val="single" w:sz="4" w:space="0" w:color="BFBFBF"/>
            </w:tcBorders>
          </w:tcPr>
          <w:p>
            <w:pPr>
              <w:pStyle w:val="TableParagraph"/>
              <w:spacing w:line="205" w:lineRule="exact"/>
              <w:ind w:left="367"/>
              <w:rPr>
                <w:rFonts w:ascii="Arial Unicode MS" w:hAnsi="Arial Unicode MS"/>
                <w:sz w:val="17"/>
              </w:rPr>
            </w:pPr>
            <w:r>
              <w:rPr>
                <w:rFonts w:ascii="Arial Unicode MS" w:hAnsi="Arial Unicode MS"/>
                <w:sz w:val="17"/>
              </w:rPr>
              <w:t>João Nelson P. Marques Vicente</w:t>
            </w:r>
          </w:p>
        </w:tc>
      </w:tr>
      <w:tr>
        <w:trPr>
          <w:trHeight w:val="230" w:hRule="atLeast"/>
        </w:trPr>
        <w:tc>
          <w:tcPr>
            <w:tcW w:w="967" w:type="dxa"/>
            <w:tcBorders>
              <w:top w:val="single" w:sz="4" w:space="0" w:color="BFBFBF"/>
              <w:bottom w:val="single" w:sz="4" w:space="0" w:color="BFBFBF"/>
            </w:tcBorders>
          </w:tcPr>
          <w:p>
            <w:pPr>
              <w:pStyle w:val="TableParagraph"/>
              <w:spacing w:line="210" w:lineRule="exact"/>
              <w:ind w:left="445"/>
              <w:rPr>
                <w:rFonts w:ascii="Arial Unicode MS"/>
                <w:sz w:val="17"/>
              </w:rPr>
            </w:pPr>
            <w:r>
              <w:rPr>
                <w:rFonts w:ascii="Arial Unicode MS"/>
                <w:sz w:val="17"/>
              </w:rPr>
              <w:t>SC</w:t>
            </w:r>
          </w:p>
        </w:tc>
        <w:tc>
          <w:tcPr>
            <w:tcW w:w="3307" w:type="dxa"/>
            <w:tcBorders>
              <w:top w:val="single" w:sz="4" w:space="0" w:color="BFBFBF"/>
              <w:bottom w:val="single" w:sz="4" w:space="0" w:color="BFBFBF"/>
            </w:tcBorders>
          </w:tcPr>
          <w:p>
            <w:pPr>
              <w:pStyle w:val="TableParagraph"/>
              <w:spacing w:line="210" w:lineRule="exact"/>
              <w:ind w:left="266"/>
              <w:rPr>
                <w:rFonts w:ascii="Arial Unicode MS"/>
                <w:sz w:val="17"/>
              </w:rPr>
            </w:pPr>
            <w:r>
              <w:rPr>
                <w:rFonts w:ascii="Arial Unicode MS"/>
                <w:sz w:val="17"/>
              </w:rPr>
              <w:t>Roberto Rodrigues Simon</w:t>
            </w:r>
          </w:p>
        </w:tc>
        <w:tc>
          <w:tcPr>
            <w:tcW w:w="3665" w:type="dxa"/>
            <w:tcBorders>
              <w:top w:val="single" w:sz="4" w:space="0" w:color="BFBFBF"/>
              <w:bottom w:val="single" w:sz="4" w:space="0" w:color="BFBFBF"/>
            </w:tcBorders>
          </w:tcPr>
          <w:p>
            <w:pPr>
              <w:pStyle w:val="TableParagraph"/>
              <w:spacing w:line="210" w:lineRule="exact"/>
              <w:ind w:left="367"/>
              <w:rPr>
                <w:rFonts w:ascii="Arial Unicode MS"/>
                <w:sz w:val="17"/>
              </w:rPr>
            </w:pPr>
            <w:r>
              <w:rPr>
                <w:rFonts w:ascii="Arial Unicode MS"/>
                <w:sz w:val="17"/>
              </w:rPr>
              <w:t>Nelson Saraiva</w:t>
            </w:r>
          </w:p>
        </w:tc>
      </w:tr>
      <w:tr>
        <w:trPr>
          <w:trHeight w:val="225" w:hRule="atLeast"/>
        </w:trPr>
        <w:tc>
          <w:tcPr>
            <w:tcW w:w="967" w:type="dxa"/>
            <w:tcBorders>
              <w:top w:val="single" w:sz="4" w:space="0" w:color="BFBFBF"/>
              <w:bottom w:val="single" w:sz="4" w:space="0" w:color="BFBFBF"/>
            </w:tcBorders>
          </w:tcPr>
          <w:p>
            <w:pPr>
              <w:pStyle w:val="TableParagraph"/>
              <w:spacing w:line="205" w:lineRule="exact"/>
              <w:ind w:left="450"/>
              <w:rPr>
                <w:rFonts w:ascii="Arial Unicode MS"/>
                <w:sz w:val="17"/>
              </w:rPr>
            </w:pPr>
            <w:r>
              <w:rPr>
                <w:rFonts w:ascii="Arial Unicode MS"/>
                <w:sz w:val="17"/>
              </w:rPr>
              <w:t>SP</w:t>
            </w:r>
          </w:p>
        </w:tc>
        <w:tc>
          <w:tcPr>
            <w:tcW w:w="3307" w:type="dxa"/>
            <w:tcBorders>
              <w:top w:val="single" w:sz="4" w:space="0" w:color="BFBFBF"/>
              <w:bottom w:val="single" w:sz="4" w:space="0" w:color="BFBFBF"/>
            </w:tcBorders>
          </w:tcPr>
          <w:p>
            <w:pPr>
              <w:pStyle w:val="TableParagraph"/>
              <w:spacing w:line="205" w:lineRule="exact"/>
              <w:ind w:left="266"/>
              <w:rPr>
                <w:rFonts w:ascii="Arial Unicode MS"/>
                <w:sz w:val="17"/>
              </w:rPr>
            </w:pPr>
            <w:r>
              <w:rPr>
                <w:rFonts w:ascii="Arial Unicode MS"/>
                <w:sz w:val="17"/>
              </w:rPr>
              <w:t>Miguel Alves Pereira</w:t>
            </w:r>
          </w:p>
        </w:tc>
        <w:tc>
          <w:tcPr>
            <w:tcW w:w="3665" w:type="dxa"/>
            <w:tcBorders>
              <w:top w:val="single" w:sz="4" w:space="0" w:color="BFBFBF"/>
              <w:bottom w:val="single" w:sz="4" w:space="0" w:color="BFBFBF"/>
            </w:tcBorders>
          </w:tcPr>
          <w:p>
            <w:pPr>
              <w:pStyle w:val="TableParagraph"/>
              <w:spacing w:line="205" w:lineRule="exact"/>
              <w:ind w:left="367"/>
              <w:rPr>
                <w:rFonts w:ascii="Arial Unicode MS"/>
                <w:sz w:val="17"/>
              </w:rPr>
            </w:pPr>
            <w:r>
              <w:rPr>
                <w:rFonts w:ascii="Arial Unicode MS"/>
                <w:sz w:val="17"/>
              </w:rPr>
              <w:t>Daniel Amor</w:t>
            </w:r>
          </w:p>
        </w:tc>
      </w:tr>
      <w:tr>
        <w:trPr>
          <w:trHeight w:val="230" w:hRule="atLeast"/>
        </w:trPr>
        <w:tc>
          <w:tcPr>
            <w:tcW w:w="967" w:type="dxa"/>
            <w:tcBorders>
              <w:top w:val="single" w:sz="4" w:space="0" w:color="BFBFBF"/>
              <w:bottom w:val="single" w:sz="4" w:space="0" w:color="BFBFBF"/>
            </w:tcBorders>
          </w:tcPr>
          <w:p>
            <w:pPr>
              <w:pStyle w:val="TableParagraph"/>
              <w:spacing w:line="210" w:lineRule="exact"/>
              <w:ind w:left="450"/>
              <w:rPr>
                <w:rFonts w:ascii="Arial Unicode MS"/>
                <w:sz w:val="17"/>
              </w:rPr>
            </w:pPr>
            <w:r>
              <w:rPr>
                <w:rFonts w:ascii="Arial Unicode MS"/>
                <w:sz w:val="17"/>
              </w:rPr>
              <w:t>SE</w:t>
            </w:r>
          </w:p>
        </w:tc>
        <w:tc>
          <w:tcPr>
            <w:tcW w:w="3307" w:type="dxa"/>
            <w:tcBorders>
              <w:top w:val="single" w:sz="4" w:space="0" w:color="BFBFBF"/>
              <w:bottom w:val="single" w:sz="4" w:space="0" w:color="BFBFBF"/>
            </w:tcBorders>
          </w:tcPr>
          <w:p>
            <w:pPr>
              <w:pStyle w:val="TableParagraph"/>
              <w:spacing w:line="210" w:lineRule="exact"/>
              <w:ind w:left="266"/>
              <w:rPr>
                <w:rFonts w:ascii="Arial Unicode MS"/>
                <w:sz w:val="17"/>
              </w:rPr>
            </w:pPr>
            <w:r>
              <w:rPr>
                <w:rFonts w:ascii="Arial Unicode MS"/>
                <w:sz w:val="17"/>
              </w:rPr>
              <w:t>Marcelo Augusto Costa Maciel</w:t>
            </w:r>
          </w:p>
        </w:tc>
        <w:tc>
          <w:tcPr>
            <w:tcW w:w="3665" w:type="dxa"/>
            <w:tcBorders>
              <w:top w:val="single" w:sz="4" w:space="0" w:color="BFBFBF"/>
              <w:bottom w:val="single" w:sz="4" w:space="0" w:color="BFBFBF"/>
            </w:tcBorders>
          </w:tcPr>
          <w:p>
            <w:pPr>
              <w:pStyle w:val="TableParagraph"/>
              <w:spacing w:line="210" w:lineRule="exact"/>
              <w:ind w:left="367"/>
              <w:rPr>
                <w:rFonts w:ascii="Arial Unicode MS" w:hAnsi="Arial Unicode MS"/>
                <w:sz w:val="17"/>
              </w:rPr>
            </w:pPr>
            <w:r>
              <w:rPr>
                <w:rFonts w:ascii="Arial Unicode MS" w:hAnsi="Arial Unicode MS"/>
                <w:sz w:val="17"/>
              </w:rPr>
              <w:t>Fabio José de Matos Barbosa</w:t>
            </w:r>
          </w:p>
        </w:tc>
      </w:tr>
      <w:tr>
        <w:trPr>
          <w:trHeight w:val="225" w:hRule="atLeast"/>
        </w:trPr>
        <w:tc>
          <w:tcPr>
            <w:tcW w:w="967" w:type="dxa"/>
            <w:tcBorders>
              <w:top w:val="single" w:sz="4" w:space="0" w:color="BFBFBF"/>
              <w:bottom w:val="single" w:sz="4" w:space="0" w:color="BFBFBF"/>
            </w:tcBorders>
          </w:tcPr>
          <w:p>
            <w:pPr>
              <w:pStyle w:val="TableParagraph"/>
              <w:spacing w:line="205" w:lineRule="exact"/>
              <w:ind w:left="445"/>
              <w:rPr>
                <w:rFonts w:ascii="Arial Unicode MS"/>
                <w:sz w:val="17"/>
              </w:rPr>
            </w:pPr>
            <w:r>
              <w:rPr>
                <w:rFonts w:ascii="Arial Unicode MS"/>
                <w:sz w:val="17"/>
              </w:rPr>
              <w:t>TO</w:t>
            </w:r>
          </w:p>
        </w:tc>
        <w:tc>
          <w:tcPr>
            <w:tcW w:w="3307" w:type="dxa"/>
            <w:tcBorders>
              <w:top w:val="single" w:sz="4" w:space="0" w:color="BFBFBF"/>
              <w:bottom w:val="single" w:sz="4" w:space="0" w:color="BFBFBF"/>
            </w:tcBorders>
          </w:tcPr>
          <w:p>
            <w:pPr>
              <w:pStyle w:val="TableParagraph"/>
              <w:spacing w:line="205" w:lineRule="exact"/>
              <w:ind w:left="266"/>
              <w:rPr>
                <w:rFonts w:ascii="Arial Unicode MS"/>
                <w:sz w:val="17"/>
              </w:rPr>
            </w:pPr>
            <w:r>
              <w:rPr>
                <w:rFonts w:ascii="Arial Unicode MS"/>
                <w:sz w:val="17"/>
              </w:rPr>
              <w:t>Gilmar Scaravonatti *</w:t>
            </w:r>
          </w:p>
        </w:tc>
        <w:tc>
          <w:tcPr>
            <w:tcW w:w="3665" w:type="dxa"/>
            <w:tcBorders>
              <w:top w:val="single" w:sz="4" w:space="0" w:color="BFBFBF"/>
              <w:bottom w:val="single" w:sz="4" w:space="0" w:color="BFBFBF"/>
            </w:tcBorders>
          </w:tcPr>
          <w:p>
            <w:pPr>
              <w:pStyle w:val="TableParagraph"/>
              <w:spacing w:line="205" w:lineRule="exact"/>
              <w:ind w:left="367"/>
              <w:rPr>
                <w:rFonts w:ascii="Arial Unicode MS"/>
                <w:sz w:val="17"/>
              </w:rPr>
            </w:pPr>
            <w:r>
              <w:rPr>
                <w:rFonts w:ascii="Arial Unicode MS"/>
                <w:sz w:val="17"/>
              </w:rPr>
              <w:t>Luis Hildebrando F. Paz *</w:t>
            </w:r>
          </w:p>
        </w:tc>
      </w:tr>
    </w:tbl>
    <w:p>
      <w:pPr>
        <w:spacing w:line="232" w:lineRule="exact" w:before="0"/>
        <w:ind w:left="1545" w:right="1158" w:firstLine="0"/>
        <w:jc w:val="center"/>
        <w:rPr>
          <w:rFonts w:ascii="Arial Unicode MS" w:hAnsi="Arial Unicode MS"/>
          <w:sz w:val="17"/>
        </w:rPr>
      </w:pPr>
      <w:r>
        <w:rPr>
          <w:rFonts w:ascii="Arial Unicode MS" w:hAnsi="Arial Unicode MS"/>
          <w:sz w:val="17"/>
        </w:rPr>
        <w:t>INSTITUIÇÕES DE ENSINO SUPERIOR</w:t>
      </w:r>
    </w:p>
    <w:p>
      <w:pPr>
        <w:tabs>
          <w:tab w:pos="11096" w:val="left" w:leader="none"/>
        </w:tabs>
        <w:spacing w:line="241" w:lineRule="exact" w:before="0"/>
        <w:ind w:left="7728" w:right="0" w:firstLine="0"/>
        <w:jc w:val="left"/>
        <w:rPr>
          <w:rFonts w:ascii="Arial Unicode MS" w:hAnsi="Arial Unicode MS"/>
          <w:sz w:val="17"/>
        </w:rPr>
      </w:pPr>
      <w:r>
        <w:rPr/>
        <w:pict>
          <v:group style="position:absolute;margin-left:329.519989pt;margin-top:.030856pt;width:397pt;height:.5pt;mso-position-horizontal-relative:page;mso-position-vertical-relative:paragraph;z-index:1384" coordorigin="6590,1" coordsize="7940,10">
            <v:line style="position:absolute" from="6590,5" to="11126,5" stroked="true" strokeweight=".480011pt" strokecolor="#bfbfbf">
              <v:stroke dashstyle="solid"/>
            </v:line>
            <v:rect style="position:absolute;left:11126;top:0;width:10;height:10" filled="true" fillcolor="#bfbfbf" stroked="false">
              <v:fill type="solid"/>
            </v:rect>
            <v:line style="position:absolute" from="11136,5" to="14530,5" stroked="true" strokeweight=".480011pt" strokecolor="#bfbfbf">
              <v:stroke dashstyle="solid"/>
            </v:line>
            <w10:wrap type="none"/>
          </v:group>
        </w:pict>
      </w:r>
      <w:r>
        <w:rPr/>
        <w:pict>
          <v:group style="position:absolute;margin-left:328.799988pt;margin-top:11.790871pt;width:397.7pt;height:.5pt;mso-position-horizontal-relative:page;mso-position-vertical-relative:paragraph;z-index:1408" coordorigin="6576,236" coordsize="7954,10">
            <v:line style="position:absolute" from="6576,241" to="11126,241" stroked="true" strokeweight=".479996pt" strokecolor="#bfbfbf">
              <v:stroke dashstyle="solid"/>
            </v:line>
            <v:rect style="position:absolute;left:11112;top:235;width:10;height:10" filled="true" fillcolor="#bfbfbf" stroked="false">
              <v:fill type="solid"/>
            </v:rect>
            <v:line style="position:absolute" from="11122,241" to="14530,241" stroked="true" strokeweight=".479996pt" strokecolor="#bfbfbf">
              <v:stroke dashstyle="solid"/>
            </v:line>
            <w10:wrap type="none"/>
          </v:group>
        </w:pict>
      </w:r>
      <w:r>
        <w:rPr>
          <w:rFonts w:ascii="Arial Unicode MS" w:hAnsi="Arial Unicode MS"/>
          <w:sz w:val="17"/>
        </w:rPr>
        <w:t>José Roberto</w:t>
      </w:r>
      <w:r>
        <w:rPr>
          <w:rFonts w:ascii="Arial Unicode MS" w:hAnsi="Arial Unicode MS"/>
          <w:spacing w:val="-1"/>
          <w:sz w:val="17"/>
        </w:rPr>
        <w:t> </w:t>
      </w:r>
      <w:r>
        <w:rPr>
          <w:rFonts w:ascii="Arial Unicode MS" w:hAnsi="Arial Unicode MS"/>
          <w:sz w:val="17"/>
        </w:rPr>
        <w:t>Geraldine</w:t>
      </w:r>
      <w:r>
        <w:rPr>
          <w:rFonts w:ascii="Arial Unicode MS" w:hAnsi="Arial Unicode MS"/>
          <w:spacing w:val="-1"/>
          <w:sz w:val="17"/>
        </w:rPr>
        <w:t> </w:t>
      </w:r>
      <w:r>
        <w:rPr>
          <w:rFonts w:ascii="Arial Unicode MS" w:hAnsi="Arial Unicode MS"/>
          <w:sz w:val="17"/>
        </w:rPr>
        <w:t>Júnior</w:t>
        <w:tab/>
        <w:t>José Antônio</w:t>
      </w:r>
      <w:r>
        <w:rPr>
          <w:rFonts w:ascii="Arial Unicode MS" w:hAnsi="Arial Unicode MS"/>
          <w:spacing w:val="2"/>
          <w:sz w:val="17"/>
        </w:rPr>
        <w:t> </w:t>
      </w:r>
      <w:r>
        <w:rPr>
          <w:rFonts w:ascii="Arial Unicode MS" w:hAnsi="Arial Unicode MS"/>
          <w:sz w:val="17"/>
        </w:rPr>
        <w:t>Lanchoti</w:t>
      </w:r>
    </w:p>
    <w:p>
      <w:pPr>
        <w:spacing w:line="319" w:lineRule="exact" w:before="0"/>
        <w:ind w:left="6451" w:right="0" w:firstLine="0"/>
        <w:jc w:val="left"/>
        <w:rPr>
          <w:rFonts w:ascii="Arial Unicode MS" w:hAnsi="Arial Unicode MS"/>
          <w:i/>
          <w:sz w:val="16"/>
        </w:rPr>
      </w:pPr>
      <w:r>
        <w:rPr>
          <w:rFonts w:ascii="Arial Unicode MS" w:hAnsi="Arial Unicode MS"/>
          <w:sz w:val="19"/>
        </w:rPr>
        <w:t>* </w:t>
      </w:r>
      <w:r>
        <w:rPr>
          <w:rFonts w:ascii="Arial Unicode MS" w:hAnsi="Arial Unicode MS"/>
          <w:i/>
          <w:sz w:val="16"/>
        </w:rPr>
        <w:t>Membros da Comissão de Exercício Profissional (CEP-CAU/BR)</w:t>
      </w:r>
    </w:p>
    <w:p>
      <w:pPr>
        <w:spacing w:after="0" w:line="319" w:lineRule="exact"/>
        <w:jc w:val="left"/>
        <w:rPr>
          <w:rFonts w:ascii="Arial Unicode MS" w:hAnsi="Arial Unicode MS"/>
          <w:sz w:val="16"/>
        </w:rPr>
        <w:sectPr>
          <w:pgSz w:w="16840" w:h="11900" w:orient="landscape"/>
          <w:pgMar w:top="240" w:bottom="0" w:left="140" w:right="860"/>
        </w:sectPr>
      </w:pPr>
    </w:p>
    <w:p>
      <w:pPr>
        <w:pStyle w:val="Heading4"/>
        <w:spacing w:before="82"/>
      </w:pPr>
      <w:r>
        <w:rPr/>
        <w:pict>
          <v:group style="position:absolute;margin-left:12pt;margin-top:12pt;width:775.7pt;height:571pt;mso-position-horizontal-relative:page;mso-position-vertical-relative:page;z-index:-147616" coordorigin="240,240" coordsize="15514,11420">
            <v:rect style="position:absolute;left:240;top:240;width:3164;height:11420" filled="true" fillcolor="#00666d" stroked="false">
              <v:fill type="solid"/>
            </v:rect>
            <v:line style="position:absolute" from="254,1862" to="15754,1862" stroked="true" strokeweight=".479981pt" strokecolor="#9db5bc">
              <v:stroke dashstyle="solid"/>
            </v:line>
            <w10:wrap type="none"/>
          </v:group>
        </w:pict>
      </w:r>
      <w:r>
        <w:rPr>
          <w:color w:val="00666D"/>
        </w:rPr>
        <w:t>- Manual de Fiscalização do Exercício da Arquitetura e Urbanismo -</w:t>
      </w:r>
    </w:p>
    <w:p>
      <w:pPr>
        <w:pStyle w:val="BodyText"/>
        <w:rPr>
          <w:rFonts w:ascii="DaxCondensed"/>
          <w:sz w:val="20"/>
        </w:rPr>
      </w:pPr>
    </w:p>
    <w:p>
      <w:pPr>
        <w:spacing w:before="216"/>
        <w:ind w:left="141" w:right="0" w:firstLine="0"/>
        <w:jc w:val="left"/>
        <w:rPr>
          <w:rFonts w:ascii="DaxCondensed" w:hAnsi="DaxCondensed"/>
          <w:sz w:val="36"/>
        </w:rPr>
      </w:pPr>
      <w:r>
        <w:rPr>
          <w:rFonts w:ascii="DaxCondensed" w:hAnsi="DaxCondensed"/>
          <w:color w:val="FFFFFF"/>
          <w:sz w:val="36"/>
        </w:rPr>
        <w:t>SUMÁRIO</w:t>
      </w:r>
    </w:p>
    <w:p>
      <w:pPr>
        <w:pStyle w:val="BodyText"/>
        <w:rPr>
          <w:rFonts w:ascii="DaxCondensed"/>
          <w:sz w:val="20"/>
        </w:rPr>
      </w:pPr>
    </w:p>
    <w:p>
      <w:pPr>
        <w:pStyle w:val="BodyText"/>
        <w:rPr>
          <w:rFonts w:ascii="DaxCondensed"/>
          <w:sz w:val="20"/>
        </w:rPr>
      </w:pPr>
    </w:p>
    <w:p>
      <w:pPr>
        <w:pStyle w:val="BodyText"/>
        <w:rPr>
          <w:rFonts w:ascii="DaxCondensed"/>
          <w:sz w:val="20"/>
        </w:rPr>
      </w:pPr>
    </w:p>
    <w:p>
      <w:pPr>
        <w:spacing w:after="0"/>
        <w:rPr>
          <w:rFonts w:ascii="DaxCondensed"/>
          <w:sz w:val="20"/>
        </w:rPr>
        <w:sectPr>
          <w:pgSz w:w="16840" w:h="11900" w:orient="landscape"/>
          <w:pgMar w:top="640" w:bottom="240" w:left="140" w:right="860"/>
        </w:sectPr>
      </w:pPr>
    </w:p>
    <w:sdt>
      <w:sdtPr>
        <w:docPartObj>
          <w:docPartGallery w:val="Table of Contents"/>
          <w:docPartUnique/>
        </w:docPartObj>
      </w:sdtPr>
      <w:sdtEndPr/>
      <w:sdtContent>
        <w:p>
          <w:pPr>
            <w:pStyle w:val="TOC3"/>
            <w:numPr>
              <w:ilvl w:val="0"/>
              <w:numId w:val="1"/>
            </w:numPr>
            <w:tabs>
              <w:tab w:pos="4911" w:val="left" w:leader="none"/>
              <w:tab w:pos="4912" w:val="left" w:leader="none"/>
              <w:tab w:pos="15591" w:val="right" w:leader="dot"/>
            </w:tabs>
            <w:spacing w:line="240" w:lineRule="auto" w:before="150" w:after="0"/>
            <w:ind w:left="4911" w:right="0" w:hanging="517"/>
            <w:jc w:val="left"/>
            <w:rPr>
              <w:b w:val="0"/>
              <w:sz w:val="19"/>
            </w:rPr>
          </w:pPr>
          <w:hyperlink w:history="true" w:anchor="_TOC_250016">
            <w:r>
              <w:rPr>
                <w:color w:val="00666D"/>
                <w:spacing w:val="20"/>
              </w:rPr>
              <w:t>Apresentação</w:t>
              <w:tab/>
            </w:r>
            <w:r>
              <w:rPr>
                <w:b w:val="0"/>
                <w:color w:val="00666D"/>
                <w:sz w:val="19"/>
              </w:rPr>
              <w:t>6</w:t>
            </w:r>
          </w:hyperlink>
        </w:p>
        <w:p>
          <w:pPr>
            <w:pStyle w:val="TOC3"/>
            <w:numPr>
              <w:ilvl w:val="0"/>
              <w:numId w:val="1"/>
            </w:numPr>
            <w:tabs>
              <w:tab w:pos="4911" w:val="left" w:leader="none"/>
              <w:tab w:pos="4912" w:val="left" w:leader="none"/>
              <w:tab w:pos="15591" w:val="right" w:leader="dot"/>
            </w:tabs>
            <w:spacing w:line="240" w:lineRule="auto" w:before="114" w:after="0"/>
            <w:ind w:left="4911" w:right="0" w:hanging="517"/>
            <w:jc w:val="left"/>
            <w:rPr>
              <w:b w:val="0"/>
              <w:sz w:val="19"/>
            </w:rPr>
          </w:pPr>
          <w:hyperlink w:history="true" w:anchor="_TOC_250015">
            <w:r>
              <w:rPr>
                <w:color w:val="00666D"/>
                <w:spacing w:val="20"/>
              </w:rPr>
              <w:t>Conceitos</w:t>
              <w:tab/>
            </w:r>
            <w:r>
              <w:rPr>
                <w:b w:val="0"/>
                <w:color w:val="00666D"/>
                <w:sz w:val="19"/>
              </w:rPr>
              <w:t>8</w:t>
            </w:r>
          </w:hyperlink>
        </w:p>
        <w:p>
          <w:pPr>
            <w:pStyle w:val="TOC3"/>
            <w:numPr>
              <w:ilvl w:val="0"/>
              <w:numId w:val="1"/>
            </w:numPr>
            <w:tabs>
              <w:tab w:pos="4911" w:val="left" w:leader="none"/>
              <w:tab w:pos="4912" w:val="left" w:leader="none"/>
              <w:tab w:pos="15591" w:val="right" w:leader="dot"/>
            </w:tabs>
            <w:spacing w:line="240" w:lineRule="auto" w:before="120" w:after="0"/>
            <w:ind w:left="4911" w:right="0" w:hanging="517"/>
            <w:jc w:val="left"/>
            <w:rPr>
              <w:b w:val="0"/>
              <w:sz w:val="19"/>
            </w:rPr>
          </w:pPr>
          <w:hyperlink w:history="true" w:anchor="_TOC_250014">
            <w:r>
              <w:rPr>
                <w:color w:val="00666D"/>
                <w:spacing w:val="20"/>
              </w:rPr>
              <w:t>Premissas</w:t>
              <w:tab/>
            </w:r>
            <w:r>
              <w:rPr>
                <w:b w:val="0"/>
                <w:color w:val="00666D"/>
                <w:sz w:val="19"/>
              </w:rPr>
              <w:t>9</w:t>
            </w:r>
          </w:hyperlink>
        </w:p>
        <w:p>
          <w:pPr>
            <w:pStyle w:val="TOC3"/>
            <w:numPr>
              <w:ilvl w:val="0"/>
              <w:numId w:val="1"/>
            </w:numPr>
            <w:tabs>
              <w:tab w:pos="4911" w:val="left" w:leader="none"/>
              <w:tab w:pos="4912" w:val="left" w:leader="none"/>
              <w:tab w:pos="15593" w:val="right" w:leader="dot"/>
            </w:tabs>
            <w:spacing w:line="240" w:lineRule="auto" w:before="119" w:after="0"/>
            <w:ind w:left="4911" w:right="0" w:hanging="517"/>
            <w:jc w:val="left"/>
            <w:rPr>
              <w:b w:val="0"/>
              <w:sz w:val="19"/>
            </w:rPr>
          </w:pPr>
          <w:hyperlink w:history="true" w:anchor="_TOC_250013">
            <w:r>
              <w:rPr>
                <w:color w:val="00666D"/>
                <w:spacing w:val="20"/>
              </w:rPr>
              <w:t>Instrumentalização</w:t>
              <w:tab/>
            </w:r>
            <w:r>
              <w:rPr>
                <w:b w:val="0"/>
                <w:color w:val="00666D"/>
                <w:sz w:val="19"/>
              </w:rPr>
              <w:t>11</w:t>
            </w:r>
          </w:hyperlink>
        </w:p>
        <w:p>
          <w:pPr>
            <w:pStyle w:val="TOC5"/>
            <w:numPr>
              <w:ilvl w:val="1"/>
              <w:numId w:val="1"/>
            </w:numPr>
            <w:tabs>
              <w:tab w:pos="5351" w:val="left" w:leader="none"/>
              <w:tab w:pos="15593" w:val="right" w:leader="dot"/>
            </w:tabs>
            <w:spacing w:line="240" w:lineRule="auto" w:before="149" w:after="0"/>
            <w:ind w:left="5350" w:right="0" w:hanging="389"/>
            <w:jc w:val="left"/>
          </w:pPr>
          <w:hyperlink w:history="true" w:anchor="_TOC_250012">
            <w:r>
              <w:rPr>
                <w:color w:val="00666D"/>
                <w:w w:val="105"/>
              </w:rPr>
              <w:t>Estrutura</w:t>
            </w:r>
            <w:r>
              <w:rPr>
                <w:color w:val="00666D"/>
                <w:spacing w:val="1"/>
                <w:w w:val="105"/>
              </w:rPr>
              <w:t> </w:t>
            </w:r>
            <w:r>
              <w:rPr>
                <w:color w:val="00666D"/>
                <w:w w:val="105"/>
              </w:rPr>
              <w:t>de</w:t>
            </w:r>
            <w:r>
              <w:rPr>
                <w:color w:val="00666D"/>
                <w:spacing w:val="1"/>
                <w:w w:val="105"/>
              </w:rPr>
              <w:t> </w:t>
            </w:r>
            <w:r>
              <w:rPr>
                <w:color w:val="00666D"/>
                <w:w w:val="105"/>
              </w:rPr>
              <w:t>Fiscalização</w:t>
              <w:tab/>
              <w:t>11</w:t>
            </w:r>
          </w:hyperlink>
        </w:p>
        <w:p>
          <w:pPr>
            <w:pStyle w:val="TOC5"/>
            <w:numPr>
              <w:ilvl w:val="1"/>
              <w:numId w:val="1"/>
            </w:numPr>
            <w:tabs>
              <w:tab w:pos="5351" w:val="left" w:leader="none"/>
              <w:tab w:pos="15593" w:val="right" w:leader="dot"/>
            </w:tabs>
            <w:spacing w:line="240" w:lineRule="auto" w:before="146" w:after="0"/>
            <w:ind w:left="5350" w:right="0" w:hanging="389"/>
            <w:jc w:val="left"/>
          </w:pPr>
          <w:hyperlink w:history="true" w:anchor="_TOC_250011">
            <w:r>
              <w:rPr>
                <w:color w:val="00666D"/>
                <w:w w:val="105"/>
              </w:rPr>
              <w:t>Instrumentos</w:t>
            </w:r>
            <w:r>
              <w:rPr>
                <w:color w:val="00666D"/>
                <w:spacing w:val="1"/>
                <w:w w:val="105"/>
              </w:rPr>
              <w:t> </w:t>
            </w:r>
            <w:r>
              <w:rPr>
                <w:color w:val="00666D"/>
                <w:w w:val="105"/>
              </w:rPr>
              <w:t>de</w:t>
            </w:r>
            <w:r>
              <w:rPr>
                <w:color w:val="00666D"/>
                <w:spacing w:val="1"/>
                <w:w w:val="105"/>
              </w:rPr>
              <w:t> </w:t>
            </w:r>
            <w:r>
              <w:rPr>
                <w:color w:val="00666D"/>
                <w:w w:val="105"/>
              </w:rPr>
              <w:t>Fiscalização</w:t>
              <w:tab/>
              <w:t>13</w:t>
            </w:r>
          </w:hyperlink>
        </w:p>
        <w:p>
          <w:pPr>
            <w:pStyle w:val="TOC5"/>
            <w:numPr>
              <w:ilvl w:val="1"/>
              <w:numId w:val="1"/>
            </w:numPr>
            <w:tabs>
              <w:tab w:pos="5351" w:val="left" w:leader="none"/>
              <w:tab w:pos="15593" w:val="right" w:leader="dot"/>
            </w:tabs>
            <w:spacing w:line="240" w:lineRule="auto" w:before="151" w:after="0"/>
            <w:ind w:left="5350" w:right="0" w:hanging="389"/>
            <w:jc w:val="left"/>
          </w:pPr>
          <w:r>
            <w:rPr>
              <w:color w:val="00666D"/>
              <w:w w:val="105"/>
            </w:rPr>
            <w:t>Objeto</w:t>
          </w:r>
          <w:r>
            <w:rPr>
              <w:color w:val="00666D"/>
              <w:spacing w:val="1"/>
              <w:w w:val="105"/>
            </w:rPr>
            <w:t> </w:t>
          </w:r>
          <w:r>
            <w:rPr>
              <w:color w:val="00666D"/>
              <w:w w:val="105"/>
            </w:rPr>
            <w:t>da</w:t>
          </w:r>
          <w:r>
            <w:rPr>
              <w:color w:val="00666D"/>
              <w:spacing w:val="1"/>
              <w:w w:val="105"/>
            </w:rPr>
            <w:t> </w:t>
          </w:r>
          <w:r>
            <w:rPr>
              <w:color w:val="00666D"/>
              <w:w w:val="105"/>
            </w:rPr>
            <w:t>Fiscalização</w:t>
            <w:tab/>
            <w:t>15</w:t>
          </w:r>
        </w:p>
        <w:p>
          <w:pPr>
            <w:pStyle w:val="TOC6"/>
            <w:tabs>
              <w:tab w:pos="15593" w:val="right" w:leader="dot"/>
            </w:tabs>
            <w:spacing w:before="152"/>
            <w:ind w:left="5528" w:firstLine="0"/>
          </w:pPr>
          <w:r>
            <w:rPr>
              <w:color w:val="00666D"/>
              <w:w w:val="105"/>
            </w:rPr>
            <w:t>Tabelas</w:t>
          </w:r>
          <w:r>
            <w:rPr>
              <w:color w:val="00666D"/>
              <w:spacing w:val="1"/>
              <w:w w:val="105"/>
            </w:rPr>
            <w:t> </w:t>
          </w:r>
          <w:r>
            <w:rPr>
              <w:color w:val="00666D"/>
              <w:w w:val="105"/>
            </w:rPr>
            <w:t>de</w:t>
          </w:r>
          <w:r>
            <w:rPr>
              <w:color w:val="00666D"/>
              <w:spacing w:val="1"/>
              <w:w w:val="105"/>
            </w:rPr>
            <w:t> </w:t>
          </w:r>
          <w:r>
            <w:rPr>
              <w:color w:val="00666D"/>
              <w:w w:val="105"/>
            </w:rPr>
            <w:t>Abrangência</w:t>
            <w:tab/>
            <w:t>19</w:t>
          </w:r>
        </w:p>
        <w:p>
          <w:pPr>
            <w:pStyle w:val="TOC1"/>
          </w:pPr>
          <w:r>
            <w:rPr>
              <w:color w:val="00666D"/>
              <w:w w:val="105"/>
            </w:rPr>
            <w:t>Tabela de Capitulações</w:t>
          </w:r>
        </w:p>
        <w:p>
          <w:pPr>
            <w:pStyle w:val="TOC6"/>
            <w:tabs>
              <w:tab w:pos="15593" w:val="right" w:leader="dot"/>
            </w:tabs>
            <w:spacing w:line="330" w:lineRule="exact" w:before="0"/>
            <w:ind w:left="5528" w:firstLine="0"/>
          </w:pPr>
          <w:r>
            <w:rPr>
              <w:color w:val="00666D"/>
              <w:w w:val="105"/>
            </w:rPr>
            <w:t>Infrações</w:t>
          </w:r>
          <w:r>
            <w:rPr>
              <w:color w:val="00666D"/>
              <w:spacing w:val="1"/>
              <w:w w:val="105"/>
            </w:rPr>
            <w:t> </w:t>
          </w:r>
          <w:r>
            <w:rPr>
              <w:color w:val="00666D"/>
              <w:w w:val="105"/>
            </w:rPr>
            <w:t>e</w:t>
          </w:r>
          <w:r>
            <w:rPr>
              <w:color w:val="00666D"/>
              <w:spacing w:val="1"/>
              <w:w w:val="105"/>
            </w:rPr>
            <w:t> </w:t>
          </w:r>
          <w:r>
            <w:rPr>
              <w:color w:val="00666D"/>
              <w:w w:val="105"/>
            </w:rPr>
            <w:t>Penalidades</w:t>
            <w:tab/>
            <w:t>29</w:t>
          </w:r>
        </w:p>
        <w:p>
          <w:pPr>
            <w:pStyle w:val="TOC3"/>
            <w:numPr>
              <w:ilvl w:val="0"/>
              <w:numId w:val="1"/>
            </w:numPr>
            <w:tabs>
              <w:tab w:pos="4911" w:val="left" w:leader="none"/>
              <w:tab w:pos="4912" w:val="left" w:leader="none"/>
              <w:tab w:pos="15593" w:val="right" w:leader="dot"/>
            </w:tabs>
            <w:spacing w:line="240" w:lineRule="auto" w:before="122" w:after="0"/>
            <w:ind w:left="4911" w:right="0" w:hanging="517"/>
            <w:jc w:val="left"/>
            <w:rPr>
              <w:b w:val="0"/>
              <w:sz w:val="19"/>
            </w:rPr>
          </w:pPr>
          <w:hyperlink w:history="true" w:anchor="_TOC_250010">
            <w:r>
              <w:rPr>
                <w:color w:val="00666D"/>
                <w:spacing w:val="16"/>
              </w:rPr>
              <w:t>Ritos</w:t>
            </w:r>
            <w:r>
              <w:rPr>
                <w:color w:val="00666D"/>
                <w:spacing w:val="19"/>
              </w:rPr>
              <w:t> </w:t>
            </w:r>
            <w:r>
              <w:rPr>
                <w:color w:val="00666D"/>
                <w:spacing w:val="20"/>
              </w:rPr>
              <w:t>Processuais</w:t>
              <w:tab/>
            </w:r>
            <w:r>
              <w:rPr>
                <w:b w:val="0"/>
                <w:color w:val="00666D"/>
                <w:sz w:val="19"/>
              </w:rPr>
              <w:t>32</w:t>
            </w:r>
          </w:hyperlink>
        </w:p>
        <w:p>
          <w:pPr>
            <w:pStyle w:val="TOC5"/>
            <w:numPr>
              <w:ilvl w:val="1"/>
              <w:numId w:val="1"/>
            </w:numPr>
            <w:tabs>
              <w:tab w:pos="5351" w:val="left" w:leader="none"/>
              <w:tab w:pos="15593" w:val="right" w:leader="dot"/>
            </w:tabs>
            <w:spacing w:line="240" w:lineRule="auto" w:before="148" w:after="0"/>
            <w:ind w:left="5350" w:right="0" w:hanging="389"/>
            <w:jc w:val="left"/>
          </w:pPr>
          <w:hyperlink w:history="true" w:anchor="_TOC_250009">
            <w:r>
              <w:rPr>
                <w:color w:val="00666D"/>
                <w:w w:val="105"/>
              </w:rPr>
              <w:t>Relatório</w:t>
            </w:r>
            <w:r>
              <w:rPr>
                <w:color w:val="00666D"/>
                <w:spacing w:val="1"/>
                <w:w w:val="105"/>
              </w:rPr>
              <w:t> </w:t>
            </w:r>
            <w:r>
              <w:rPr>
                <w:color w:val="00666D"/>
                <w:w w:val="105"/>
              </w:rPr>
              <w:t>de</w:t>
            </w:r>
            <w:r>
              <w:rPr>
                <w:color w:val="00666D"/>
                <w:spacing w:val="1"/>
                <w:w w:val="105"/>
              </w:rPr>
              <w:t> </w:t>
            </w:r>
            <w:r>
              <w:rPr>
                <w:color w:val="00666D"/>
                <w:w w:val="105"/>
              </w:rPr>
              <w:t>Fiscalização</w:t>
              <w:tab/>
              <w:t>32</w:t>
            </w:r>
          </w:hyperlink>
        </w:p>
        <w:p>
          <w:pPr>
            <w:pStyle w:val="TOC5"/>
            <w:numPr>
              <w:ilvl w:val="1"/>
              <w:numId w:val="1"/>
            </w:numPr>
            <w:tabs>
              <w:tab w:pos="5351" w:val="left" w:leader="none"/>
              <w:tab w:pos="15593" w:val="right" w:leader="dot"/>
            </w:tabs>
            <w:spacing w:line="240" w:lineRule="auto" w:before="152" w:after="0"/>
            <w:ind w:left="5350" w:right="0" w:hanging="389"/>
            <w:jc w:val="left"/>
          </w:pPr>
          <w:hyperlink w:history="true" w:anchor="_TOC_250008">
            <w:r>
              <w:rPr>
                <w:color w:val="00666D"/>
                <w:w w:val="105"/>
              </w:rPr>
              <w:t>Notificação</w:t>
              <w:tab/>
              <w:t>34</w:t>
            </w:r>
          </w:hyperlink>
        </w:p>
        <w:p>
          <w:pPr>
            <w:pStyle w:val="TOC5"/>
            <w:numPr>
              <w:ilvl w:val="1"/>
              <w:numId w:val="1"/>
            </w:numPr>
            <w:tabs>
              <w:tab w:pos="5351" w:val="left" w:leader="none"/>
              <w:tab w:pos="15593" w:val="right" w:leader="dot"/>
            </w:tabs>
            <w:spacing w:line="240" w:lineRule="auto" w:before="146" w:after="0"/>
            <w:ind w:left="5350" w:right="0" w:hanging="389"/>
            <w:jc w:val="left"/>
          </w:pPr>
          <w:hyperlink w:history="true" w:anchor="_TOC_250007">
            <w:r>
              <w:rPr>
                <w:color w:val="00666D"/>
                <w:w w:val="105"/>
              </w:rPr>
              <w:t>Auto</w:t>
            </w:r>
            <w:r>
              <w:rPr>
                <w:color w:val="00666D"/>
                <w:spacing w:val="1"/>
                <w:w w:val="105"/>
              </w:rPr>
              <w:t> </w:t>
            </w:r>
            <w:r>
              <w:rPr>
                <w:color w:val="00666D"/>
                <w:w w:val="105"/>
              </w:rPr>
              <w:t>de</w:t>
            </w:r>
            <w:r>
              <w:rPr>
                <w:color w:val="00666D"/>
                <w:spacing w:val="1"/>
                <w:w w:val="105"/>
              </w:rPr>
              <w:t> </w:t>
            </w:r>
            <w:r>
              <w:rPr>
                <w:color w:val="00666D"/>
                <w:w w:val="105"/>
              </w:rPr>
              <w:t>Infração</w:t>
              <w:tab/>
              <w:t>35</w:t>
            </w:r>
          </w:hyperlink>
        </w:p>
        <w:p>
          <w:pPr>
            <w:pStyle w:val="TOC5"/>
            <w:numPr>
              <w:ilvl w:val="1"/>
              <w:numId w:val="1"/>
            </w:numPr>
            <w:tabs>
              <w:tab w:pos="5351" w:val="left" w:leader="none"/>
              <w:tab w:pos="15593" w:val="right" w:leader="dot"/>
            </w:tabs>
            <w:spacing w:line="240" w:lineRule="auto" w:before="151" w:after="0"/>
            <w:ind w:left="5350" w:right="0" w:hanging="389"/>
            <w:jc w:val="left"/>
          </w:pPr>
          <w:hyperlink w:history="true" w:anchor="_TOC_250006">
            <w:r>
              <w:rPr>
                <w:color w:val="00666D"/>
                <w:w w:val="105"/>
              </w:rPr>
              <w:t>Recursos</w:t>
              <w:tab/>
              <w:t>36</w:t>
            </w:r>
          </w:hyperlink>
        </w:p>
        <w:p>
          <w:pPr>
            <w:pStyle w:val="TOC2"/>
          </w:pPr>
          <w:r>
            <w:rPr>
              <w:color w:val="FFFFFF"/>
              <w:w w:val="105"/>
            </w:rPr>
            <w:t>- 4 -</w:t>
          </w:r>
        </w:p>
        <w:p>
          <w:pPr>
            <w:pStyle w:val="TOC7"/>
          </w:pPr>
          <w:r>
            <w:rPr/>
            <w:pict>
              <v:shape style="position:absolute;margin-left:12pt;margin-top:12pt;width:158.2pt;height:571pt;mso-position-horizontal-relative:page;mso-position-vertical-relative:page;z-index:1480" type="#_x0000_t202" filled="true" fillcolor="#00666d" stroked="false">
                <v:textbox inset="0,0,0,0">
                  <w:txbxContent>
                    <w:p>
                      <w:pPr>
                        <w:pStyle w:val="BodyText"/>
                        <w:rPr>
                          <w:rFonts w:ascii="Arial Unicode MS"/>
                          <w:sz w:val="22"/>
                        </w:rPr>
                      </w:pPr>
                    </w:p>
                    <w:p>
                      <w:pPr>
                        <w:pStyle w:val="BodyText"/>
                        <w:rPr>
                          <w:rFonts w:ascii="Arial Unicode MS"/>
                          <w:sz w:val="22"/>
                        </w:rPr>
                      </w:pPr>
                    </w:p>
                    <w:p>
                      <w:pPr>
                        <w:pStyle w:val="BodyText"/>
                        <w:rPr>
                          <w:rFonts w:ascii="Arial Unicode MS"/>
                          <w:sz w:val="22"/>
                        </w:rPr>
                      </w:pPr>
                    </w:p>
                    <w:p>
                      <w:pPr>
                        <w:pStyle w:val="BodyText"/>
                        <w:rPr>
                          <w:rFonts w:ascii="Arial Unicode MS"/>
                          <w:sz w:val="22"/>
                        </w:rPr>
                      </w:pPr>
                    </w:p>
                    <w:p>
                      <w:pPr>
                        <w:pStyle w:val="BodyText"/>
                        <w:rPr>
                          <w:rFonts w:ascii="Arial Unicode MS"/>
                          <w:sz w:val="22"/>
                        </w:rPr>
                      </w:pPr>
                    </w:p>
                    <w:p>
                      <w:pPr>
                        <w:pStyle w:val="BodyText"/>
                        <w:rPr>
                          <w:rFonts w:ascii="Arial Unicode MS"/>
                          <w:sz w:val="22"/>
                        </w:rPr>
                      </w:pPr>
                    </w:p>
                    <w:p>
                      <w:pPr>
                        <w:pStyle w:val="BodyText"/>
                        <w:rPr>
                          <w:rFonts w:ascii="Arial Unicode MS"/>
                          <w:sz w:val="22"/>
                        </w:rPr>
                      </w:pPr>
                    </w:p>
                    <w:p>
                      <w:pPr>
                        <w:pStyle w:val="BodyText"/>
                        <w:rPr>
                          <w:rFonts w:ascii="Arial Unicode MS"/>
                          <w:sz w:val="22"/>
                        </w:rPr>
                      </w:pPr>
                    </w:p>
                    <w:p>
                      <w:pPr>
                        <w:pStyle w:val="BodyText"/>
                        <w:rPr>
                          <w:rFonts w:ascii="Arial Unicode MS"/>
                          <w:sz w:val="22"/>
                        </w:rPr>
                      </w:pPr>
                    </w:p>
                    <w:p>
                      <w:pPr>
                        <w:pStyle w:val="BodyText"/>
                        <w:rPr>
                          <w:rFonts w:ascii="Arial Unicode MS"/>
                          <w:sz w:val="22"/>
                        </w:rPr>
                      </w:pPr>
                    </w:p>
                    <w:p>
                      <w:pPr>
                        <w:pStyle w:val="BodyText"/>
                        <w:rPr>
                          <w:rFonts w:ascii="Arial Unicode MS"/>
                          <w:sz w:val="22"/>
                        </w:rPr>
                      </w:pPr>
                    </w:p>
                    <w:p>
                      <w:pPr>
                        <w:pStyle w:val="BodyText"/>
                        <w:rPr>
                          <w:rFonts w:ascii="Arial Unicode MS"/>
                          <w:sz w:val="22"/>
                        </w:rPr>
                      </w:pPr>
                    </w:p>
                    <w:p>
                      <w:pPr>
                        <w:pStyle w:val="BodyText"/>
                        <w:rPr>
                          <w:rFonts w:ascii="Arial Unicode MS"/>
                          <w:sz w:val="22"/>
                        </w:rPr>
                      </w:pPr>
                    </w:p>
                    <w:p>
                      <w:pPr>
                        <w:pStyle w:val="BodyText"/>
                        <w:rPr>
                          <w:rFonts w:ascii="Arial Unicode MS"/>
                          <w:sz w:val="22"/>
                        </w:rPr>
                      </w:pPr>
                    </w:p>
                    <w:p>
                      <w:pPr>
                        <w:pStyle w:val="BodyText"/>
                        <w:rPr>
                          <w:rFonts w:ascii="Arial Unicode MS"/>
                          <w:sz w:val="22"/>
                        </w:rPr>
                      </w:pPr>
                    </w:p>
                    <w:p>
                      <w:pPr>
                        <w:pStyle w:val="BodyText"/>
                        <w:rPr>
                          <w:rFonts w:ascii="Arial Unicode MS"/>
                          <w:sz w:val="22"/>
                        </w:rPr>
                      </w:pPr>
                    </w:p>
                    <w:p>
                      <w:pPr>
                        <w:pStyle w:val="BodyText"/>
                        <w:rPr>
                          <w:rFonts w:ascii="Arial Unicode MS"/>
                          <w:sz w:val="22"/>
                        </w:rPr>
                      </w:pPr>
                    </w:p>
                    <w:p>
                      <w:pPr>
                        <w:pStyle w:val="BodyText"/>
                        <w:rPr>
                          <w:rFonts w:ascii="Arial Unicode MS"/>
                          <w:sz w:val="22"/>
                        </w:rPr>
                      </w:pPr>
                    </w:p>
                    <w:p>
                      <w:pPr>
                        <w:pStyle w:val="BodyText"/>
                        <w:rPr>
                          <w:rFonts w:ascii="Arial Unicode MS"/>
                          <w:sz w:val="22"/>
                        </w:rPr>
                      </w:pPr>
                    </w:p>
                    <w:p>
                      <w:pPr>
                        <w:pStyle w:val="BodyText"/>
                        <w:rPr>
                          <w:rFonts w:ascii="Arial Unicode MS"/>
                          <w:sz w:val="22"/>
                        </w:rPr>
                      </w:pPr>
                    </w:p>
                    <w:p>
                      <w:pPr>
                        <w:pStyle w:val="BodyText"/>
                        <w:rPr>
                          <w:rFonts w:ascii="Arial Unicode MS"/>
                          <w:sz w:val="22"/>
                        </w:rPr>
                      </w:pPr>
                    </w:p>
                    <w:p>
                      <w:pPr>
                        <w:pStyle w:val="BodyText"/>
                        <w:rPr>
                          <w:rFonts w:ascii="Arial Unicode MS"/>
                          <w:sz w:val="22"/>
                        </w:rPr>
                      </w:pPr>
                    </w:p>
                    <w:p>
                      <w:pPr>
                        <w:pStyle w:val="BodyText"/>
                        <w:rPr>
                          <w:rFonts w:ascii="Arial Unicode MS"/>
                          <w:sz w:val="22"/>
                        </w:rPr>
                      </w:pPr>
                    </w:p>
                    <w:p>
                      <w:pPr>
                        <w:pStyle w:val="BodyText"/>
                        <w:rPr>
                          <w:rFonts w:ascii="Arial Unicode MS"/>
                          <w:sz w:val="22"/>
                        </w:rPr>
                      </w:pPr>
                    </w:p>
                    <w:p>
                      <w:pPr>
                        <w:pStyle w:val="BodyText"/>
                        <w:rPr>
                          <w:rFonts w:ascii="Arial Unicode MS"/>
                          <w:sz w:val="22"/>
                        </w:rPr>
                      </w:pPr>
                    </w:p>
                    <w:p>
                      <w:pPr>
                        <w:pStyle w:val="BodyText"/>
                        <w:spacing w:before="5"/>
                        <w:rPr>
                          <w:rFonts w:ascii="Arial Unicode MS"/>
                          <w:sz w:val="32"/>
                        </w:rPr>
                      </w:pPr>
                    </w:p>
                    <w:p>
                      <w:pPr>
                        <w:pStyle w:val="BodyText"/>
                        <w:ind w:left="1151" w:right="1394"/>
                        <w:jc w:val="center"/>
                      </w:pPr>
                      <w:r>
                        <w:rPr>
                          <w:color w:val="FFFFFF"/>
                          <w:w w:val="105"/>
                        </w:rPr>
                        <w:t>- 5 -</w:t>
                      </w:r>
                    </w:p>
                  </w:txbxContent>
                </v:textbox>
                <v:fill type="solid"/>
                <w10:wrap type="none"/>
              </v:shape>
            </w:pict>
          </w:r>
          <w:hyperlink w:history="true" w:anchor="_TOC_250005">
            <w:r>
              <w:rPr>
                <w:color w:val="00666D"/>
              </w:rPr>
              <w:t>- Manual de Fiscalização do Exercício da Arquitetura e Urbanismo -</w:t>
            </w:r>
          </w:hyperlink>
        </w:p>
        <w:p>
          <w:pPr>
            <w:pStyle w:val="TOC3"/>
            <w:numPr>
              <w:ilvl w:val="0"/>
              <w:numId w:val="1"/>
            </w:numPr>
            <w:tabs>
              <w:tab w:pos="4911" w:val="left" w:leader="none"/>
              <w:tab w:pos="4912" w:val="left" w:leader="none"/>
              <w:tab w:pos="15593" w:val="right" w:leader="dot"/>
            </w:tabs>
            <w:spacing w:line="240" w:lineRule="auto" w:before="353" w:after="0"/>
            <w:ind w:left="4911" w:right="0" w:hanging="517"/>
            <w:jc w:val="left"/>
            <w:rPr>
              <w:b w:val="0"/>
              <w:sz w:val="19"/>
            </w:rPr>
          </w:pPr>
          <w:hyperlink w:history="true" w:anchor="_TOC_250004">
            <w:r>
              <w:rPr>
                <w:color w:val="00666D"/>
                <w:spacing w:val="18"/>
              </w:rPr>
              <w:t>Fundamentação</w:t>
            </w:r>
            <w:r>
              <w:rPr>
                <w:color w:val="00666D"/>
                <w:spacing w:val="86"/>
              </w:rPr>
              <w:t> </w:t>
            </w:r>
            <w:r>
              <w:rPr>
                <w:color w:val="00666D"/>
                <w:spacing w:val="20"/>
              </w:rPr>
              <w:t>Legal</w:t>
              <w:tab/>
            </w:r>
            <w:r>
              <w:rPr>
                <w:b w:val="0"/>
                <w:color w:val="00666D"/>
                <w:sz w:val="19"/>
              </w:rPr>
              <w:t>38</w:t>
            </w:r>
          </w:hyperlink>
        </w:p>
        <w:p>
          <w:pPr>
            <w:pStyle w:val="TOC4"/>
            <w:numPr>
              <w:ilvl w:val="0"/>
              <w:numId w:val="1"/>
            </w:numPr>
            <w:tabs>
              <w:tab w:pos="4911" w:val="left" w:leader="none"/>
              <w:tab w:pos="4912" w:val="left" w:leader="none"/>
              <w:tab w:pos="15593" w:val="right" w:leader="dot"/>
            </w:tabs>
            <w:spacing w:line="240" w:lineRule="auto" w:before="120" w:after="0"/>
            <w:ind w:left="4911" w:right="0" w:hanging="517"/>
            <w:jc w:val="left"/>
            <w:rPr>
              <w:b w:val="0"/>
              <w:i w:val="0"/>
              <w:sz w:val="19"/>
            </w:rPr>
          </w:pPr>
          <w:hyperlink w:history="true" w:anchor="_TOC_250003">
            <w:r>
              <w:rPr>
                <w:i w:val="0"/>
                <w:color w:val="00666D"/>
                <w:spacing w:val="20"/>
                <w:sz w:val="24"/>
              </w:rPr>
              <w:t>Anexos</w:t>
              <w:tab/>
            </w:r>
            <w:r>
              <w:rPr>
                <w:b w:val="0"/>
                <w:i w:val="0"/>
                <w:color w:val="00666D"/>
                <w:sz w:val="19"/>
              </w:rPr>
              <w:t>40</w:t>
            </w:r>
          </w:hyperlink>
        </w:p>
        <w:p>
          <w:pPr>
            <w:pStyle w:val="TOC5"/>
            <w:numPr>
              <w:ilvl w:val="1"/>
              <w:numId w:val="1"/>
            </w:numPr>
            <w:tabs>
              <w:tab w:pos="5351" w:val="left" w:leader="none"/>
              <w:tab w:pos="15593" w:val="right" w:leader="dot"/>
            </w:tabs>
            <w:spacing w:line="240" w:lineRule="auto" w:before="148" w:after="0"/>
            <w:ind w:left="5350" w:right="0" w:hanging="389"/>
            <w:jc w:val="left"/>
          </w:pPr>
          <w:r>
            <w:rPr>
              <w:color w:val="00666D"/>
              <w:w w:val="105"/>
            </w:rPr>
            <w:t>Glossário</w:t>
            <w:tab/>
            <w:t>40</w:t>
          </w:r>
        </w:p>
        <w:p>
          <w:pPr>
            <w:pStyle w:val="TOC5"/>
            <w:numPr>
              <w:ilvl w:val="1"/>
              <w:numId w:val="1"/>
            </w:numPr>
            <w:tabs>
              <w:tab w:pos="5351" w:val="left" w:leader="none"/>
              <w:tab w:pos="15593" w:val="right" w:leader="dot"/>
            </w:tabs>
            <w:spacing w:line="240" w:lineRule="auto" w:before="151" w:after="0"/>
            <w:ind w:left="5350" w:right="0" w:hanging="389"/>
            <w:jc w:val="left"/>
          </w:pPr>
          <w:hyperlink w:history="true" w:anchor="_TOC_250002">
            <w:r>
              <w:rPr>
                <w:color w:val="00666D"/>
                <w:w w:val="105"/>
              </w:rPr>
              <w:t>Formulários</w:t>
              <w:tab/>
              <w:t>55</w:t>
            </w:r>
          </w:hyperlink>
        </w:p>
        <w:p>
          <w:pPr>
            <w:pStyle w:val="TOC6"/>
            <w:numPr>
              <w:ilvl w:val="2"/>
              <w:numId w:val="1"/>
            </w:numPr>
            <w:tabs>
              <w:tab w:pos="6085" w:val="left" w:leader="none"/>
              <w:tab w:pos="15593" w:val="right" w:leader="dot"/>
            </w:tabs>
            <w:spacing w:line="240" w:lineRule="auto" w:before="151" w:after="0"/>
            <w:ind w:left="6084" w:right="0" w:hanging="556"/>
            <w:jc w:val="left"/>
          </w:pPr>
          <w:hyperlink w:history="true" w:anchor="_TOC_250001">
            <w:r>
              <w:rPr>
                <w:color w:val="00666D"/>
                <w:w w:val="105"/>
              </w:rPr>
              <w:t>Comunicação</w:t>
            </w:r>
            <w:r>
              <w:rPr>
                <w:color w:val="00666D"/>
                <w:spacing w:val="1"/>
                <w:w w:val="105"/>
              </w:rPr>
              <w:t> </w:t>
            </w:r>
            <w:r>
              <w:rPr>
                <w:color w:val="00666D"/>
                <w:w w:val="105"/>
              </w:rPr>
              <w:t>de</w:t>
            </w:r>
            <w:r>
              <w:rPr>
                <w:color w:val="00666D"/>
                <w:spacing w:val="1"/>
                <w:w w:val="105"/>
              </w:rPr>
              <w:t> </w:t>
            </w:r>
            <w:r>
              <w:rPr>
                <w:color w:val="00666D"/>
                <w:w w:val="105"/>
              </w:rPr>
              <w:t>Visita</w:t>
              <w:tab/>
              <w:t>56</w:t>
            </w:r>
          </w:hyperlink>
        </w:p>
        <w:p>
          <w:pPr>
            <w:pStyle w:val="TOC6"/>
            <w:numPr>
              <w:ilvl w:val="2"/>
              <w:numId w:val="1"/>
            </w:numPr>
            <w:tabs>
              <w:tab w:pos="6085" w:val="left" w:leader="none"/>
              <w:tab w:pos="15593" w:val="right" w:leader="dot"/>
            </w:tabs>
            <w:spacing w:line="240" w:lineRule="auto" w:before="147" w:after="0"/>
            <w:ind w:left="6084" w:right="0" w:hanging="556"/>
            <w:jc w:val="left"/>
          </w:pPr>
          <w:hyperlink w:history="true" w:anchor="_TOC_250000">
            <w:r>
              <w:rPr>
                <w:color w:val="00666D"/>
                <w:w w:val="105"/>
              </w:rPr>
              <w:t>Relatório</w:t>
            </w:r>
            <w:r>
              <w:rPr>
                <w:color w:val="00666D"/>
                <w:spacing w:val="1"/>
                <w:w w:val="105"/>
              </w:rPr>
              <w:t> </w:t>
            </w:r>
            <w:r>
              <w:rPr>
                <w:color w:val="00666D"/>
                <w:w w:val="105"/>
              </w:rPr>
              <w:t>de</w:t>
            </w:r>
            <w:r>
              <w:rPr>
                <w:color w:val="00666D"/>
                <w:spacing w:val="1"/>
                <w:w w:val="105"/>
              </w:rPr>
              <w:t> </w:t>
            </w:r>
            <w:r>
              <w:rPr>
                <w:color w:val="00666D"/>
                <w:w w:val="105"/>
              </w:rPr>
              <w:t>Fiscalização</w:t>
              <w:tab/>
              <w:t>56</w:t>
            </w:r>
          </w:hyperlink>
        </w:p>
        <w:p>
          <w:pPr>
            <w:pStyle w:val="TOC6"/>
            <w:numPr>
              <w:ilvl w:val="2"/>
              <w:numId w:val="1"/>
            </w:numPr>
            <w:tabs>
              <w:tab w:pos="6085" w:val="left" w:leader="none"/>
              <w:tab w:pos="15593" w:val="right" w:leader="dot"/>
            </w:tabs>
            <w:spacing w:line="240" w:lineRule="auto" w:before="151" w:after="0"/>
            <w:ind w:left="6084" w:right="0" w:hanging="556"/>
            <w:jc w:val="left"/>
          </w:pPr>
          <w:r>
            <w:rPr>
              <w:color w:val="00666D"/>
              <w:w w:val="105"/>
            </w:rPr>
            <w:t>Notificação</w:t>
            <w:tab/>
            <w:t>58</w:t>
          </w:r>
        </w:p>
        <w:p>
          <w:pPr>
            <w:pStyle w:val="TOC6"/>
            <w:numPr>
              <w:ilvl w:val="2"/>
              <w:numId w:val="1"/>
            </w:numPr>
            <w:tabs>
              <w:tab w:pos="6085" w:val="left" w:leader="none"/>
              <w:tab w:pos="15593" w:val="right" w:leader="dot"/>
            </w:tabs>
            <w:spacing w:line="240" w:lineRule="auto" w:before="151" w:after="0"/>
            <w:ind w:left="6084" w:right="0" w:hanging="556"/>
            <w:jc w:val="left"/>
          </w:pPr>
          <w:r>
            <w:rPr>
              <w:color w:val="00666D"/>
              <w:w w:val="105"/>
            </w:rPr>
            <w:t>Auto</w:t>
          </w:r>
          <w:r>
            <w:rPr>
              <w:color w:val="00666D"/>
              <w:spacing w:val="1"/>
              <w:w w:val="105"/>
            </w:rPr>
            <w:t> </w:t>
          </w:r>
          <w:r>
            <w:rPr>
              <w:color w:val="00666D"/>
              <w:w w:val="105"/>
            </w:rPr>
            <w:t>de</w:t>
          </w:r>
          <w:r>
            <w:rPr>
              <w:color w:val="00666D"/>
              <w:spacing w:val="1"/>
              <w:w w:val="105"/>
            </w:rPr>
            <w:t> </w:t>
          </w:r>
          <w:r>
            <w:rPr>
              <w:color w:val="00666D"/>
              <w:w w:val="105"/>
            </w:rPr>
            <w:t>Infração</w:t>
            <w:tab/>
            <w:t>59</w:t>
          </w:r>
        </w:p>
        <w:p>
          <w:pPr>
            <w:pStyle w:val="TOC5"/>
            <w:numPr>
              <w:ilvl w:val="1"/>
              <w:numId w:val="1"/>
            </w:numPr>
            <w:tabs>
              <w:tab w:pos="5351" w:val="left" w:leader="none"/>
              <w:tab w:pos="15593" w:val="right" w:leader="dot"/>
            </w:tabs>
            <w:spacing w:line="240" w:lineRule="auto" w:before="152" w:after="0"/>
            <w:ind w:left="5350" w:right="0" w:hanging="389"/>
            <w:jc w:val="left"/>
          </w:pPr>
          <w:r>
            <w:rPr>
              <w:color w:val="00666D"/>
              <w:w w:val="105"/>
            </w:rPr>
            <w:t>Termo de</w:t>
          </w:r>
          <w:r>
            <w:rPr>
              <w:color w:val="00666D"/>
              <w:spacing w:val="2"/>
              <w:w w:val="105"/>
            </w:rPr>
            <w:t> </w:t>
          </w:r>
          <w:r>
            <w:rPr>
              <w:color w:val="00666D"/>
              <w:w w:val="105"/>
            </w:rPr>
            <w:t>Cooperação</w:t>
          </w:r>
          <w:r>
            <w:rPr>
              <w:color w:val="00666D"/>
              <w:spacing w:val="1"/>
              <w:w w:val="105"/>
            </w:rPr>
            <w:t> </w:t>
          </w:r>
          <w:r>
            <w:rPr>
              <w:color w:val="00666D"/>
              <w:w w:val="105"/>
            </w:rPr>
            <w:t>Técnica</w:t>
            <w:tab/>
            <w:t>60</w:t>
          </w:r>
        </w:p>
        <w:p>
          <w:pPr>
            <w:pStyle w:val="TOC5"/>
            <w:numPr>
              <w:ilvl w:val="1"/>
              <w:numId w:val="1"/>
            </w:numPr>
            <w:tabs>
              <w:tab w:pos="5351" w:val="left" w:leader="none"/>
              <w:tab w:pos="15593" w:val="right" w:leader="dot"/>
            </w:tabs>
            <w:spacing w:line="240" w:lineRule="auto" w:before="151" w:after="0"/>
            <w:ind w:left="5350" w:right="0" w:hanging="389"/>
            <w:jc w:val="left"/>
          </w:pPr>
          <w:r>
            <w:rPr>
              <w:color w:val="00666D"/>
              <w:w w:val="105"/>
            </w:rPr>
            <w:t>Fluxograma</w:t>
          </w:r>
          <w:r>
            <w:rPr>
              <w:color w:val="00666D"/>
              <w:spacing w:val="1"/>
              <w:w w:val="105"/>
            </w:rPr>
            <w:t> </w:t>
          </w:r>
          <w:r>
            <w:rPr>
              <w:color w:val="00666D"/>
              <w:w w:val="105"/>
            </w:rPr>
            <w:t>de</w:t>
          </w:r>
          <w:r>
            <w:rPr>
              <w:color w:val="00666D"/>
              <w:spacing w:val="1"/>
              <w:w w:val="105"/>
            </w:rPr>
            <w:t> </w:t>
          </w:r>
          <w:r>
            <w:rPr>
              <w:color w:val="00666D"/>
              <w:w w:val="105"/>
            </w:rPr>
            <w:t>Fiscalização</w:t>
            <w:tab/>
            <w:t>66</w:t>
          </w:r>
        </w:p>
      </w:sdtContent>
    </w:sdt>
    <w:p>
      <w:pPr>
        <w:spacing w:after="0" w:line="240" w:lineRule="auto"/>
        <w:jc w:val="left"/>
        <w:sectPr>
          <w:type w:val="continuous"/>
          <w:pgSz w:w="16840" w:h="11900" w:orient="landscape"/>
          <w:pgMar w:top="239" w:bottom="240" w:left="140" w:right="860"/>
        </w:sectPr>
      </w:pPr>
    </w:p>
    <w:p>
      <w:pPr>
        <w:pStyle w:val="Heading4"/>
        <w:spacing w:before="82"/>
      </w:pPr>
      <w:r>
        <w:rPr/>
        <w:pict>
          <v:group style="position:absolute;margin-left:12pt;margin-top:12pt;width:774.5pt;height:571pt;mso-position-horizontal-relative:page;mso-position-vertical-relative:page;z-index:-147568" coordorigin="240,240" coordsize="15490,11420">
            <v:rect style="position:absolute;left:240;top:240;width:3164;height:11420" filled="true" fillcolor="#00666d" stroked="false">
              <v:fill type="solid"/>
            </v:rect>
            <v:line style="position:absolute" from="538,2054" to="15730,2054" stroked="true" strokeweight=".479981pt" strokecolor="#9db5bc">
              <v:stroke dashstyle="solid"/>
            </v:line>
            <w10:wrap type="none"/>
          </v:group>
        </w:pict>
      </w:r>
      <w:r>
        <w:rPr>
          <w:color w:val="00666D"/>
        </w:rPr>
        <w:t>- Manual de Fiscalização do Exercício da Arquitetura e Urbanismo -</w:t>
      </w:r>
    </w:p>
    <w:p>
      <w:pPr>
        <w:pStyle w:val="BodyText"/>
        <w:rPr>
          <w:rFonts w:ascii="DaxCondensed"/>
          <w:sz w:val="20"/>
        </w:rPr>
      </w:pPr>
    </w:p>
    <w:p>
      <w:pPr>
        <w:pStyle w:val="BodyText"/>
        <w:rPr>
          <w:rFonts w:ascii="DaxCondensed"/>
          <w:sz w:val="20"/>
        </w:rPr>
      </w:pPr>
    </w:p>
    <w:p>
      <w:pPr>
        <w:pStyle w:val="Heading1"/>
        <w:numPr>
          <w:ilvl w:val="0"/>
          <w:numId w:val="2"/>
        </w:numPr>
        <w:tabs>
          <w:tab w:pos="992" w:val="left" w:leader="none"/>
          <w:tab w:pos="993" w:val="left" w:leader="none"/>
        </w:tabs>
        <w:spacing w:line="240" w:lineRule="auto" w:before="239" w:after="0"/>
        <w:ind w:left="992" w:right="0" w:hanging="567"/>
        <w:jc w:val="left"/>
        <w:rPr>
          <w:color w:val="FFFFFF"/>
          <w:sz w:val="28"/>
        </w:rPr>
      </w:pPr>
      <w:bookmarkStart w:name="_TOC_250016" w:id="1"/>
      <w:bookmarkEnd w:id="1"/>
      <w:r>
        <w:rPr>
          <w:color w:val="FFFFFF"/>
        </w:rPr>
        <w:t>Apresentação</w:t>
      </w:r>
    </w:p>
    <w:p>
      <w:pPr>
        <w:pStyle w:val="BodyText"/>
        <w:rPr>
          <w:rFonts w:ascii="DaxCondensed"/>
          <w:sz w:val="20"/>
        </w:rPr>
      </w:pPr>
    </w:p>
    <w:p>
      <w:pPr>
        <w:pStyle w:val="BodyText"/>
        <w:rPr>
          <w:rFonts w:ascii="DaxCondensed"/>
          <w:sz w:val="20"/>
        </w:rPr>
      </w:pPr>
    </w:p>
    <w:p>
      <w:pPr>
        <w:pStyle w:val="BodyText"/>
        <w:rPr>
          <w:rFonts w:ascii="DaxCondensed"/>
          <w:sz w:val="20"/>
        </w:rPr>
      </w:pPr>
    </w:p>
    <w:p>
      <w:pPr>
        <w:pStyle w:val="BodyText"/>
        <w:rPr>
          <w:rFonts w:ascii="DaxCondensed"/>
          <w:sz w:val="20"/>
        </w:rPr>
      </w:pPr>
    </w:p>
    <w:p>
      <w:pPr>
        <w:pStyle w:val="BodyText"/>
        <w:spacing w:before="2"/>
        <w:rPr>
          <w:rFonts w:ascii="DaxCondensed"/>
        </w:rPr>
      </w:pPr>
    </w:p>
    <w:p>
      <w:pPr>
        <w:pStyle w:val="BodyText"/>
        <w:spacing w:line="379" w:lineRule="auto" w:before="100"/>
        <w:ind w:left="4394" w:right="274"/>
        <w:jc w:val="both"/>
      </w:pPr>
      <w:r>
        <w:rPr>
          <w:w w:val="105"/>
        </w:rPr>
        <w:t>O presente Manual de Fiscalização vem somar-se à Resolução CAU/BR nº 22, de 4 de maio de 2012, e à Lei nº 12.378, de 31 de dezembro de 2010, para, em conjunto com as referidas normas, definir as diretrizes básicas do procedimento de fiscalização do exercício da Arquitetura e Urbanismo no Brasil, com vistas ao cumprimento do que dispõe o art. 24 da supracitada</w:t>
      </w:r>
      <w:r>
        <w:rPr>
          <w:spacing w:val="1"/>
          <w:w w:val="105"/>
        </w:rPr>
        <w:t> </w:t>
      </w:r>
      <w:r>
        <w:rPr>
          <w:w w:val="105"/>
        </w:rPr>
        <w:t>lei:</w:t>
      </w:r>
    </w:p>
    <w:p>
      <w:pPr>
        <w:pStyle w:val="BodyText"/>
        <w:spacing w:before="1"/>
        <w:rPr>
          <w:sz w:val="18"/>
        </w:rPr>
      </w:pPr>
    </w:p>
    <w:p>
      <w:pPr>
        <w:spacing w:line="379" w:lineRule="auto" w:before="0"/>
        <w:ind w:left="7513" w:right="275" w:firstLine="0"/>
        <w:jc w:val="both"/>
        <w:rPr>
          <w:i/>
          <w:sz w:val="19"/>
        </w:rPr>
      </w:pPr>
      <w:r>
        <w:rPr>
          <w:i/>
          <w:w w:val="105"/>
          <w:sz w:val="19"/>
        </w:rPr>
        <w:t>Art. 24 Ficam criados o Conselho de Arquitetura e Urbanismo do Brasil (CAU/BR) e os </w:t>
      </w:r>
      <w:r>
        <w:rPr>
          <w:i/>
          <w:w w:val="105"/>
          <w:sz w:val="19"/>
        </w:rPr>
        <w:t>Conselhos de Arquitetura e Urbanismo dos Estados e do Distrito Federal (CAU/UF), como autarquias dotadas de personalidade jurídica de direito público, com autonomia administrativa e financeira e estrutura federativa, cujas atividades serão custeadas exclusivamente pelas próprias rendas.</w:t>
      </w:r>
    </w:p>
    <w:p>
      <w:pPr>
        <w:pStyle w:val="BodyText"/>
        <w:spacing w:before="2"/>
        <w:rPr>
          <w:i/>
          <w:sz w:val="18"/>
        </w:rPr>
      </w:pPr>
    </w:p>
    <w:p>
      <w:pPr>
        <w:spacing w:line="379" w:lineRule="auto" w:before="0"/>
        <w:ind w:left="7513" w:right="273" w:firstLine="0"/>
        <w:jc w:val="both"/>
        <w:rPr>
          <w:sz w:val="19"/>
        </w:rPr>
      </w:pPr>
      <w:r>
        <w:rPr>
          <w:i/>
          <w:w w:val="105"/>
          <w:sz w:val="19"/>
        </w:rPr>
        <w:t>§ 1º O CAU/BR e os CAU/UF têm como função </w:t>
      </w:r>
      <w:r>
        <w:rPr>
          <w:b/>
          <w:i/>
          <w:w w:val="105"/>
          <w:sz w:val="19"/>
        </w:rPr>
        <w:t>orientar, disciplinar e fiscalizar o </w:t>
      </w:r>
      <w:r>
        <w:rPr>
          <w:b/>
          <w:i/>
          <w:w w:val="105"/>
          <w:sz w:val="19"/>
        </w:rPr>
        <w:t>exercício da profissão de Arquitetura e Urbanismo</w:t>
      </w:r>
      <w:r>
        <w:rPr>
          <w:i/>
          <w:w w:val="105"/>
          <w:sz w:val="19"/>
        </w:rPr>
        <w:t>, zelar pela fiel observância dos </w:t>
      </w:r>
      <w:r>
        <w:rPr>
          <w:i/>
          <w:w w:val="105"/>
          <w:sz w:val="19"/>
        </w:rPr>
        <w:t>princípios de ética e disciplina da classe em todo o território nacional, bem como pugnar pelo aperfeiçoamento do exercício da arquitetura e urbanismo. </w:t>
      </w:r>
      <w:r>
        <w:rPr>
          <w:w w:val="105"/>
          <w:sz w:val="19"/>
        </w:rPr>
        <w:t>(grifos nossos).</w:t>
      </w:r>
    </w:p>
    <w:p>
      <w:pPr>
        <w:pStyle w:val="BodyText"/>
        <w:spacing w:before="5"/>
        <w:rPr>
          <w:sz w:val="18"/>
        </w:rPr>
      </w:pPr>
    </w:p>
    <w:p>
      <w:pPr>
        <w:pStyle w:val="BodyText"/>
        <w:spacing w:line="379" w:lineRule="auto" w:before="1"/>
        <w:ind w:left="4394" w:right="274"/>
        <w:jc w:val="both"/>
      </w:pPr>
      <w:r>
        <w:rPr>
          <w:w w:val="105"/>
        </w:rPr>
        <w:t>Conforme dispõe o art. 34, inciso VIII, da referida lei, </w:t>
      </w:r>
      <w:r>
        <w:rPr>
          <w:i/>
          <w:w w:val="105"/>
        </w:rPr>
        <w:t>compete aos CAU/UF fiscalizar o exercício das atividades profissionais </w:t>
      </w:r>
      <w:r>
        <w:rPr>
          <w:i/>
          <w:w w:val="105"/>
        </w:rPr>
        <w:t>de Arquitetura e Urbanismo </w:t>
      </w:r>
      <w:r>
        <w:rPr>
          <w:w w:val="105"/>
        </w:rPr>
        <w:t>no território de suas jurisdições. Com vistas ao devido cumprimento deste dispositivo legal por parte destes conselhos, o CAU/BR, ao elaborar este Manual, vem oferecer as condições para a uniformização dos princípios e dos procedimentos da ação fiscalizatória em todo o país, respeitadas as peculiaridades regionais. Isto se aplica tanto à compreensão da missão dos CAU/UF, como à visão e aos objetivos estratégicos de cada um deles, além da  exata apreensão da legislação que regula o exercício da</w:t>
      </w:r>
      <w:r>
        <w:rPr>
          <w:spacing w:val="9"/>
          <w:w w:val="105"/>
        </w:rPr>
        <w:t> </w:t>
      </w:r>
      <w:r>
        <w:rPr>
          <w:w w:val="105"/>
        </w:rPr>
        <w:t>profissão.</w:t>
      </w:r>
    </w:p>
    <w:p>
      <w:pPr>
        <w:pStyle w:val="BodyText"/>
        <w:rPr>
          <w:sz w:val="20"/>
        </w:rPr>
      </w:pPr>
    </w:p>
    <w:p>
      <w:pPr>
        <w:pStyle w:val="BodyText"/>
        <w:rPr>
          <w:sz w:val="20"/>
        </w:rPr>
      </w:pPr>
    </w:p>
    <w:p>
      <w:pPr>
        <w:pStyle w:val="BodyText"/>
        <w:spacing w:before="8"/>
        <w:rPr>
          <w:sz w:val="18"/>
        </w:rPr>
      </w:pPr>
    </w:p>
    <w:p>
      <w:pPr>
        <w:pStyle w:val="BodyText"/>
        <w:spacing w:before="100"/>
        <w:ind w:left="1381"/>
      </w:pPr>
      <w:r>
        <w:rPr>
          <w:color w:val="FFFFFF"/>
          <w:w w:val="105"/>
        </w:rPr>
        <w:t>- 6 -</w:t>
      </w:r>
    </w:p>
    <w:p>
      <w:pPr>
        <w:spacing w:after="0"/>
        <w:sectPr>
          <w:pgSz w:w="16840" w:h="11900" w:orient="landscape"/>
          <w:pgMar w:top="640" w:bottom="280" w:left="140" w:right="860"/>
        </w:sectPr>
      </w:pPr>
    </w:p>
    <w:p>
      <w:pPr>
        <w:pStyle w:val="BodyText"/>
        <w:rPr>
          <w:sz w:val="20"/>
        </w:rPr>
      </w:pPr>
      <w:r>
        <w:rPr/>
        <w:pict>
          <v:shape style="position:absolute;margin-left:12pt;margin-top:12pt;width:158.2pt;height:571pt;mso-position-horizontal-relative:page;mso-position-vertical-relative:page;z-index:1528"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151" w:right="1394"/>
                    <w:jc w:val="center"/>
                  </w:pPr>
                  <w:r>
                    <w:rPr>
                      <w:color w:val="FFFFFF"/>
                      <w:w w:val="105"/>
                    </w:rPr>
                    <w:t>- 7 -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rPr>
          <w:rFonts w:ascii="DaxCondensed"/>
          <w:sz w:val="20"/>
        </w:rPr>
      </w:pPr>
    </w:p>
    <w:p>
      <w:pPr>
        <w:pStyle w:val="BodyText"/>
        <w:rPr>
          <w:rFonts w:ascii="DaxCondensed"/>
          <w:sz w:val="20"/>
        </w:rPr>
      </w:pPr>
    </w:p>
    <w:p>
      <w:pPr>
        <w:pStyle w:val="BodyText"/>
        <w:rPr>
          <w:rFonts w:ascii="DaxCondensed"/>
          <w:sz w:val="20"/>
        </w:rPr>
      </w:pPr>
    </w:p>
    <w:p>
      <w:pPr>
        <w:pStyle w:val="BodyText"/>
        <w:spacing w:before="3"/>
        <w:rPr>
          <w:rFonts w:ascii="DaxCondensed"/>
        </w:rPr>
      </w:pPr>
    </w:p>
    <w:p>
      <w:pPr>
        <w:pStyle w:val="BodyText"/>
        <w:spacing w:line="379" w:lineRule="auto" w:before="100"/>
        <w:ind w:left="4394" w:right="276"/>
        <w:jc w:val="both"/>
      </w:pPr>
      <w:r>
        <w:rPr>
          <w:w w:val="105"/>
        </w:rPr>
        <w:t>Dessa forma este Manual, que contém as premissas e as diretrizes da função fiscalizatória do exercício da Arquitetura e Urbanismo, após sua apreciação e aprovação pelo Plenário do CAU/BR, servirá de referência aos CAU/UF para a</w:t>
      </w:r>
      <w:r>
        <w:rPr>
          <w:spacing w:val="55"/>
          <w:w w:val="105"/>
        </w:rPr>
        <w:t> </w:t>
      </w:r>
      <w:r>
        <w:rPr>
          <w:w w:val="105"/>
        </w:rPr>
        <w:t>elaboração de seus próprios manuais, conforme dispõe o § 1º do art. 3º da Resolução CAU/BR nº 22, de 4 de maio de</w:t>
      </w:r>
      <w:r>
        <w:rPr>
          <w:spacing w:val="-28"/>
          <w:w w:val="105"/>
        </w:rPr>
        <w:t> </w:t>
      </w:r>
      <w:r>
        <w:rPr>
          <w:w w:val="105"/>
        </w:rPr>
        <w:t>2012.</w:t>
      </w:r>
    </w:p>
    <w:p>
      <w:pPr>
        <w:pStyle w:val="BodyText"/>
        <w:rPr>
          <w:sz w:val="18"/>
        </w:rPr>
      </w:pPr>
    </w:p>
    <w:p>
      <w:pPr>
        <w:pStyle w:val="BodyText"/>
        <w:spacing w:line="379" w:lineRule="auto"/>
        <w:ind w:left="4394" w:right="276"/>
        <w:jc w:val="both"/>
      </w:pPr>
      <w:r>
        <w:rPr>
          <w:w w:val="105"/>
        </w:rPr>
        <w:t>Tendo como objetivo instituir, no âmbito dos CAU/UF, uma fiscalização de natureza educativa e preventiva, o presente Manual estrutura-se em sete partes: Apresentação, Conceitos, Premissas, Instrumentalização, Ritos Processuais, Fundamentação Legal e Anexos. Estes em número de quatro: Glossário de Termos Técnicos, Formulários (Relatório Digital de Fiscalização e Notificação/Auto de Infração), Tabela de Capitulação de Infrações e Penalidades e Termo de Cooperação Técnica.</w:t>
      </w:r>
    </w:p>
    <w:p>
      <w:pPr>
        <w:pStyle w:val="BodyText"/>
        <w:spacing w:before="1"/>
        <w:rPr>
          <w:sz w:val="18"/>
        </w:rPr>
      </w:pPr>
    </w:p>
    <w:p>
      <w:pPr>
        <w:pStyle w:val="BodyText"/>
        <w:spacing w:line="379" w:lineRule="auto" w:before="1"/>
        <w:ind w:left="4394" w:right="276"/>
        <w:jc w:val="both"/>
      </w:pPr>
      <w:r>
        <w:rPr>
          <w:w w:val="105"/>
        </w:rPr>
        <w:t>Nesta perspectiva, aspira-se que o CAU/BR e os CAU/UF exerçam, com eficiência e eficácia, o papel que legalmente lhes compete em prol da valorização do exercício legal e regular da Arquitetura e Urbanismo em defesa da sociedade, no que se refere à segurança, qualidade de vida e preservação do meio ambiente e da cultura, além do correto exercício da profissão.</w:t>
      </w:r>
    </w:p>
    <w:p>
      <w:pPr>
        <w:pStyle w:val="BodyText"/>
        <w:spacing w:before="5"/>
        <w:rPr>
          <w:sz w:val="18"/>
        </w:rPr>
      </w:pPr>
    </w:p>
    <w:p>
      <w:pPr>
        <w:pStyle w:val="BodyText"/>
        <w:spacing w:line="379" w:lineRule="auto"/>
        <w:ind w:left="4394" w:right="274"/>
        <w:jc w:val="both"/>
      </w:pPr>
      <w:r>
        <w:rPr>
          <w:w w:val="105"/>
        </w:rPr>
        <w:t>Cumpre ressaltar que o dinamismo próprio à ação fiscalizatória, torna indispensável a constante atualização deste Manual de Fiscalização do Exercício da Arquitetura e Urbanismo, com vistas a garantir a prestação de serviços dotados de qualidade, segurança e conforto.</w:t>
      </w:r>
    </w:p>
    <w:p>
      <w:pPr>
        <w:spacing w:after="0" w:line="379" w:lineRule="auto"/>
        <w:jc w:val="both"/>
        <w:sectPr>
          <w:pgSz w:w="16840" w:h="11900" w:orient="landscape"/>
          <w:pgMar w:top="240" w:bottom="0" w:left="140" w:right="860"/>
        </w:sectPr>
      </w:pPr>
    </w:p>
    <w:p>
      <w:pPr>
        <w:pStyle w:val="Heading4"/>
        <w:spacing w:before="82"/>
      </w:pPr>
      <w:r>
        <w:rPr/>
        <w:pict>
          <v:group style="position:absolute;margin-left:12pt;margin-top:12pt;width:774.5pt;height:571pt;mso-position-horizontal-relative:page;mso-position-vertical-relative:page;z-index:-147520" coordorigin="240,240" coordsize="15490,11420">
            <v:rect style="position:absolute;left:240;top:240;width:3164;height:11420" filled="true" fillcolor="#00666d" stroked="false">
              <v:fill type="solid"/>
            </v:rect>
            <v:line style="position:absolute" from="538,1843" to="15730,1843" stroked="true" strokeweight=".479981pt" strokecolor="#9db5bc">
              <v:stroke dashstyle="solid"/>
            </v:line>
            <w10:wrap type="none"/>
          </v:group>
        </w:pict>
      </w:r>
      <w:r>
        <w:rPr>
          <w:color w:val="00666D"/>
        </w:rPr>
        <w:t>- Manual de Fiscalização do Exercício da Arquitetura e Urbanismo -</w:t>
      </w:r>
    </w:p>
    <w:p>
      <w:pPr>
        <w:pStyle w:val="BodyText"/>
        <w:rPr>
          <w:rFonts w:ascii="DaxCondensed"/>
          <w:sz w:val="20"/>
        </w:rPr>
      </w:pPr>
    </w:p>
    <w:p>
      <w:pPr>
        <w:pStyle w:val="Heading1"/>
        <w:numPr>
          <w:ilvl w:val="0"/>
          <w:numId w:val="2"/>
        </w:numPr>
        <w:tabs>
          <w:tab w:pos="1081" w:val="left" w:leader="none"/>
          <w:tab w:pos="1082" w:val="left" w:leader="none"/>
        </w:tabs>
        <w:spacing w:line="240" w:lineRule="auto" w:before="251" w:after="0"/>
        <w:ind w:left="1081" w:right="0" w:hanging="656"/>
        <w:jc w:val="left"/>
        <w:rPr>
          <w:color w:val="FFFFFF"/>
          <w:sz w:val="28"/>
        </w:rPr>
      </w:pPr>
      <w:bookmarkStart w:name="_TOC_250015" w:id="2"/>
      <w:bookmarkEnd w:id="2"/>
      <w:r>
        <w:rPr>
          <w:color w:val="FFFFFF"/>
        </w:rPr>
        <w:t>Conceitos</w:t>
      </w:r>
    </w:p>
    <w:p>
      <w:pPr>
        <w:pStyle w:val="BodyText"/>
        <w:rPr>
          <w:rFonts w:ascii="DaxCondensed"/>
          <w:sz w:val="20"/>
        </w:rPr>
      </w:pPr>
    </w:p>
    <w:p>
      <w:pPr>
        <w:pStyle w:val="BodyText"/>
        <w:rPr>
          <w:rFonts w:ascii="DaxCondensed"/>
          <w:sz w:val="20"/>
        </w:rPr>
      </w:pPr>
    </w:p>
    <w:p>
      <w:pPr>
        <w:pStyle w:val="BodyText"/>
        <w:rPr>
          <w:rFonts w:ascii="DaxCondensed"/>
          <w:sz w:val="20"/>
        </w:rPr>
      </w:pPr>
    </w:p>
    <w:p>
      <w:pPr>
        <w:pStyle w:val="BodyText"/>
        <w:spacing w:before="9"/>
        <w:rPr>
          <w:rFonts w:ascii="DaxCondensed"/>
          <w:sz w:val="20"/>
        </w:rPr>
      </w:pPr>
    </w:p>
    <w:p>
      <w:pPr>
        <w:pStyle w:val="BodyText"/>
        <w:spacing w:line="379" w:lineRule="auto" w:before="100"/>
        <w:ind w:left="4394" w:right="274"/>
        <w:jc w:val="both"/>
      </w:pPr>
      <w:r>
        <w:rPr>
          <w:w w:val="105"/>
        </w:rPr>
        <w:t>Em que pese ter como objetivo final coibir e, quando necessário, punir o exercício ilegal ou irregular da profissão, a fiscalização do exercício da Arquitetura e Urbanismo não deve abdicar de sua natureza educativa e preventiva. Ao contrário, as estruturas de Fiscalização dos CAU/UF devem organizar suas rotinas, atividades e procedimentos visando, prioritariamente, orientar a correta atuação dos arquitetos e urbanistas e prevenir a ocorrência de possíveis ilícitos, em oposição à simples ação punitiva.</w:t>
      </w:r>
    </w:p>
    <w:p>
      <w:pPr>
        <w:pStyle w:val="BodyText"/>
        <w:spacing w:before="1"/>
        <w:rPr>
          <w:sz w:val="18"/>
        </w:rPr>
      </w:pPr>
    </w:p>
    <w:p>
      <w:pPr>
        <w:pStyle w:val="BodyText"/>
        <w:spacing w:line="379" w:lineRule="auto" w:before="1"/>
        <w:ind w:left="4394" w:right="275"/>
        <w:jc w:val="both"/>
      </w:pPr>
      <w:r>
        <w:rPr>
          <w:w w:val="105"/>
        </w:rPr>
        <w:t>Isso significa dizer que, na fiscalização, deve-se antepor a inteligência à burocracia e à coerção, utilizando-se de ações continuadas de divulgação e esclarecimento dos ordenamentos legais vigentes que normatizam a questão. Além disso, a fiscalização, em consonância com seu caráter educativo, deve incumbir-se de instruir as pessoas físicas e jurídicas que se enquadram nas atividades, atribuições ou campos de atuação da Arquitetura e Urbanismo sobre as boas práticas no  exercício da profissão. Deve, em suma, ser compreendida mais como uma ferramenta de aprimoramento do exercício da profissão, baseada nos princípios da ética e da defesa dos interesses da sociedade, do que como um sistema policialesco, voltado para a repressão ao ilícito e à</w:t>
      </w:r>
      <w:r>
        <w:rPr>
          <w:spacing w:val="8"/>
          <w:w w:val="105"/>
        </w:rPr>
        <w:t> </w:t>
      </w:r>
      <w:r>
        <w:rPr>
          <w:w w:val="105"/>
        </w:rPr>
        <w:t>exceção.</w:t>
      </w:r>
    </w:p>
    <w:p>
      <w:pPr>
        <w:pStyle w:val="BodyText"/>
        <w:spacing w:before="8"/>
        <w:rPr>
          <w:sz w:val="17"/>
        </w:rPr>
      </w:pPr>
    </w:p>
    <w:p>
      <w:pPr>
        <w:pStyle w:val="BodyText"/>
        <w:spacing w:line="379" w:lineRule="auto" w:before="1"/>
        <w:ind w:left="4394" w:right="276"/>
        <w:jc w:val="both"/>
      </w:pPr>
      <w:r>
        <w:rPr>
          <w:w w:val="105"/>
        </w:rPr>
        <w:t>Não obstante, em complementação às ações de caráter preventivo, as estruturas de fiscalização dos CAU/UF, quando da verificação de prova ou indício de infração à legislação profissional, devem atuar de modo a refrear o ato infracional,  mediante emissão de Notificação para regularização da situação constatada, e, caso não seja atendida tal providência, será lavrado o Auto de Infração, o qual deverá seguir os trâmites processuais definidos na Resolução CAU/BR n° 22, de</w:t>
      </w:r>
      <w:r>
        <w:rPr>
          <w:spacing w:val="-20"/>
          <w:w w:val="105"/>
        </w:rPr>
        <w:t> </w:t>
      </w:r>
      <w:r>
        <w:rPr>
          <w:w w:val="105"/>
        </w:rPr>
        <w:t>2012.</w:t>
      </w:r>
    </w:p>
    <w:p>
      <w:pPr>
        <w:pStyle w:val="BodyText"/>
        <w:spacing w:before="5"/>
        <w:rPr>
          <w:sz w:val="18"/>
        </w:rPr>
      </w:pPr>
    </w:p>
    <w:p>
      <w:pPr>
        <w:pStyle w:val="BodyText"/>
        <w:spacing w:line="379" w:lineRule="auto"/>
        <w:ind w:left="4394" w:right="275"/>
        <w:jc w:val="both"/>
      </w:pPr>
      <w:r>
        <w:rPr>
          <w:w w:val="105"/>
        </w:rPr>
        <w:t>Por fim, ao definir como objetivo principal da fiscalização do exercício da Arquitetura e Urbanismo a garantia da prestação de serviços técnicos de qualidade, realizados por meio de profissionais habilitados e devidamente registrados, observando-se os princípios éticos, de racionalidade e de sustentabilidade do ambiente e preservação da cultura em beneficio da sociedade, o CAU reconhece a importância da cooperação e da ação fiscalizatória conjunta e compartilhada com outros órgãos da administração pública, com vistas à eficiência, à redução de custos e à celeridade na instrução dos processos.</w:t>
      </w:r>
    </w:p>
    <w:p>
      <w:pPr>
        <w:pStyle w:val="BodyText"/>
        <w:rPr>
          <w:sz w:val="20"/>
        </w:rPr>
      </w:pPr>
    </w:p>
    <w:p>
      <w:pPr>
        <w:pStyle w:val="BodyText"/>
        <w:rPr>
          <w:sz w:val="24"/>
        </w:rPr>
      </w:pPr>
    </w:p>
    <w:p>
      <w:pPr>
        <w:pStyle w:val="BodyText"/>
        <w:ind w:left="1381"/>
      </w:pPr>
      <w:r>
        <w:rPr>
          <w:color w:val="FFFFFF"/>
          <w:w w:val="105"/>
        </w:rPr>
        <w:t>- 8 -</w:t>
      </w:r>
    </w:p>
    <w:p>
      <w:pPr>
        <w:spacing w:after="0"/>
        <w:sectPr>
          <w:pgSz w:w="16840" w:h="11900" w:orient="landscape"/>
          <w:pgMar w:top="640" w:bottom="280" w:left="140" w:right="860"/>
        </w:sectPr>
      </w:pPr>
    </w:p>
    <w:p>
      <w:pPr>
        <w:pStyle w:val="Heading4"/>
        <w:spacing w:before="82"/>
      </w:pPr>
      <w:r>
        <w:rPr/>
        <w:pict>
          <v:group style="position:absolute;margin-left:12pt;margin-top:12pt;width:774.5pt;height:571pt;mso-position-horizontal-relative:page;mso-position-vertical-relative:page;z-index:-147496" coordorigin="240,240" coordsize="15490,11420">
            <v:rect style="position:absolute;left:240;top:240;width:3164;height:11420" filled="true" fillcolor="#00666d" stroked="false">
              <v:fill type="solid"/>
            </v:rect>
            <v:line style="position:absolute" from="538,1843" to="15730,1843" stroked="true" strokeweight=".479981pt" strokecolor="#9db5bc">
              <v:stroke dashstyle="solid"/>
            </v:line>
            <w10:wrap type="none"/>
          </v:group>
        </w:pict>
      </w:r>
      <w:r>
        <w:rPr>
          <w:color w:val="00666D"/>
        </w:rPr>
        <w:t>- Manual de Fiscalização do Exercício da Arquitetura e Urbanismo -</w:t>
      </w:r>
    </w:p>
    <w:p>
      <w:pPr>
        <w:pStyle w:val="BodyText"/>
        <w:rPr>
          <w:rFonts w:ascii="DaxCondensed"/>
          <w:sz w:val="20"/>
        </w:rPr>
      </w:pPr>
    </w:p>
    <w:p>
      <w:pPr>
        <w:pStyle w:val="Heading1"/>
        <w:numPr>
          <w:ilvl w:val="0"/>
          <w:numId w:val="2"/>
        </w:numPr>
        <w:tabs>
          <w:tab w:pos="992" w:val="left" w:leader="none"/>
          <w:tab w:pos="993" w:val="left" w:leader="none"/>
        </w:tabs>
        <w:spacing w:line="240" w:lineRule="auto" w:before="251" w:after="0"/>
        <w:ind w:left="992" w:right="0" w:hanging="567"/>
        <w:jc w:val="left"/>
        <w:rPr>
          <w:color w:val="FFFFFF"/>
          <w:sz w:val="28"/>
        </w:rPr>
      </w:pPr>
      <w:bookmarkStart w:name="_TOC_250014" w:id="3"/>
      <w:bookmarkEnd w:id="3"/>
      <w:r>
        <w:rPr>
          <w:color w:val="FFFFFF"/>
        </w:rPr>
        <w:t>Premissas</w:t>
      </w:r>
    </w:p>
    <w:p>
      <w:pPr>
        <w:pStyle w:val="BodyText"/>
        <w:rPr>
          <w:rFonts w:ascii="DaxCondensed"/>
          <w:sz w:val="20"/>
        </w:rPr>
      </w:pPr>
    </w:p>
    <w:p>
      <w:pPr>
        <w:pStyle w:val="BodyText"/>
        <w:rPr>
          <w:rFonts w:ascii="DaxCondensed"/>
          <w:sz w:val="20"/>
        </w:rPr>
      </w:pPr>
    </w:p>
    <w:p>
      <w:pPr>
        <w:pStyle w:val="BodyText"/>
        <w:rPr>
          <w:rFonts w:ascii="DaxCondensed"/>
          <w:sz w:val="20"/>
        </w:rPr>
      </w:pPr>
    </w:p>
    <w:p>
      <w:pPr>
        <w:pStyle w:val="BodyText"/>
        <w:rPr>
          <w:rFonts w:ascii="DaxCondensed"/>
          <w:sz w:val="20"/>
        </w:rPr>
      </w:pPr>
    </w:p>
    <w:p>
      <w:pPr>
        <w:pStyle w:val="BodyText"/>
        <w:spacing w:before="3"/>
        <w:rPr>
          <w:rFonts w:ascii="DaxCondensed"/>
        </w:rPr>
      </w:pPr>
    </w:p>
    <w:p>
      <w:pPr>
        <w:pStyle w:val="BodyText"/>
        <w:spacing w:line="379" w:lineRule="auto" w:before="100"/>
        <w:ind w:left="4394" w:right="278"/>
        <w:jc w:val="both"/>
      </w:pPr>
      <w:r>
        <w:rPr>
          <w:w w:val="105"/>
        </w:rPr>
        <w:t>Em atendimento ao disposto no inciso VIII do art. 34 da Lei n° 12.378, de 2010, os Conselhos de Arquitetura e Urbanismo</w:t>
      </w:r>
      <w:r>
        <w:rPr>
          <w:spacing w:val="55"/>
          <w:w w:val="105"/>
        </w:rPr>
        <w:t> </w:t>
      </w:r>
      <w:r>
        <w:rPr>
          <w:w w:val="105"/>
        </w:rPr>
        <w:t>dos Estados e do Distrito Federal (CAU/UF) devem fiscalizar o exercício das atividades, atribuições e campos de atuação concernentes à Arquitetura e Urbanismo, em todo o território de suas</w:t>
      </w:r>
      <w:r>
        <w:rPr>
          <w:spacing w:val="9"/>
          <w:w w:val="105"/>
        </w:rPr>
        <w:t> </w:t>
      </w:r>
      <w:r>
        <w:rPr>
          <w:w w:val="105"/>
        </w:rPr>
        <w:t>jurisdições.</w:t>
      </w:r>
    </w:p>
    <w:p>
      <w:pPr>
        <w:pStyle w:val="BodyText"/>
        <w:spacing w:before="5"/>
        <w:rPr>
          <w:sz w:val="18"/>
        </w:rPr>
      </w:pPr>
    </w:p>
    <w:p>
      <w:pPr>
        <w:pStyle w:val="BodyText"/>
        <w:spacing w:line="376" w:lineRule="auto"/>
        <w:ind w:left="4394" w:right="274"/>
        <w:jc w:val="both"/>
      </w:pPr>
      <w:r>
        <w:rPr>
          <w:w w:val="105"/>
        </w:rPr>
        <w:t>Considerando-se as particularidades de cada Unidade da Federação, os CAU/UF devem planejar e executar suas ações de fiscalização de acordo com as condições e peculiaridades que lhes são próprias, desde que respeitados os dispositivos</w:t>
      </w:r>
      <w:r>
        <w:rPr>
          <w:spacing w:val="55"/>
          <w:w w:val="105"/>
        </w:rPr>
        <w:t> </w:t>
      </w:r>
      <w:r>
        <w:rPr>
          <w:w w:val="105"/>
        </w:rPr>
        <w:t>legais em vigor, a homogeneização dos procedimentos jurídico-administrativos de âmbito nacional e atendidas as diretrizes expostas neste</w:t>
      </w:r>
      <w:r>
        <w:rPr>
          <w:spacing w:val="2"/>
          <w:w w:val="105"/>
        </w:rPr>
        <w:t> </w:t>
      </w:r>
      <w:r>
        <w:rPr>
          <w:w w:val="105"/>
        </w:rPr>
        <w:t>Manual.</w:t>
      </w:r>
    </w:p>
    <w:p>
      <w:pPr>
        <w:pStyle w:val="BodyText"/>
        <w:spacing w:before="10"/>
        <w:rPr>
          <w:sz w:val="18"/>
        </w:rPr>
      </w:pPr>
    </w:p>
    <w:p>
      <w:pPr>
        <w:pStyle w:val="BodyText"/>
        <w:spacing w:line="379" w:lineRule="auto"/>
        <w:ind w:left="4394" w:right="274"/>
        <w:jc w:val="both"/>
      </w:pPr>
      <w:r>
        <w:rPr>
          <w:w w:val="105"/>
        </w:rPr>
        <w:t>Naturalmente, o planejamento das rotinas de fiscalização deve priorizar a verificação tanto das eventuais denúncias encaminhadas aos CAU/UF, através do Sistema de Informação e Comunicação do Conselho de Arquitetura e Urbanismo (SICCAU) ou por outros meios, quanto das situações que possam colocar em risco a saúde ou a segurança das pessoas, de seus bens ou do meio ambiente.</w:t>
      </w:r>
    </w:p>
    <w:p>
      <w:pPr>
        <w:pStyle w:val="BodyText"/>
        <w:spacing w:before="1"/>
        <w:rPr>
          <w:sz w:val="18"/>
        </w:rPr>
      </w:pPr>
    </w:p>
    <w:p>
      <w:pPr>
        <w:pStyle w:val="BodyText"/>
        <w:spacing w:line="379" w:lineRule="auto"/>
        <w:ind w:left="4394" w:right="274"/>
        <w:jc w:val="both"/>
      </w:pPr>
      <w:r>
        <w:rPr>
          <w:w w:val="105"/>
        </w:rPr>
        <w:t>Além do empreendimento de ações de cunho educativo e preventivo, constituem premissas a serem observadas pelos CAU/UF no desempenho da fiscalização do exercício da Arquitetura e Urbanismo:</w:t>
      </w:r>
    </w:p>
    <w:p>
      <w:pPr>
        <w:pStyle w:val="BodyText"/>
        <w:spacing w:before="3"/>
        <w:rPr>
          <w:sz w:val="10"/>
        </w:rPr>
      </w:pPr>
    </w:p>
    <w:p>
      <w:pPr>
        <w:pStyle w:val="Heading3"/>
        <w:tabs>
          <w:tab w:pos="15589" w:val="left" w:leader="none"/>
        </w:tabs>
        <w:ind w:left="4394"/>
      </w:pPr>
      <w:r>
        <w:rPr>
          <w:color w:val="FFFFFF"/>
          <w:shd w:fill="00666D" w:color="auto" w:val="clear"/>
        </w:rPr>
        <w:t>PUBLICIZAÇÃO:</w:t>
        <w:tab/>
      </w:r>
    </w:p>
    <w:p>
      <w:pPr>
        <w:pStyle w:val="BodyText"/>
        <w:spacing w:line="376" w:lineRule="auto" w:before="248"/>
        <w:ind w:left="4394" w:right="275"/>
        <w:jc w:val="both"/>
      </w:pPr>
      <w:r>
        <w:rPr>
          <w:w w:val="105"/>
        </w:rPr>
        <w:t>Os presidentes e os conselheiros estaduais, os empregados, em especial os agentes de fiscalização, e os demais colaboradores dos CAU/UF devem promover a notoriedade das ações fiscalizatórias voltadas à valorização do exercício da Arquitetura e Urbanismo e às boas práticas profissionais, baseadas nos princípios éticos, em prol da sociedade, visando a segurança, a qualidade de vida e a preservação do meio ambiente e da cultura;</w:t>
      </w:r>
    </w:p>
    <w:p>
      <w:pPr>
        <w:pStyle w:val="BodyText"/>
        <w:rPr>
          <w:sz w:val="20"/>
        </w:rPr>
      </w:pPr>
    </w:p>
    <w:p>
      <w:pPr>
        <w:pStyle w:val="BodyText"/>
        <w:rPr>
          <w:sz w:val="20"/>
        </w:rPr>
      </w:pPr>
    </w:p>
    <w:p>
      <w:pPr>
        <w:pStyle w:val="BodyText"/>
        <w:rPr>
          <w:sz w:val="20"/>
        </w:rPr>
      </w:pPr>
    </w:p>
    <w:p>
      <w:pPr>
        <w:pStyle w:val="BodyText"/>
      </w:pPr>
    </w:p>
    <w:p>
      <w:pPr>
        <w:pStyle w:val="BodyText"/>
        <w:ind w:left="1381"/>
      </w:pPr>
      <w:r>
        <w:rPr>
          <w:color w:val="FFFFFF"/>
          <w:w w:val="105"/>
        </w:rPr>
        <w:t>- 9 -</w:t>
      </w:r>
    </w:p>
    <w:p>
      <w:pPr>
        <w:spacing w:after="0"/>
        <w:sectPr>
          <w:pgSz w:w="16840" w:h="11900" w:orient="landscape"/>
          <w:pgMar w:top="640" w:bottom="280" w:left="140" w:right="860"/>
        </w:sectPr>
      </w:pPr>
    </w:p>
    <w:p>
      <w:pPr>
        <w:pStyle w:val="BodyText"/>
        <w:rPr>
          <w:sz w:val="20"/>
        </w:rPr>
      </w:pPr>
      <w:r>
        <w:rPr/>
        <w:pict>
          <v:shape style="position:absolute;margin-left:12pt;margin-top:12pt;width:158.2pt;height:571pt;mso-position-horizontal-relative:page;mso-position-vertical-relative:page;z-index:1600"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- 10 -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rPr>
          <w:rFonts w:ascii="DaxCondensed"/>
          <w:sz w:val="20"/>
        </w:rPr>
      </w:pPr>
    </w:p>
    <w:p>
      <w:pPr>
        <w:tabs>
          <w:tab w:pos="15589" w:val="left" w:leader="none"/>
        </w:tabs>
        <w:spacing w:before="211"/>
        <w:ind w:left="4394" w:right="0" w:firstLine="0"/>
        <w:jc w:val="left"/>
        <w:rPr>
          <w:b/>
          <w:sz w:val="19"/>
        </w:rPr>
      </w:pPr>
      <w:r>
        <w:rPr>
          <w:rFonts w:ascii="DaxCondensed"/>
          <w:color w:val="FFFFFF"/>
          <w:sz w:val="28"/>
          <w:shd w:fill="00666D" w:color="auto" w:val="clear"/>
        </w:rPr>
        <w:t>DESEMPENHO</w:t>
      </w:r>
      <w:r>
        <w:rPr>
          <w:b/>
          <w:color w:val="FFFFFF"/>
          <w:sz w:val="19"/>
          <w:shd w:fill="00666D" w:color="auto" w:val="clear"/>
        </w:rPr>
        <w:t>:</w:t>
        <w:tab/>
      </w:r>
    </w:p>
    <w:p>
      <w:pPr>
        <w:pStyle w:val="BodyText"/>
        <w:spacing w:line="379" w:lineRule="auto" w:before="248"/>
        <w:ind w:left="4394" w:right="289"/>
      </w:pPr>
      <w:r>
        <w:rPr>
          <w:w w:val="105"/>
        </w:rPr>
        <w:t>Na ação fiscalizatória deve-se congregar eficiência e eficácia, assegurando a confiabilidade dos dados coletados, com vistas à cobertura territorial, precisão e à obtenção de melhores resultados, de acordo com as estratégias traçadas pelo</w:t>
      </w:r>
      <w:r>
        <w:rPr>
          <w:spacing w:val="-23"/>
          <w:w w:val="105"/>
        </w:rPr>
        <w:t> </w:t>
      </w:r>
      <w:r>
        <w:rPr>
          <w:w w:val="105"/>
        </w:rPr>
        <w:t>CAU/UF;</w:t>
      </w:r>
    </w:p>
    <w:p>
      <w:pPr>
        <w:pStyle w:val="BodyText"/>
        <w:spacing w:before="3"/>
        <w:rPr>
          <w:sz w:val="10"/>
        </w:rPr>
      </w:pPr>
    </w:p>
    <w:p>
      <w:pPr>
        <w:pStyle w:val="Heading3"/>
        <w:tabs>
          <w:tab w:pos="15589" w:val="left" w:leader="none"/>
        </w:tabs>
        <w:ind w:left="4394"/>
        <w:rPr>
          <w:rFonts w:ascii="Arial"/>
          <w:b/>
          <w:sz w:val="19"/>
        </w:rPr>
      </w:pPr>
      <w:r>
        <w:rPr>
          <w:color w:val="FFFFFF"/>
          <w:shd w:fill="00666D" w:color="auto" w:val="clear"/>
        </w:rPr>
        <w:t>IMPARCIALIDADE</w:t>
      </w:r>
      <w:r>
        <w:rPr>
          <w:rFonts w:ascii="Arial"/>
          <w:b/>
          <w:color w:val="FFFFFF"/>
          <w:sz w:val="19"/>
          <w:shd w:fill="00666D" w:color="auto" w:val="clear"/>
        </w:rPr>
        <w:t>:</w:t>
        <w:tab/>
      </w:r>
    </w:p>
    <w:p>
      <w:pPr>
        <w:pStyle w:val="BodyText"/>
        <w:spacing w:line="376" w:lineRule="auto" w:before="248"/>
        <w:ind w:left="4394" w:right="274"/>
        <w:jc w:val="both"/>
      </w:pPr>
      <w:r>
        <w:rPr>
          <w:w w:val="105"/>
        </w:rPr>
        <w:t>A fiscalização deve ser voltada prioritariamente para a verificação factual dos aspectos relacionados ao registro profissional e à responsabilidade técnica, adentrando-se em aspectos qualitativos da atividade fiscalizada somente quando isto for necessário à caracterização da infração, seja por exorbitância de atribuições, acobertamento ou falta ética, sem descuidar de orientar sempre os fiscalizados sobre a boa conduta quando no exercício da profissão;</w:t>
      </w:r>
    </w:p>
    <w:p>
      <w:pPr>
        <w:pStyle w:val="BodyText"/>
        <w:spacing w:before="8"/>
        <w:rPr>
          <w:sz w:val="10"/>
        </w:rPr>
      </w:pPr>
    </w:p>
    <w:p>
      <w:pPr>
        <w:pStyle w:val="Heading3"/>
        <w:tabs>
          <w:tab w:pos="15589" w:val="left" w:leader="none"/>
        </w:tabs>
        <w:ind w:left="4394"/>
        <w:rPr>
          <w:rFonts w:ascii="Arial" w:hAnsi="Arial"/>
          <w:b/>
          <w:sz w:val="19"/>
        </w:rPr>
      </w:pPr>
      <w:r>
        <w:rPr>
          <w:color w:val="FFFFFF"/>
          <w:shd w:fill="00666D" w:color="auto" w:val="clear"/>
        </w:rPr>
        <w:t>OTIMIZAÇÃO</w:t>
      </w:r>
      <w:r>
        <w:rPr>
          <w:rFonts w:ascii="Arial" w:hAnsi="Arial"/>
          <w:b/>
          <w:color w:val="FFFFFF"/>
          <w:sz w:val="19"/>
          <w:shd w:fill="00666D" w:color="auto" w:val="clear"/>
        </w:rPr>
        <w:t>:</w:t>
        <w:tab/>
      </w:r>
    </w:p>
    <w:p>
      <w:pPr>
        <w:pStyle w:val="BodyText"/>
        <w:spacing w:line="379" w:lineRule="auto" w:before="248"/>
        <w:ind w:left="4394" w:right="276"/>
        <w:jc w:val="both"/>
      </w:pPr>
      <w:r>
        <w:rPr>
          <w:w w:val="105"/>
        </w:rPr>
        <w:t>As estruturas de fiscalização dos CAU/UF devem planejar e executar suas ações racionalizando os recursos humanos e materiais disponíveis, utilizando-se de parcerias, cooperações ou convênios com outros órgãos públicos e apoiando-se nas estruturas de fiscalização neles existentes, por meio das quais se buscará promover a extensão e a integração da  fiscalização sobre todo o território de sua</w:t>
      </w:r>
      <w:r>
        <w:rPr>
          <w:spacing w:val="7"/>
          <w:w w:val="105"/>
        </w:rPr>
        <w:t> </w:t>
      </w:r>
      <w:r>
        <w:rPr>
          <w:w w:val="105"/>
        </w:rPr>
        <w:t>jurisdição;</w:t>
      </w:r>
    </w:p>
    <w:p>
      <w:pPr>
        <w:pStyle w:val="BodyText"/>
        <w:spacing w:before="10"/>
        <w:rPr>
          <w:sz w:val="9"/>
        </w:rPr>
      </w:pPr>
    </w:p>
    <w:p>
      <w:pPr>
        <w:pStyle w:val="Heading3"/>
        <w:tabs>
          <w:tab w:pos="15589" w:val="left" w:leader="none"/>
        </w:tabs>
        <w:spacing w:before="100"/>
        <w:ind w:left="4394"/>
        <w:rPr>
          <w:rFonts w:ascii="Arial" w:hAnsi="Arial"/>
          <w:sz w:val="19"/>
        </w:rPr>
      </w:pPr>
      <w:r>
        <w:rPr>
          <w:color w:val="FFFFFF"/>
          <w:shd w:fill="00666D" w:color="auto" w:val="clear"/>
        </w:rPr>
        <w:t>ATUALIZAÇÃO</w:t>
      </w:r>
      <w:r>
        <w:rPr>
          <w:rFonts w:ascii="Arial" w:hAnsi="Arial"/>
          <w:sz w:val="19"/>
          <w:shd w:fill="00666D" w:color="auto" w:val="clear"/>
        </w:rPr>
        <w:t>:</w:t>
        <w:tab/>
      </w:r>
    </w:p>
    <w:p>
      <w:pPr>
        <w:pStyle w:val="BodyText"/>
        <w:spacing w:line="379" w:lineRule="auto" w:before="248"/>
        <w:ind w:left="4394" w:right="276"/>
        <w:jc w:val="both"/>
      </w:pPr>
      <w:r>
        <w:rPr>
          <w:w w:val="105"/>
        </w:rPr>
        <w:t>Uma vez que o exercício da Arquitetura e Urbanismo constitui uma atividade em permanente evolução técnica, social e cultural, a fiscalização do exercício da profissão deve ser continuamente atualizada e adaptada às novas situações, mediante capacitação, em busca da excelência em suas ações e do pleno cumprimento da sua missão.</w:t>
      </w:r>
    </w:p>
    <w:p>
      <w:pPr>
        <w:spacing w:after="0" w:line="379" w:lineRule="auto"/>
        <w:jc w:val="both"/>
        <w:sectPr>
          <w:pgSz w:w="16840" w:h="11900" w:orient="landscape"/>
          <w:pgMar w:top="240" w:bottom="0" w:left="140" w:right="860"/>
        </w:sectPr>
      </w:pPr>
    </w:p>
    <w:p>
      <w:pPr>
        <w:pStyle w:val="Heading4"/>
        <w:spacing w:before="82"/>
      </w:pPr>
      <w:r>
        <w:rPr/>
        <w:pict>
          <v:group style="position:absolute;margin-left:12pt;margin-top:12pt;width:774.5pt;height:571pt;mso-position-horizontal-relative:page;mso-position-vertical-relative:page;z-index:-147448" coordorigin="240,240" coordsize="15490,11420">
            <v:rect style="position:absolute;left:240;top:240;width:3164;height:11420" filled="true" fillcolor="#00666d" stroked="false">
              <v:fill type="solid"/>
            </v:rect>
            <v:line style="position:absolute" from="538,1843" to="15730,1843" stroked="true" strokeweight=".479981pt" strokecolor="#9db5bc">
              <v:stroke dashstyle="solid"/>
            </v:line>
            <w10:wrap type="none"/>
          </v:group>
        </w:pict>
      </w:r>
      <w:r>
        <w:rPr>
          <w:color w:val="00666D"/>
        </w:rPr>
        <w:t>- Manual de Fiscalização do Exercício da Arquitetura e Urbanismo -</w:t>
      </w:r>
    </w:p>
    <w:p>
      <w:pPr>
        <w:pStyle w:val="BodyText"/>
        <w:rPr>
          <w:rFonts w:ascii="DaxCondensed"/>
          <w:sz w:val="20"/>
        </w:rPr>
      </w:pPr>
    </w:p>
    <w:p>
      <w:pPr>
        <w:pStyle w:val="Heading1"/>
        <w:numPr>
          <w:ilvl w:val="0"/>
          <w:numId w:val="2"/>
        </w:numPr>
        <w:tabs>
          <w:tab w:pos="992" w:val="left" w:leader="none"/>
          <w:tab w:pos="993" w:val="left" w:leader="none"/>
        </w:tabs>
        <w:spacing w:line="240" w:lineRule="auto" w:before="251" w:after="0"/>
        <w:ind w:left="992" w:right="0" w:hanging="567"/>
        <w:jc w:val="left"/>
        <w:rPr>
          <w:color w:val="F2F2F2"/>
          <w:sz w:val="28"/>
        </w:rPr>
      </w:pPr>
      <w:bookmarkStart w:name="_TOC_250013" w:id="4"/>
      <w:bookmarkEnd w:id="4"/>
      <w:r>
        <w:rPr>
          <w:color w:val="F2F2F2"/>
        </w:rPr>
        <w:t>Instrumentalização</w:t>
      </w:r>
    </w:p>
    <w:p>
      <w:pPr>
        <w:pStyle w:val="BodyText"/>
        <w:rPr>
          <w:rFonts w:ascii="DaxCondensed"/>
          <w:sz w:val="20"/>
        </w:rPr>
      </w:pPr>
    </w:p>
    <w:p>
      <w:pPr>
        <w:pStyle w:val="BodyText"/>
        <w:rPr>
          <w:rFonts w:ascii="DaxCondensed"/>
          <w:sz w:val="20"/>
        </w:rPr>
      </w:pPr>
    </w:p>
    <w:p>
      <w:pPr>
        <w:pStyle w:val="BodyText"/>
        <w:spacing w:before="5"/>
        <w:rPr>
          <w:rFonts w:ascii="DaxCondensed"/>
        </w:rPr>
      </w:pPr>
    </w:p>
    <w:p>
      <w:pPr>
        <w:pStyle w:val="Heading3"/>
        <w:numPr>
          <w:ilvl w:val="1"/>
          <w:numId w:val="2"/>
        </w:numPr>
        <w:tabs>
          <w:tab w:pos="5115" w:val="left" w:leader="none"/>
          <w:tab w:pos="15589" w:val="left" w:leader="none"/>
        </w:tabs>
        <w:spacing w:line="240" w:lineRule="auto" w:before="100" w:after="0"/>
        <w:ind w:left="5114" w:right="0" w:hanging="720"/>
        <w:jc w:val="both"/>
      </w:pPr>
      <w:bookmarkStart w:name="_TOC_250012" w:id="5"/>
      <w:r>
        <w:rPr>
          <w:color w:val="F2F2F2"/>
          <w:shd w:fill="00666D" w:color="auto" w:val="clear"/>
        </w:rPr>
        <w:t>Estrutura de</w:t>
      </w:r>
      <w:r>
        <w:rPr>
          <w:color w:val="F2F2F2"/>
          <w:spacing w:val="-13"/>
          <w:shd w:fill="00666D" w:color="auto" w:val="clear"/>
        </w:rPr>
        <w:t> </w:t>
      </w:r>
      <w:bookmarkEnd w:id="5"/>
      <w:r>
        <w:rPr>
          <w:color w:val="F2F2F2"/>
          <w:shd w:fill="00666D" w:color="auto" w:val="clear"/>
        </w:rPr>
        <w:t>Fiscalização</w:t>
        <w:tab/>
      </w:r>
    </w:p>
    <w:p>
      <w:pPr>
        <w:pStyle w:val="BodyText"/>
        <w:spacing w:before="1"/>
        <w:rPr>
          <w:rFonts w:ascii="DaxCondensed"/>
          <w:sz w:val="31"/>
        </w:rPr>
      </w:pPr>
    </w:p>
    <w:p>
      <w:pPr>
        <w:pStyle w:val="BodyText"/>
        <w:spacing w:line="379" w:lineRule="auto"/>
        <w:ind w:left="4394" w:right="276"/>
        <w:jc w:val="both"/>
      </w:pPr>
      <w:r>
        <w:rPr>
          <w:w w:val="105"/>
        </w:rPr>
        <w:t>Conforme determina o art. 9º da Resolução CAU/BR n° 22, de 2012, o agente de fiscalização do exercício da Arquitetura e Urbanismo deve ser arquiteto e urbanista investido na função pelo CAU/UF a que se vincula. Para tal investidura o profissional, além de encontrar-se em situação regular perante o conselho, deverá proceder ao Registro de Responsabilidade Técnica (RRT) de Cargo ou Função referente ao desempenho da atividade de fiscalização e não exercer atividade de Arquitetura e Urbanismo na unidade da federação em que atua.</w:t>
      </w:r>
    </w:p>
    <w:p>
      <w:pPr>
        <w:pStyle w:val="BodyText"/>
        <w:spacing w:before="2"/>
        <w:rPr>
          <w:sz w:val="18"/>
        </w:rPr>
      </w:pPr>
    </w:p>
    <w:p>
      <w:pPr>
        <w:pStyle w:val="BodyText"/>
        <w:spacing w:line="379" w:lineRule="auto"/>
        <w:ind w:left="4394" w:right="279"/>
        <w:jc w:val="both"/>
      </w:pPr>
      <w:r>
        <w:rPr>
          <w:w w:val="105"/>
        </w:rPr>
        <w:t>Deste modo, cada CAU/UF deve contratar, ao menos, um arquiteto e urbanista para, investido no cargo, exercer a função de agente de fiscalização do conselho no território sob sua jurisdição.</w:t>
      </w:r>
    </w:p>
    <w:p>
      <w:pPr>
        <w:pStyle w:val="BodyText"/>
        <w:spacing w:before="5"/>
        <w:rPr>
          <w:sz w:val="18"/>
        </w:rPr>
      </w:pPr>
    </w:p>
    <w:p>
      <w:pPr>
        <w:pStyle w:val="BodyText"/>
        <w:spacing w:line="379" w:lineRule="auto"/>
        <w:ind w:left="4394" w:right="275"/>
        <w:jc w:val="both"/>
      </w:pPr>
      <w:r>
        <w:rPr>
          <w:w w:val="105"/>
        </w:rPr>
        <w:t>Ao agente de fiscalização do CAU/UF compete verificar, no âmbito da prestação de serviços de Arquitetura e Urbanismo, a regularidade destes perante a legislação vigente, com vistas a coibir toda e qualquer forma de exercício irregular ou ilegal da profissão.</w:t>
      </w:r>
    </w:p>
    <w:p>
      <w:pPr>
        <w:pStyle w:val="BodyText"/>
        <w:rPr>
          <w:sz w:val="18"/>
        </w:rPr>
      </w:pPr>
    </w:p>
    <w:p>
      <w:pPr>
        <w:pStyle w:val="BodyText"/>
        <w:spacing w:line="379" w:lineRule="auto"/>
        <w:ind w:left="4394" w:right="277"/>
        <w:jc w:val="both"/>
      </w:pPr>
      <w:r>
        <w:rPr>
          <w:w w:val="105"/>
        </w:rPr>
        <w:t>É de fundamental importância que, quando em atividade, o agente de fiscalização apresente-se sempre devidamente identificado e, em sua abordagem, aja com urbanidade e solicitude, devendo sua conduta ser permanentemente marcada pela transigência, pela imparcialidade e pelo senso</w:t>
      </w:r>
      <w:r>
        <w:rPr>
          <w:spacing w:val="6"/>
          <w:w w:val="105"/>
        </w:rPr>
        <w:t> </w:t>
      </w:r>
      <w:r>
        <w:rPr>
          <w:w w:val="105"/>
        </w:rPr>
        <w:t>ético.</w:t>
      </w:r>
    </w:p>
    <w:p>
      <w:pPr>
        <w:pStyle w:val="BodyText"/>
        <w:spacing w:before="6"/>
        <w:rPr>
          <w:sz w:val="18"/>
        </w:rPr>
      </w:pPr>
    </w:p>
    <w:p>
      <w:pPr>
        <w:pStyle w:val="BodyText"/>
        <w:spacing w:line="376" w:lineRule="auto"/>
        <w:ind w:left="4394" w:right="275"/>
        <w:jc w:val="both"/>
      </w:pPr>
      <w:r>
        <w:rPr>
          <w:w w:val="105"/>
        </w:rPr>
        <w:t>À vista das necessidades e particularidades de cada um dos CAU/UF, estes, quando da instituição de suas estruturas de fiscalização e visando à otimização de seus recursos, devem ainda considerar o disposto no § 2° do art. 7° e no parágrafo único do art. 9° da Resolução CAU/BR nº 22, de 2012, conforme se lê:</w:t>
      </w:r>
    </w:p>
    <w:p>
      <w:pPr>
        <w:pStyle w:val="BodyText"/>
        <w:spacing w:before="7"/>
        <w:rPr>
          <w:sz w:val="18"/>
        </w:rPr>
      </w:pPr>
    </w:p>
    <w:p>
      <w:pPr>
        <w:spacing w:line="379" w:lineRule="auto" w:before="0"/>
        <w:ind w:left="7229" w:right="274" w:firstLine="0"/>
        <w:jc w:val="both"/>
        <w:rPr>
          <w:sz w:val="19"/>
        </w:rPr>
      </w:pPr>
      <w:r>
        <w:rPr>
          <w:i/>
          <w:w w:val="105"/>
          <w:sz w:val="19"/>
        </w:rPr>
        <w:t>Art. 7° </w:t>
      </w:r>
      <w:r>
        <w:rPr>
          <w:w w:val="105"/>
          <w:sz w:val="19"/>
        </w:rPr>
        <w:t>[...] </w:t>
      </w:r>
      <w:r>
        <w:rPr>
          <w:i/>
          <w:w w:val="105"/>
          <w:sz w:val="19"/>
        </w:rPr>
        <w:t>§ 2° Em sua atuação como órgãos de fiscalização do exercício profissional os </w:t>
      </w:r>
      <w:r>
        <w:rPr>
          <w:i/>
          <w:w w:val="105"/>
          <w:sz w:val="19"/>
        </w:rPr>
        <w:t>CAU/UF poderão promover tanto ações exclusivamente suas como integradas às de outros órgãos públicos, podendo, inclusive, com estes celebrar convênios para essa finalidade. </w:t>
      </w:r>
      <w:r>
        <w:rPr>
          <w:w w:val="105"/>
          <w:sz w:val="19"/>
        </w:rPr>
        <w:t>[...]</w:t>
      </w:r>
    </w:p>
    <w:p>
      <w:pPr>
        <w:pStyle w:val="BodyText"/>
        <w:spacing w:before="10"/>
        <w:rPr>
          <w:sz w:val="21"/>
        </w:rPr>
      </w:pPr>
    </w:p>
    <w:p>
      <w:pPr>
        <w:pStyle w:val="BodyText"/>
        <w:spacing w:before="100"/>
        <w:ind w:left="1381"/>
      </w:pPr>
      <w:r>
        <w:rPr>
          <w:color w:val="FFFFFF"/>
          <w:w w:val="105"/>
        </w:rPr>
        <w:t>- 11 -</w:t>
      </w:r>
    </w:p>
    <w:p>
      <w:pPr>
        <w:spacing w:after="0"/>
        <w:sectPr>
          <w:pgSz w:w="16840" w:h="11900" w:orient="landscape"/>
          <w:pgMar w:top="640" w:bottom="280" w:left="140" w:right="860"/>
        </w:sectPr>
      </w:pPr>
    </w:p>
    <w:p>
      <w:pPr>
        <w:pStyle w:val="BodyText"/>
        <w:rPr>
          <w:sz w:val="20"/>
        </w:rPr>
      </w:pPr>
      <w:r>
        <w:rPr/>
        <w:pict>
          <v:shape style="position:absolute;margin-left:12pt;margin-top:12pt;width:158.2pt;height:571pt;mso-position-horizontal-relative:page;mso-position-vertical-relative:page;z-index:1648"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- 12 -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spacing w:line="379" w:lineRule="auto" w:before="100"/>
        <w:ind w:left="7229" w:right="276" w:firstLine="0"/>
        <w:jc w:val="both"/>
        <w:rPr>
          <w:i/>
          <w:sz w:val="19"/>
        </w:rPr>
      </w:pPr>
      <w:r>
        <w:rPr>
          <w:i/>
          <w:w w:val="105"/>
          <w:sz w:val="19"/>
        </w:rPr>
        <w:t>Art. 9° </w:t>
      </w:r>
      <w:r>
        <w:rPr>
          <w:w w:val="105"/>
          <w:sz w:val="19"/>
        </w:rPr>
        <w:t>[...] </w:t>
      </w:r>
      <w:r>
        <w:rPr>
          <w:i/>
          <w:w w:val="105"/>
          <w:sz w:val="19"/>
        </w:rPr>
        <w:t>Parágrafo único. Em casos devidamente justificados, o CAU/UF poderá utilizar os </w:t>
      </w:r>
      <w:r>
        <w:rPr>
          <w:i/>
          <w:w w:val="105"/>
          <w:sz w:val="19"/>
        </w:rPr>
        <w:t>serviços de um corpo de arquitetos e urbanistas devidamente treinados e autorizados, para verificar a ocorrência de infração no exercício da profissão, em apoio aos agentes de fiscalização.</w:t>
      </w:r>
    </w:p>
    <w:p>
      <w:pPr>
        <w:pStyle w:val="BodyText"/>
        <w:spacing w:before="6"/>
        <w:rPr>
          <w:i/>
          <w:sz w:val="18"/>
        </w:rPr>
      </w:pPr>
    </w:p>
    <w:p>
      <w:pPr>
        <w:pStyle w:val="BodyText"/>
        <w:spacing w:line="379" w:lineRule="auto"/>
        <w:ind w:left="4394" w:right="274"/>
        <w:jc w:val="both"/>
      </w:pPr>
      <w:r>
        <w:rPr>
          <w:w w:val="105"/>
        </w:rPr>
        <w:t>Isto significa que, como forma de reduzir custos, o CAU/UF poderá contratar apenas um ou um pequeno número de agentes de fiscalização os quais, sendo empregados e investidos na função, atuarão em caráter permanente no conselho. Além destes, o CAU/UF poderá recrutar, treinar e cadastrar outros arquitetos e urbanistas, que, em ocasiões específicas e a</w:t>
      </w:r>
      <w:r>
        <w:rPr>
          <w:spacing w:val="55"/>
          <w:w w:val="105"/>
        </w:rPr>
        <w:t> </w:t>
      </w:r>
      <w:r>
        <w:rPr>
          <w:w w:val="105"/>
        </w:rPr>
        <w:t>critério do conselho, participarão de ações fiscalizatórias em apoio aos agentes de fiscalização, sendo remunerados apenas por esses serviços. Recomenda-se que, caso o CAU/UF disponha de mais de um agente de fiscalização, um deles deverá exercer a função de chefe da fiscalização, tornando-se o responsável pela organização das ações fiscalizatórias e pelo ambiente de tecnologia que integra o Sistema de Inteligência Geográfica do CAU-</w:t>
      </w:r>
      <w:r>
        <w:rPr>
          <w:spacing w:val="7"/>
          <w:w w:val="105"/>
        </w:rPr>
        <w:t> </w:t>
      </w:r>
      <w:r>
        <w:rPr>
          <w:w w:val="105"/>
        </w:rPr>
        <w:t>IGEO.</w:t>
      </w:r>
    </w:p>
    <w:p>
      <w:pPr>
        <w:pStyle w:val="BodyText"/>
        <w:spacing w:before="9"/>
        <w:rPr>
          <w:sz w:val="17"/>
        </w:rPr>
      </w:pPr>
    </w:p>
    <w:p>
      <w:pPr>
        <w:pStyle w:val="BodyText"/>
        <w:spacing w:line="379" w:lineRule="auto"/>
        <w:ind w:left="4394" w:right="274"/>
        <w:jc w:val="both"/>
      </w:pPr>
      <w:r>
        <w:rPr>
          <w:w w:val="105"/>
        </w:rPr>
        <w:t>Cumpre destacar, ainda, o papel fundamental das Comissões de Exercício Profissional (CEP) dos CAU/UF a ser exercido junto à fiscalização, com a finalidade de orientar, supervisionar e dar suporte às ações fiscalizatórias, inclusive no que se refere à definição das estratégias de fiscalização pelos conselhos. Devem, do mesmo modo, realizar o acompanhamento do trabalho dos agentes de fiscalização, estimulando-os ao aprimoramento contínuo do desempenho de suas atividades, haja vista a natureza educativa que deve orientar as ações de fiscalização do exercício da Arquitetura e Urbanismo e a competência das CEP-CAU/UF para, em primeira instância, apreciar e julgar os autos resultantes do exercício ilegal ou irregular da profissão.</w:t>
      </w:r>
    </w:p>
    <w:p>
      <w:pPr>
        <w:pStyle w:val="BodyText"/>
        <w:spacing w:before="2"/>
        <w:rPr>
          <w:sz w:val="18"/>
        </w:rPr>
      </w:pPr>
    </w:p>
    <w:p>
      <w:pPr>
        <w:pStyle w:val="BodyText"/>
        <w:spacing w:line="379" w:lineRule="auto"/>
        <w:ind w:left="4394" w:right="275"/>
        <w:jc w:val="both"/>
      </w:pPr>
      <w:r>
        <w:rPr>
          <w:w w:val="105"/>
        </w:rPr>
        <w:t>Convém ressaltar, por outro lado, que nos casos em que o CAU/UF não possua Comissão de Exercício Profissional, os assuntos relacionados à fiscalização ficarão sob a responsabilidade da instância do conselho que assuma suas funções, seja outra comissão ou o próprio Plenário.</w:t>
      </w:r>
    </w:p>
    <w:p>
      <w:pPr>
        <w:spacing w:after="0" w:line="379" w:lineRule="auto"/>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1672"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- 13 -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rPr>
          <w:rFonts w:ascii="DaxCondensed"/>
          <w:sz w:val="20"/>
        </w:rPr>
      </w:pPr>
    </w:p>
    <w:p>
      <w:pPr>
        <w:pStyle w:val="Heading3"/>
        <w:numPr>
          <w:ilvl w:val="1"/>
          <w:numId w:val="2"/>
        </w:numPr>
        <w:tabs>
          <w:tab w:pos="5115" w:val="left" w:leader="none"/>
          <w:tab w:pos="15589" w:val="left" w:leader="none"/>
        </w:tabs>
        <w:spacing w:line="240" w:lineRule="auto" w:before="216" w:after="0"/>
        <w:ind w:left="5114" w:right="0" w:hanging="720"/>
        <w:jc w:val="both"/>
      </w:pPr>
      <w:bookmarkStart w:name="_TOC_250011" w:id="6"/>
      <w:r>
        <w:rPr>
          <w:color w:val="F2F2F2"/>
          <w:shd w:fill="00666D" w:color="auto" w:val="clear"/>
        </w:rPr>
        <w:t>Instrumentos de</w:t>
      </w:r>
      <w:r>
        <w:rPr>
          <w:color w:val="F2F2F2"/>
          <w:spacing w:val="-14"/>
          <w:shd w:fill="00666D" w:color="auto" w:val="clear"/>
        </w:rPr>
        <w:t> </w:t>
      </w:r>
      <w:bookmarkEnd w:id="6"/>
      <w:r>
        <w:rPr>
          <w:color w:val="F2F2F2"/>
          <w:shd w:fill="00666D" w:color="auto" w:val="clear"/>
        </w:rPr>
        <w:t>Fiscalização</w:t>
        <w:tab/>
      </w:r>
    </w:p>
    <w:p>
      <w:pPr>
        <w:pStyle w:val="BodyText"/>
        <w:spacing w:before="5"/>
        <w:rPr>
          <w:rFonts w:ascii="DaxCondensed"/>
          <w:sz w:val="32"/>
        </w:rPr>
      </w:pPr>
    </w:p>
    <w:p>
      <w:pPr>
        <w:pStyle w:val="BodyText"/>
        <w:spacing w:line="379" w:lineRule="auto"/>
        <w:ind w:left="4394" w:right="276"/>
        <w:jc w:val="both"/>
      </w:pPr>
      <w:r>
        <w:rPr>
          <w:w w:val="105"/>
        </w:rPr>
        <w:t>Com a publicação, em 4 de maio de 2012, da Resolução CAU/BR n° 22, que dispõe sobre a fiscalização do exercício da Arquitetura e Urbanismo, os procedimentos para formalização, instrução e julgamento de processo referente a infração à legislação profissional e sobre a aplicação de penalidades, foram criados os instrumentos necessários à efetivação, pelos CAU/UF, da fiscalização do exercício da profissão em cada uma das unidades federativas.</w:t>
      </w:r>
    </w:p>
    <w:p>
      <w:pPr>
        <w:pStyle w:val="BodyText"/>
        <w:spacing w:before="6"/>
        <w:rPr>
          <w:sz w:val="18"/>
        </w:rPr>
      </w:pPr>
    </w:p>
    <w:p>
      <w:pPr>
        <w:pStyle w:val="BodyText"/>
        <w:spacing w:line="376" w:lineRule="auto"/>
        <w:ind w:left="4394" w:right="276"/>
        <w:jc w:val="both"/>
      </w:pPr>
      <w:r>
        <w:rPr>
          <w:w w:val="105"/>
        </w:rPr>
        <w:t>Para o eficaz e eficiente desempenho da missão acima referida, o agente de fiscalização deverá, preferencialmente, utilizar- se de diversas ferramentas tecnológicas disponíveis, observando-se sempre a legalidade dos atos praticados e tornando exequível o planejamento e a realização das ações fiscalizatórias, sejam estas diretas ou indiretas.</w:t>
      </w:r>
    </w:p>
    <w:p>
      <w:pPr>
        <w:pStyle w:val="BodyText"/>
        <w:spacing w:before="7"/>
        <w:rPr>
          <w:sz w:val="18"/>
        </w:rPr>
      </w:pPr>
    </w:p>
    <w:p>
      <w:pPr>
        <w:pStyle w:val="BodyText"/>
        <w:spacing w:line="379" w:lineRule="auto"/>
        <w:ind w:left="4394" w:right="274"/>
        <w:jc w:val="both"/>
      </w:pPr>
      <w:r>
        <w:rPr>
          <w:w w:val="105"/>
        </w:rPr>
        <w:t>Observe-se que a ação fiscalizatória a ser exercida pelo Conselho de Arquitetura e Urbanismo (CAU/BR e CAU/UF) baseia- se na produção de conhecimento e na gestão estratégica da informação, viabilizadas pela integração do Sistema de Inteligência Geográfica (IGEO) ao Módulo corporativo do Sistema de Informação e Comunicação do CAU (SICCAU), por</w:t>
      </w:r>
      <w:r>
        <w:rPr>
          <w:spacing w:val="55"/>
          <w:w w:val="105"/>
        </w:rPr>
        <w:t> </w:t>
      </w:r>
      <w:r>
        <w:rPr>
          <w:w w:val="105"/>
        </w:rPr>
        <w:t>meio do rebatimento territorial de seu banco de dados associado a feições geográficas que integram o</w:t>
      </w:r>
      <w:r>
        <w:rPr>
          <w:spacing w:val="-2"/>
          <w:w w:val="105"/>
        </w:rPr>
        <w:t> </w:t>
      </w:r>
      <w:r>
        <w:rPr>
          <w:w w:val="105"/>
        </w:rPr>
        <w:t>IGEO.</w:t>
      </w:r>
    </w:p>
    <w:p>
      <w:pPr>
        <w:pStyle w:val="BodyText"/>
        <w:spacing w:before="1"/>
        <w:rPr>
          <w:sz w:val="18"/>
        </w:rPr>
      </w:pPr>
    </w:p>
    <w:p>
      <w:pPr>
        <w:pStyle w:val="BodyText"/>
        <w:spacing w:line="379" w:lineRule="auto"/>
        <w:ind w:left="4394" w:right="276"/>
        <w:jc w:val="both"/>
      </w:pPr>
      <w:r>
        <w:rPr>
          <w:w w:val="105"/>
        </w:rPr>
        <w:t>Este sistema deverá incorporar progressivamente informações advindas de outros bancos de dados, tais como do Instituto Brasileiro de Geografia e Estatística (IBGE) e de órgãos públicos, como as Prefeituras Municipais, os Conselhos Regionais</w:t>
      </w:r>
      <w:r>
        <w:rPr>
          <w:spacing w:val="55"/>
          <w:w w:val="105"/>
        </w:rPr>
        <w:t> </w:t>
      </w:r>
      <w:r>
        <w:rPr>
          <w:w w:val="105"/>
        </w:rPr>
        <w:t>de Engenharia e Agronomia (CREA) e os órgãos ambientais, além de agentes financeiros, concessionárias de água, luz e telecomunicações, associações de condomínios, entre outros, mediante celebração de acordos de cooperação</w:t>
      </w:r>
      <w:r>
        <w:rPr>
          <w:spacing w:val="-16"/>
          <w:w w:val="105"/>
        </w:rPr>
        <w:t> </w:t>
      </w:r>
      <w:r>
        <w:rPr>
          <w:w w:val="105"/>
        </w:rPr>
        <w:t>técnica.</w:t>
      </w:r>
    </w:p>
    <w:p>
      <w:pPr>
        <w:pStyle w:val="BodyText"/>
        <w:spacing w:before="1"/>
        <w:rPr>
          <w:sz w:val="18"/>
        </w:rPr>
      </w:pPr>
    </w:p>
    <w:p>
      <w:pPr>
        <w:pStyle w:val="BodyText"/>
        <w:spacing w:line="379" w:lineRule="auto"/>
        <w:ind w:left="4394" w:right="275"/>
        <w:jc w:val="both"/>
      </w:pPr>
      <w:r>
        <w:rPr>
          <w:w w:val="105"/>
        </w:rPr>
        <w:t>Desta forma, a elaboração de mapas temáticos e analíticos, mediante a associação de endereços e coordenadas geográficas, permitirá, a instauração de um abrangente sistema de apoio ao planejamento e à gestão da fiscalização, bem como à tomada de decisões. As funções básicas já disponíveis no IGEO como o mapeamento dos RRT por categorias, já permitem orientar a fiscalização em campo, através das análises de áreas de concentração de obras, dentre outras análises supervenientes.</w:t>
      </w:r>
    </w:p>
    <w:p>
      <w:pPr>
        <w:spacing w:after="0" w:line="379" w:lineRule="auto"/>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1696"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- 14 -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pStyle w:val="BodyText"/>
        <w:spacing w:line="379" w:lineRule="auto" w:before="100"/>
        <w:ind w:left="4394" w:right="275"/>
        <w:jc w:val="both"/>
      </w:pPr>
      <w:r>
        <w:rPr>
          <w:w w:val="105"/>
        </w:rPr>
        <w:t>A capacitação dos agentes de fiscalização dos CAU/UF objetiva proporcionar, a cada um desses conselhos, a possibilidade de estabelecer rotinas eficientes na realização das atividades de fiscalização, facilitando o atendimento ao art. 8° da Resolução CAU/BR n° 22, de 2012, pelo qual:</w:t>
      </w:r>
    </w:p>
    <w:p>
      <w:pPr>
        <w:pStyle w:val="BodyText"/>
        <w:spacing w:before="6"/>
        <w:rPr>
          <w:sz w:val="18"/>
        </w:rPr>
      </w:pPr>
    </w:p>
    <w:p>
      <w:pPr>
        <w:spacing w:line="379" w:lineRule="auto" w:before="0"/>
        <w:ind w:left="7229" w:right="275" w:firstLine="0"/>
        <w:jc w:val="both"/>
        <w:rPr>
          <w:i/>
          <w:sz w:val="19"/>
        </w:rPr>
      </w:pPr>
      <w:r>
        <w:rPr>
          <w:i/>
          <w:w w:val="105"/>
          <w:sz w:val="19"/>
        </w:rPr>
        <w:t>Art. 8° Além de suas ações de rotina, de caráter preventivo, a estrutura de fiscalização dos </w:t>
      </w:r>
      <w:r>
        <w:rPr>
          <w:i/>
          <w:w w:val="105"/>
          <w:sz w:val="19"/>
        </w:rPr>
        <w:t>CAU/UF, quando da ocorrência de prova ou indício de infração à legislação profissional, atuará de modo a reprimir o ato infracional, utilizando-se dos seguintes instrumentos:</w:t>
      </w:r>
    </w:p>
    <w:p>
      <w:pPr>
        <w:pStyle w:val="ListParagraph"/>
        <w:numPr>
          <w:ilvl w:val="2"/>
          <w:numId w:val="2"/>
        </w:numPr>
        <w:tabs>
          <w:tab w:pos="7345" w:val="left" w:leader="none"/>
        </w:tabs>
        <w:spacing w:line="379" w:lineRule="auto" w:before="0" w:after="0"/>
        <w:ind w:left="7229" w:right="278" w:firstLine="0"/>
        <w:jc w:val="both"/>
        <w:rPr>
          <w:i/>
          <w:sz w:val="19"/>
        </w:rPr>
      </w:pPr>
      <w:r>
        <w:rPr>
          <w:i/>
          <w:w w:val="105"/>
          <w:sz w:val="19"/>
        </w:rPr>
        <w:t>- iniciativa do CAU/UF quando constatada, pelos meios de que este dispõe, prova ou indício </w:t>
      </w:r>
      <w:r>
        <w:rPr>
          <w:i/>
          <w:w w:val="105"/>
          <w:sz w:val="19"/>
        </w:rPr>
        <w:t>de infração à legislação</w:t>
      </w:r>
      <w:r>
        <w:rPr>
          <w:i/>
          <w:spacing w:val="4"/>
          <w:w w:val="105"/>
          <w:sz w:val="19"/>
        </w:rPr>
        <w:t> </w:t>
      </w:r>
      <w:r>
        <w:rPr>
          <w:i/>
          <w:w w:val="105"/>
          <w:sz w:val="19"/>
        </w:rPr>
        <w:t>profissional;</w:t>
      </w:r>
    </w:p>
    <w:p>
      <w:pPr>
        <w:pStyle w:val="ListParagraph"/>
        <w:numPr>
          <w:ilvl w:val="2"/>
          <w:numId w:val="2"/>
        </w:numPr>
        <w:tabs>
          <w:tab w:pos="7397" w:val="left" w:leader="none"/>
        </w:tabs>
        <w:spacing w:line="240" w:lineRule="auto" w:before="0" w:after="0"/>
        <w:ind w:left="7396" w:right="0" w:hanging="167"/>
        <w:jc w:val="left"/>
        <w:rPr>
          <w:i/>
          <w:sz w:val="19"/>
        </w:rPr>
      </w:pPr>
      <w:r>
        <w:rPr>
          <w:i/>
          <w:w w:val="105"/>
          <w:sz w:val="19"/>
        </w:rPr>
        <w:t>- relatório elaborado por agente de fiscalização do</w:t>
      </w:r>
      <w:r>
        <w:rPr>
          <w:i/>
          <w:spacing w:val="5"/>
          <w:w w:val="105"/>
          <w:sz w:val="19"/>
        </w:rPr>
        <w:t> </w:t>
      </w:r>
      <w:r>
        <w:rPr>
          <w:i/>
          <w:w w:val="105"/>
          <w:sz w:val="19"/>
        </w:rPr>
        <w:t>CAU/UF;</w:t>
      </w:r>
    </w:p>
    <w:p>
      <w:pPr>
        <w:pStyle w:val="ListParagraph"/>
        <w:numPr>
          <w:ilvl w:val="2"/>
          <w:numId w:val="2"/>
        </w:numPr>
        <w:tabs>
          <w:tab w:pos="7453" w:val="left" w:leader="none"/>
        </w:tabs>
        <w:spacing w:line="240" w:lineRule="auto" w:before="124" w:after="0"/>
        <w:ind w:left="7452" w:right="0" w:hanging="223"/>
        <w:jc w:val="left"/>
        <w:rPr>
          <w:i/>
          <w:sz w:val="19"/>
        </w:rPr>
      </w:pPr>
      <w:r>
        <w:rPr>
          <w:i/>
          <w:w w:val="105"/>
          <w:sz w:val="19"/>
        </w:rPr>
        <w:t>- denúncia formalizada por pessoa física ou jurídica de direito público ou</w:t>
      </w:r>
      <w:r>
        <w:rPr>
          <w:i/>
          <w:spacing w:val="-2"/>
          <w:w w:val="105"/>
          <w:sz w:val="19"/>
        </w:rPr>
        <w:t> </w:t>
      </w:r>
      <w:r>
        <w:rPr>
          <w:i/>
          <w:w w:val="105"/>
          <w:sz w:val="19"/>
        </w:rPr>
        <w:t>privado.</w:t>
      </w:r>
    </w:p>
    <w:p>
      <w:pPr>
        <w:spacing w:line="379" w:lineRule="auto" w:before="127"/>
        <w:ind w:left="7229" w:right="277" w:firstLine="0"/>
        <w:jc w:val="both"/>
        <w:rPr>
          <w:i/>
          <w:sz w:val="19"/>
        </w:rPr>
      </w:pPr>
      <w:r>
        <w:rPr>
          <w:i/>
          <w:w w:val="105"/>
          <w:sz w:val="19"/>
        </w:rPr>
        <w:t>§ 1° Nos casos a que se refere o inciso III deste artigo, o CAU/UF deverá proceder à </w:t>
      </w:r>
      <w:r>
        <w:rPr>
          <w:i/>
          <w:w w:val="105"/>
          <w:sz w:val="19"/>
        </w:rPr>
        <w:t>verificação </w:t>
      </w:r>
      <w:r>
        <w:rPr>
          <w:w w:val="105"/>
          <w:sz w:val="19"/>
        </w:rPr>
        <w:t>in loco </w:t>
      </w:r>
      <w:r>
        <w:rPr>
          <w:i/>
          <w:w w:val="105"/>
          <w:sz w:val="19"/>
        </w:rPr>
        <w:t>da efetiva ocorrência da suposta infração.</w:t>
      </w:r>
    </w:p>
    <w:p>
      <w:pPr>
        <w:spacing w:line="379" w:lineRule="auto" w:before="1"/>
        <w:ind w:left="7229" w:right="274" w:firstLine="0"/>
        <w:jc w:val="both"/>
        <w:rPr>
          <w:i/>
          <w:sz w:val="19"/>
        </w:rPr>
      </w:pPr>
      <w:r>
        <w:rPr>
          <w:i/>
          <w:w w:val="105"/>
          <w:sz w:val="19"/>
        </w:rPr>
        <w:t>§ 2° A denúncia anônima poderá ser efetuada, por meio de ligação telefônica dirigida ao setor </w:t>
      </w:r>
      <w:r>
        <w:rPr>
          <w:i/>
          <w:w w:val="105"/>
          <w:sz w:val="19"/>
        </w:rPr>
        <w:t>competente do SICCAU ou por escrito, sendo o seu encaminhamento precedido de apuração pelo CAU/UF, desde que contenha descrição detalhada do fato denunciado e apresentação de provas circunstanciais ou de indícios que configurem a suposta infração à legislação profissional.</w:t>
      </w:r>
    </w:p>
    <w:p>
      <w:pPr>
        <w:pStyle w:val="BodyText"/>
        <w:spacing w:before="1"/>
        <w:rPr>
          <w:i/>
          <w:sz w:val="18"/>
        </w:rPr>
      </w:pPr>
    </w:p>
    <w:p>
      <w:pPr>
        <w:pStyle w:val="BodyText"/>
        <w:spacing w:line="376" w:lineRule="auto"/>
        <w:ind w:left="4394" w:right="275"/>
        <w:jc w:val="both"/>
      </w:pPr>
      <w:r>
        <w:rPr>
          <w:w w:val="105"/>
        </w:rPr>
        <w:t>Convém esclarecer, </w:t>
      </w:r>
      <w:r>
        <w:rPr>
          <w:i/>
          <w:w w:val="105"/>
        </w:rPr>
        <w:t>a priori</w:t>
      </w:r>
      <w:r>
        <w:rPr>
          <w:w w:val="105"/>
        </w:rPr>
        <w:t>, que as ações de fiscalização do exercício da Arquitetura e Urbanismo deverão ser realizadas utilizando-se dos meios disponíveis em cada CAU/UF e as tecnologias disponibilizadas pelo IGEO, observando-se suas particularidades e as condições operacionais nele encontradas, desde que respeitados os dispositivos da legislação vigente, sobretudo os da Resolução CAU/BR nº 22, de 2012.</w:t>
      </w:r>
    </w:p>
    <w:p>
      <w:pPr>
        <w:pStyle w:val="BodyText"/>
        <w:spacing w:before="10"/>
        <w:rPr>
          <w:sz w:val="18"/>
        </w:rPr>
      </w:pPr>
    </w:p>
    <w:p>
      <w:pPr>
        <w:pStyle w:val="BodyText"/>
        <w:spacing w:line="379" w:lineRule="auto"/>
        <w:ind w:left="4394" w:right="274"/>
        <w:jc w:val="both"/>
      </w:pPr>
      <w:r>
        <w:rPr>
          <w:w w:val="105"/>
        </w:rPr>
        <w:t>Observada a legalidade dos atos, podem ser utilizados quaisquer instrumentos operacionais que viabilizem a efetiva fiscalização, desde o uso de talonário impresso, advindo do Módulo de Fiscalização do SICCAU Corporativo, associados a </w:t>
      </w:r>
      <w:r>
        <w:rPr>
          <w:i/>
          <w:w w:val="105"/>
        </w:rPr>
        <w:t>tablets</w:t>
      </w:r>
      <w:r>
        <w:rPr>
          <w:w w:val="105"/>
        </w:rPr>
        <w:t>, integrados ao ambiente IGEO, e demais instrumentos tecnológicos previstos, como leitora de rádio frequência, ou de equipamento tipo GPRS (</w:t>
      </w:r>
      <w:r>
        <w:rPr>
          <w:i/>
          <w:w w:val="105"/>
        </w:rPr>
        <w:t>palm </w:t>
      </w:r>
      <w:r>
        <w:rPr>
          <w:w w:val="105"/>
        </w:rPr>
        <w:t>com impressora térmica), e outros de alta tecnologia, como as bases geográficas inteligentes</w:t>
      </w:r>
    </w:p>
    <w:p>
      <w:pPr>
        <w:spacing w:after="0" w:line="379" w:lineRule="auto"/>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1792"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- 15 -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pStyle w:val="BodyText"/>
        <w:spacing w:line="379" w:lineRule="auto" w:before="100"/>
        <w:ind w:left="4394" w:right="275"/>
        <w:jc w:val="both"/>
      </w:pPr>
      <w:r>
        <w:rPr>
          <w:w w:val="105"/>
        </w:rPr>
        <w:t>das cidades brasileiras, imagens aéreas, </w:t>
      </w:r>
      <w:r>
        <w:rPr>
          <w:i/>
          <w:w w:val="105"/>
        </w:rPr>
        <w:t>lasers </w:t>
      </w:r>
      <w:r>
        <w:rPr>
          <w:w w:val="105"/>
        </w:rPr>
        <w:t>e de satélites. No caso de talonário impresso, os dados deverão ser introduzidos manualmente no SICCAU Corporativo, para que, no caso de multas, as receitas sejam objeto de conciliação bancária consistente.</w:t>
      </w:r>
    </w:p>
    <w:p>
      <w:pPr>
        <w:pStyle w:val="BodyText"/>
        <w:spacing w:before="6"/>
        <w:rPr>
          <w:sz w:val="18"/>
        </w:rPr>
      </w:pPr>
    </w:p>
    <w:p>
      <w:pPr>
        <w:pStyle w:val="BodyText"/>
        <w:spacing w:line="379" w:lineRule="auto"/>
        <w:ind w:left="4394" w:right="273"/>
        <w:jc w:val="both"/>
      </w:pPr>
      <w:r>
        <w:rPr>
          <w:w w:val="105"/>
        </w:rPr>
        <w:t>Todas as ações de fiscalização serão controladas pelo Módulo Fiscalização disponível no SICCAU que emitirá relatórios gerenciais sobre as mesmas e demais procedimentos, conforme estabelecidos na Resolução CAU/BR nº 22, de 2012. Este Módulo se integrará ao IGEO, permitindo a associação ao território, para operacionalização de campo, quando pertinente.</w:t>
      </w:r>
    </w:p>
    <w:p>
      <w:pPr>
        <w:pStyle w:val="BodyText"/>
        <w:spacing w:before="1"/>
        <w:rPr>
          <w:sz w:val="18"/>
        </w:rPr>
      </w:pPr>
      <w:r>
        <w:rPr/>
        <w:pict>
          <v:shape style="position:absolute;margin-left:225.360001pt;margin-top:11.614165pt;width:561.15pt;height:16.3500pt;mso-position-horizontal-relative:page;mso-position-vertical-relative:paragraph;z-index:-328;mso-wrap-distance-left:0;mso-wrap-distance-right:0" type="#_x0000_t202" filled="true" fillcolor="#00666d" stroked="false">
            <v:textbox inset="0,0,0,0">
              <w:txbxContent>
                <w:p>
                  <w:pPr>
                    <w:tabs>
                      <w:tab w:pos="945" w:val="left" w:leader="none"/>
                    </w:tabs>
                    <w:spacing w:line="312" w:lineRule="exact" w:before="14"/>
                    <w:ind w:left="27" w:right="0" w:firstLine="0"/>
                    <w:jc w:val="left"/>
                    <w:rPr>
                      <w:rFonts w:ascii="DaxCondensed" w:hAnsi="DaxCondensed"/>
                      <w:sz w:val="28"/>
                    </w:rPr>
                  </w:pPr>
                  <w:r>
                    <w:rPr>
                      <w:rFonts w:ascii="DaxCondensed" w:hAnsi="DaxCondensed"/>
                      <w:color w:val="F2F2F2"/>
                      <w:sz w:val="28"/>
                    </w:rPr>
                    <w:t>4.3.</w:t>
                    <w:tab/>
                    <w:t>Objeto da</w:t>
                  </w:r>
                  <w:r>
                    <w:rPr>
                      <w:rFonts w:ascii="DaxCondensed" w:hAnsi="DaxCondensed"/>
                      <w:color w:val="F2F2F2"/>
                      <w:spacing w:val="-1"/>
                      <w:sz w:val="28"/>
                    </w:rPr>
                    <w:t> </w:t>
                  </w:r>
                  <w:r>
                    <w:rPr>
                      <w:rFonts w:ascii="DaxCondensed" w:hAnsi="DaxCondensed"/>
                      <w:color w:val="F2F2F2"/>
                      <w:sz w:val="28"/>
                    </w:rPr>
                    <w:t>Fiscalização</w:t>
                  </w:r>
                </w:p>
              </w:txbxContent>
            </v:textbox>
            <v:fill type="solid"/>
            <w10:wrap type="topAndBottom"/>
          </v:shape>
        </w:pict>
      </w:r>
      <w:r>
        <w:rPr/>
        <w:pict>
          <v:shape style="position:absolute;margin-left:275.040009pt;margin-top:45.934166pt;width:511.45pt;height:16.3500pt;mso-position-horizontal-relative:page;mso-position-vertical-relative:paragraph;z-index:-304;mso-wrap-distance-left:0;mso-wrap-distance-right:0" type="#_x0000_t202" filled="true" fillcolor="#00666d" stroked="false">
            <v:textbox inset="0,0,0,0">
              <w:txbxContent>
                <w:p>
                  <w:pPr>
                    <w:tabs>
                      <w:tab w:pos="671" w:val="left" w:leader="none"/>
                    </w:tabs>
                    <w:spacing w:before="7"/>
                    <w:ind w:left="26" w:right="0" w:firstLine="0"/>
                    <w:jc w:val="left"/>
                    <w:rPr>
                      <w:rFonts w:ascii="DaxCondensed" w:hAnsi="DaxCondensed"/>
                      <w:sz w:val="28"/>
                    </w:rPr>
                  </w:pPr>
                  <w:r>
                    <w:rPr>
                      <w:rFonts w:ascii="Wingdings" w:hAnsi="Wingdings"/>
                      <w:color w:val="FFFFFF"/>
                      <w:w w:val="90"/>
                      <w:sz w:val="28"/>
                    </w:rPr>
                    <w:t></w:t>
                  </w:r>
                  <w:r>
                    <w:rPr>
                      <w:rFonts w:ascii="Times New Roman" w:hAnsi="Times New Roman"/>
                      <w:color w:val="FFFFFF"/>
                      <w:w w:val="90"/>
                      <w:sz w:val="28"/>
                    </w:rPr>
                    <w:tab/>
                  </w:r>
                  <w:r>
                    <w:rPr>
                      <w:rFonts w:ascii="DaxCondensed" w:hAnsi="DaxCondensed"/>
                      <w:color w:val="FFFFFF"/>
                      <w:sz w:val="28"/>
                    </w:rPr>
                    <w:t>A questão que a priori se coloca é: o quê</w:t>
                  </w:r>
                  <w:r>
                    <w:rPr>
                      <w:rFonts w:ascii="DaxCondensed" w:hAnsi="DaxCondensed"/>
                      <w:color w:val="FFFFFF"/>
                      <w:spacing w:val="-4"/>
                      <w:sz w:val="28"/>
                    </w:rPr>
                    <w:t> </w:t>
                  </w:r>
                  <w:r>
                    <w:rPr>
                      <w:rFonts w:ascii="DaxCondensed" w:hAnsi="DaxCondensed"/>
                      <w:color w:val="FFFFFF"/>
                      <w:sz w:val="28"/>
                    </w:rPr>
                    <w:t>fiscalizar?</w:t>
                  </w:r>
                </w:p>
              </w:txbxContent>
            </v:textbox>
            <v:fill type="solid"/>
            <w10:wrap type="topAndBottom"/>
          </v:shape>
        </w:pict>
      </w:r>
    </w:p>
    <w:p>
      <w:pPr>
        <w:pStyle w:val="BodyText"/>
        <w:spacing w:before="10"/>
        <w:rPr>
          <w:sz w:val="27"/>
        </w:rPr>
      </w:pPr>
    </w:p>
    <w:p>
      <w:pPr>
        <w:pStyle w:val="BodyText"/>
        <w:spacing w:before="2"/>
        <w:rPr>
          <w:sz w:val="11"/>
        </w:rPr>
      </w:pPr>
    </w:p>
    <w:p>
      <w:pPr>
        <w:pStyle w:val="BodyText"/>
        <w:spacing w:line="379" w:lineRule="auto" w:before="100"/>
        <w:ind w:left="4394" w:right="275"/>
        <w:jc w:val="both"/>
      </w:pPr>
      <w:r>
        <w:rPr>
          <w:w w:val="105"/>
        </w:rPr>
        <w:t>Deverão ser fiscalizados todos os serviços e obras compreendidos no âmbito das atividades, atribuições e campos de atuação profissional da Arquitetura e Urbanismo, em conformidade com o que se encontra definido na Resolução CAU/BR nº 21, de 5 abril de</w:t>
      </w:r>
      <w:r>
        <w:rPr>
          <w:spacing w:val="4"/>
          <w:w w:val="105"/>
        </w:rPr>
        <w:t> </w:t>
      </w:r>
      <w:r>
        <w:rPr>
          <w:w w:val="105"/>
        </w:rPr>
        <w:t>2012.</w:t>
      </w:r>
    </w:p>
    <w:p>
      <w:pPr>
        <w:pStyle w:val="BodyText"/>
        <w:rPr>
          <w:sz w:val="16"/>
        </w:rPr>
      </w:pPr>
      <w:r>
        <w:rPr/>
        <w:pict>
          <v:shape style="position:absolute;margin-left:275.040009pt;margin-top:10.445425pt;width:511.45pt;height:16.3500pt;mso-position-horizontal-relative:page;mso-position-vertical-relative:paragraph;z-index:-280;mso-wrap-distance-left:0;mso-wrap-distance-right:0" type="#_x0000_t202" filled="true" fillcolor="#00666d" stroked="false">
            <v:textbox inset="0,0,0,0">
              <w:txbxContent>
                <w:p>
                  <w:pPr>
                    <w:tabs>
                      <w:tab w:pos="671" w:val="left" w:leader="none"/>
                    </w:tabs>
                    <w:spacing w:before="7"/>
                    <w:ind w:left="26" w:right="0" w:firstLine="0"/>
                    <w:jc w:val="left"/>
                    <w:rPr>
                      <w:rFonts w:ascii="DaxCondensed" w:hAnsi="DaxCondensed"/>
                      <w:sz w:val="28"/>
                    </w:rPr>
                  </w:pPr>
                  <w:r>
                    <w:rPr>
                      <w:rFonts w:ascii="Wingdings" w:hAnsi="Wingdings"/>
                      <w:color w:val="FFFFFF"/>
                      <w:w w:val="90"/>
                      <w:sz w:val="28"/>
                    </w:rPr>
                    <w:t></w:t>
                  </w:r>
                  <w:r>
                    <w:rPr>
                      <w:rFonts w:ascii="Times New Roman" w:hAnsi="Times New Roman"/>
                      <w:color w:val="FFFFFF"/>
                      <w:w w:val="90"/>
                      <w:sz w:val="28"/>
                    </w:rPr>
                    <w:tab/>
                  </w:r>
                  <w:r>
                    <w:rPr>
                      <w:rFonts w:ascii="DaxCondensed" w:hAnsi="DaxCondensed"/>
                      <w:color w:val="FFFFFF"/>
                      <w:sz w:val="28"/>
                    </w:rPr>
                    <w:t>Onde devem ser realizadas as ações de</w:t>
                  </w:r>
                  <w:r>
                    <w:rPr>
                      <w:rFonts w:ascii="DaxCondensed" w:hAnsi="DaxCondensed"/>
                      <w:color w:val="FFFFFF"/>
                      <w:spacing w:val="-3"/>
                      <w:sz w:val="28"/>
                    </w:rPr>
                    <w:t> </w:t>
                  </w:r>
                  <w:r>
                    <w:rPr>
                      <w:rFonts w:ascii="DaxCondensed" w:hAnsi="DaxCondensed"/>
                      <w:color w:val="FFFFFF"/>
                      <w:sz w:val="28"/>
                    </w:rPr>
                    <w:t>fiscalização?</w:t>
                  </w:r>
                </w:p>
              </w:txbxContent>
            </v:textbox>
            <v:fill type="solid"/>
            <w10:wrap type="topAndBottom"/>
          </v:shape>
        </w:pict>
      </w:r>
    </w:p>
    <w:p>
      <w:pPr>
        <w:pStyle w:val="BodyText"/>
        <w:spacing w:before="2"/>
        <w:rPr>
          <w:sz w:val="11"/>
        </w:rPr>
      </w:pPr>
    </w:p>
    <w:p>
      <w:pPr>
        <w:pStyle w:val="BodyText"/>
        <w:spacing w:line="374" w:lineRule="auto" w:before="100"/>
        <w:ind w:left="4394" w:right="274"/>
        <w:jc w:val="both"/>
      </w:pPr>
      <w:r>
        <w:rPr>
          <w:w w:val="105"/>
        </w:rPr>
        <w:t>As ações de fiscalização deverão ser empreendidas em todos os locais onde, potencialmente, são realizadas atividades técnicas privativas da Arquitetura e Urbanismo ou compartilhadas com outras profissões regulamentadas, tais como:</w:t>
      </w:r>
    </w:p>
    <w:p>
      <w:pPr>
        <w:pStyle w:val="BodyText"/>
        <w:spacing w:before="9"/>
        <w:rPr>
          <w:sz w:val="18"/>
        </w:rPr>
      </w:pPr>
    </w:p>
    <w:p>
      <w:pPr>
        <w:pStyle w:val="BodyText"/>
        <w:spacing w:line="379" w:lineRule="auto"/>
        <w:ind w:left="4394" w:right="272"/>
        <w:jc w:val="both"/>
      </w:pPr>
      <w:r>
        <w:rPr>
          <w:rFonts w:ascii="Wingdings" w:hAnsi="Wingdings"/>
          <w:w w:val="90"/>
        </w:rPr>
        <w:t></w:t>
      </w:r>
      <w:r>
        <w:rPr>
          <w:rFonts w:ascii="Times New Roman" w:hAnsi="Times New Roman"/>
          <w:w w:val="90"/>
        </w:rPr>
        <w:t> </w:t>
      </w:r>
      <w:r>
        <w:rPr>
          <w:w w:val="105"/>
        </w:rPr>
        <w:t>canteiros de obras, onde se deve verificar se as atividades técnicas ali realizadas encontram-se devidamente registradas e sob a responsabilidade técnica de profissional habilitado, registrado e em situação regular perante o conselho, tendo especial atenção aos projetos e obras de reformas, nos casos de edificações de múltiplas unidades habitacionais, comerciais ou de serviços;</w:t>
      </w:r>
    </w:p>
    <w:p>
      <w:pPr>
        <w:pStyle w:val="BodyText"/>
        <w:spacing w:before="1"/>
        <w:rPr>
          <w:sz w:val="18"/>
        </w:rPr>
      </w:pPr>
    </w:p>
    <w:p>
      <w:pPr>
        <w:pStyle w:val="BodyText"/>
        <w:spacing w:line="379" w:lineRule="auto"/>
        <w:ind w:left="4394" w:right="275"/>
        <w:jc w:val="both"/>
      </w:pPr>
      <w:r>
        <w:rPr>
          <w:rFonts w:ascii="Wingdings" w:hAnsi="Wingdings"/>
          <w:w w:val="90"/>
        </w:rPr>
        <w:t></w:t>
      </w:r>
      <w:r>
        <w:rPr>
          <w:rFonts w:ascii="Times New Roman" w:hAnsi="Times New Roman"/>
          <w:w w:val="90"/>
        </w:rPr>
        <w:t> </w:t>
      </w:r>
      <w:r>
        <w:rPr>
          <w:w w:val="105"/>
        </w:rPr>
        <w:t>escritórios de projetos, onde se deve verificar, caso haja pessoa jurídica constituída, se esta e os profissionais que ali trabalham são habilitados, devidamente registrados e em situação regular perante o CAU/UF;</w:t>
      </w:r>
    </w:p>
    <w:p>
      <w:pPr>
        <w:spacing w:after="0" w:line="379" w:lineRule="auto"/>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1816"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- 16 -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pStyle w:val="BodyText"/>
        <w:spacing w:line="379" w:lineRule="auto" w:before="100"/>
        <w:ind w:left="4394" w:right="275"/>
        <w:jc w:val="both"/>
      </w:pPr>
      <w:r>
        <w:rPr>
          <w:rFonts w:ascii="Wingdings" w:hAnsi="Wingdings"/>
          <w:w w:val="90"/>
        </w:rPr>
        <w:t></w:t>
      </w:r>
      <w:r>
        <w:rPr>
          <w:rFonts w:ascii="Times New Roman" w:hAnsi="Times New Roman"/>
          <w:w w:val="90"/>
        </w:rPr>
        <w:t> </w:t>
      </w:r>
      <w:r>
        <w:rPr>
          <w:w w:val="105"/>
        </w:rPr>
        <w:t>salões de feiras, exposições e outros eventos relacionados aos diversos campos da Arquitetura e Urbanismo, atentando-se especialmente para a verificação dos registros de responsabilidade técnica (RRT) no âmbito da Arquitetura de Interiores referentes às atividades técnicas ali realizadas;</w:t>
      </w:r>
    </w:p>
    <w:p>
      <w:pPr>
        <w:pStyle w:val="BodyText"/>
        <w:spacing w:before="6"/>
        <w:rPr>
          <w:sz w:val="18"/>
        </w:rPr>
      </w:pPr>
    </w:p>
    <w:p>
      <w:pPr>
        <w:pStyle w:val="BodyText"/>
        <w:spacing w:line="379" w:lineRule="auto"/>
        <w:ind w:left="4394" w:right="277"/>
        <w:jc w:val="both"/>
      </w:pPr>
      <w:r>
        <w:rPr>
          <w:rFonts w:ascii="Wingdings" w:hAnsi="Wingdings"/>
          <w:w w:val="90"/>
        </w:rPr>
        <w:t></w:t>
      </w:r>
      <w:r>
        <w:rPr>
          <w:rFonts w:ascii="Times New Roman" w:hAnsi="Times New Roman"/>
          <w:w w:val="90"/>
        </w:rPr>
        <w:t> </w:t>
      </w:r>
      <w:r>
        <w:rPr>
          <w:w w:val="105"/>
        </w:rPr>
        <w:t>sedes de empresas construtoras, onde se deve verificar se a pessoa jurídica e os arquitetos e urbanistas que ali trabalham encontram-se em situação regular perante o CAU/UF, e se efetuaram os devidos RRT de Cargo ou Função;</w:t>
      </w:r>
    </w:p>
    <w:p>
      <w:pPr>
        <w:pStyle w:val="BodyText"/>
        <w:rPr>
          <w:sz w:val="18"/>
        </w:rPr>
      </w:pPr>
    </w:p>
    <w:p>
      <w:pPr>
        <w:pStyle w:val="BodyText"/>
        <w:spacing w:line="379" w:lineRule="auto"/>
        <w:ind w:left="4394" w:right="274"/>
        <w:jc w:val="both"/>
      </w:pPr>
      <w:r>
        <w:rPr>
          <w:rFonts w:ascii="Wingdings" w:hAnsi="Wingdings"/>
          <w:strike/>
          <w:w w:val="90"/>
        </w:rPr>
        <w:t></w:t>
      </w:r>
      <w:r>
        <w:rPr>
          <w:rFonts w:ascii="Times New Roman" w:hAnsi="Times New Roman"/>
          <w:strike w:val="0"/>
          <w:w w:val="90"/>
        </w:rPr>
        <w:t> </w:t>
      </w:r>
      <w:r>
        <w:rPr>
          <w:strike w:val="0"/>
          <w:w w:val="105"/>
        </w:rPr>
        <w:t>sedes de empresas comerciais ou de prestação de serviços, bem como empresas e órgãos públicos e fundacionais que mantenham seção técnica por meio da qual preste ou execute, para si ou para terceiros, obras ou serviços técnicos que se enquadrem nas atividades, atribuições ou campos de atuação profissional da Arquitetura e Urbanismo, onde se deve verificar se tais pessoas jurídicas encontram-se devidamente registradas junto ao CAU/UF e se os profissionais que nelas trabalham estão em situação regular perante o conselho, e se efetuaram os devidos RRT de Cargo ou Função;</w:t>
      </w:r>
    </w:p>
    <w:p>
      <w:pPr>
        <w:pStyle w:val="BodyText"/>
        <w:spacing w:before="1"/>
        <w:rPr>
          <w:sz w:val="18"/>
        </w:rPr>
      </w:pPr>
    </w:p>
    <w:p>
      <w:pPr>
        <w:pStyle w:val="BodyText"/>
        <w:spacing w:line="379" w:lineRule="auto"/>
        <w:ind w:left="4394" w:right="274"/>
        <w:jc w:val="both"/>
      </w:pPr>
      <w:r>
        <w:rPr>
          <w:rFonts w:ascii="Wingdings" w:hAnsi="Wingdings"/>
          <w:w w:val="90"/>
        </w:rPr>
        <w:t></w:t>
      </w:r>
      <w:r>
        <w:rPr>
          <w:rFonts w:ascii="Times New Roman" w:hAnsi="Times New Roman"/>
          <w:w w:val="90"/>
        </w:rPr>
        <w:t> </w:t>
      </w:r>
      <w:r>
        <w:rPr>
          <w:w w:val="105"/>
        </w:rPr>
        <w:t>instituições de ensino, de pesquisa ou de extensão que atuam em campos da Arquitetura e Urbanismo, onde se deve verificar se os professores, pesquisadores e coordenadores de cursos são profissionais habilitados, devidamente registrados e em situação regular perante o CAU/UF, e se efetuaram os devidos RRT de Cargo ou</w:t>
      </w:r>
      <w:r>
        <w:rPr>
          <w:spacing w:val="10"/>
          <w:w w:val="105"/>
        </w:rPr>
        <w:t> </w:t>
      </w:r>
      <w:r>
        <w:rPr>
          <w:w w:val="105"/>
        </w:rPr>
        <w:t>Função;</w:t>
      </w:r>
    </w:p>
    <w:p>
      <w:pPr>
        <w:pStyle w:val="BodyText"/>
        <w:spacing w:before="6"/>
        <w:rPr>
          <w:sz w:val="18"/>
        </w:rPr>
      </w:pPr>
    </w:p>
    <w:p>
      <w:pPr>
        <w:pStyle w:val="BodyText"/>
        <w:ind w:left="4394"/>
      </w:pPr>
      <w:r>
        <w:rPr>
          <w:rFonts w:ascii="Wingdings" w:hAnsi="Wingdings"/>
          <w:w w:val="90"/>
        </w:rPr>
        <w:t></w:t>
      </w:r>
      <w:r>
        <w:rPr>
          <w:rFonts w:ascii="Times New Roman" w:hAnsi="Times New Roman"/>
          <w:w w:val="90"/>
        </w:rPr>
        <w:t> </w:t>
      </w:r>
      <w:r>
        <w:rPr/>
        <w:t>condomínios fechados, onde eventualmente se realizem construções novas ou reformas;</w:t>
      </w:r>
    </w:p>
    <w:p>
      <w:pPr>
        <w:pStyle w:val="BodyText"/>
        <w:rPr>
          <w:sz w:val="29"/>
        </w:rPr>
      </w:pPr>
    </w:p>
    <w:p>
      <w:pPr>
        <w:pStyle w:val="BodyText"/>
        <w:spacing w:line="379" w:lineRule="auto"/>
        <w:ind w:left="4394" w:right="275"/>
        <w:jc w:val="both"/>
      </w:pPr>
      <w:r>
        <w:rPr>
          <w:rFonts w:ascii="Wingdings" w:hAnsi="Wingdings"/>
          <w:w w:val="90"/>
        </w:rPr>
        <w:t></w:t>
      </w:r>
      <w:r>
        <w:rPr>
          <w:rFonts w:ascii="Times New Roman" w:hAnsi="Times New Roman"/>
          <w:w w:val="90"/>
        </w:rPr>
        <w:t> </w:t>
      </w:r>
      <w:r>
        <w:rPr>
          <w:w w:val="105"/>
        </w:rPr>
        <w:t>áreas de expansão das cidades para verificação da existência de loteamentos e outras formas de ocupação não regularizadas perante o CAU;</w:t>
      </w:r>
    </w:p>
    <w:p>
      <w:pPr>
        <w:pStyle w:val="BodyText"/>
        <w:spacing w:before="5"/>
        <w:rPr>
          <w:sz w:val="18"/>
        </w:rPr>
      </w:pPr>
    </w:p>
    <w:p>
      <w:pPr>
        <w:pStyle w:val="BodyText"/>
        <w:ind w:left="4394"/>
      </w:pPr>
      <w:r>
        <w:rPr>
          <w:rFonts w:ascii="Wingdings" w:hAnsi="Wingdings"/>
          <w:w w:val="90"/>
        </w:rPr>
        <w:t></w:t>
      </w:r>
      <w:r>
        <w:rPr>
          <w:rFonts w:ascii="Times New Roman" w:hAnsi="Times New Roman"/>
          <w:w w:val="90"/>
        </w:rPr>
        <w:t> </w:t>
      </w:r>
      <w:r>
        <w:rPr/>
        <w:t>editais de licitação de contratação de obras e serviços de Arquitetura e Urbanismo;</w:t>
      </w:r>
    </w:p>
    <w:p>
      <w:pPr>
        <w:pStyle w:val="BodyText"/>
        <w:rPr>
          <w:sz w:val="29"/>
        </w:rPr>
      </w:pPr>
    </w:p>
    <w:p>
      <w:pPr>
        <w:pStyle w:val="BodyText"/>
        <w:ind w:left="4394"/>
      </w:pPr>
      <w:r>
        <w:rPr>
          <w:rFonts w:ascii="Wingdings" w:hAnsi="Wingdings"/>
          <w:w w:val="90"/>
        </w:rPr>
        <w:t></w:t>
      </w:r>
      <w:r>
        <w:rPr>
          <w:rFonts w:ascii="Times New Roman" w:hAnsi="Times New Roman"/>
          <w:w w:val="90"/>
        </w:rPr>
        <w:t> </w:t>
      </w:r>
      <w:r>
        <w:rPr/>
        <w:t>editais de concurso público de contratação de arquitetos e urbanistas; e</w:t>
      </w:r>
    </w:p>
    <w:p>
      <w:pPr>
        <w:pStyle w:val="BodyText"/>
        <w:spacing w:before="5"/>
        <w:rPr>
          <w:sz w:val="29"/>
        </w:rPr>
      </w:pPr>
    </w:p>
    <w:p>
      <w:pPr>
        <w:pStyle w:val="BodyText"/>
        <w:ind w:left="4394"/>
      </w:pPr>
      <w:r>
        <w:rPr>
          <w:rFonts w:ascii="Wingdings" w:hAnsi="Wingdings"/>
          <w:w w:val="90"/>
        </w:rPr>
        <w:t></w:t>
      </w:r>
      <w:r>
        <w:rPr>
          <w:rFonts w:ascii="Times New Roman" w:hAnsi="Times New Roman"/>
          <w:w w:val="90"/>
        </w:rPr>
        <w:t> </w:t>
      </w:r>
      <w:r>
        <w:rPr/>
        <w:t>peças publicitárias onde se anunciam negócios imobiliários e venda de lotes.</w:t>
      </w:r>
    </w:p>
    <w:p>
      <w:pPr>
        <w:pStyle w:val="BodyText"/>
        <w:spacing w:before="4"/>
        <w:rPr>
          <w:sz w:val="29"/>
        </w:rPr>
      </w:pPr>
    </w:p>
    <w:p>
      <w:pPr>
        <w:pStyle w:val="BodyText"/>
        <w:spacing w:line="379" w:lineRule="auto" w:before="1"/>
        <w:ind w:left="4394" w:right="278"/>
        <w:jc w:val="both"/>
      </w:pPr>
      <w:r>
        <w:rPr>
          <w:w w:val="105"/>
        </w:rPr>
        <w:t>Além dos supracitados espaços de atuação profissional, dois outros itens devem ser especialmente considerados e devidamente tratados pelas estruturas de fiscalização dos CAU/UF:</w:t>
      </w:r>
    </w:p>
    <w:p>
      <w:pPr>
        <w:spacing w:after="0" w:line="379" w:lineRule="auto"/>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1864"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- 17 -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pStyle w:val="BodyText"/>
        <w:spacing w:before="100"/>
        <w:ind w:left="4394"/>
      </w:pPr>
      <w:r>
        <w:rPr>
          <w:rFonts w:ascii="Wingdings" w:hAnsi="Wingdings"/>
          <w:w w:val="90"/>
        </w:rPr>
        <w:t></w:t>
      </w:r>
      <w:r>
        <w:rPr>
          <w:rFonts w:ascii="Times New Roman" w:hAnsi="Times New Roman"/>
          <w:w w:val="90"/>
        </w:rPr>
        <w:t> </w:t>
      </w:r>
      <w:r>
        <w:rPr>
          <w:w w:val="105"/>
        </w:rPr>
        <w:t>os sítios de internet onde se anuncia a venda de serviços, notadamente projetos, de Arquitetura e Urbanismo;</w:t>
      </w:r>
    </w:p>
    <w:p>
      <w:pPr>
        <w:pStyle w:val="BodyText"/>
        <w:spacing w:before="5"/>
        <w:rPr>
          <w:sz w:val="29"/>
        </w:rPr>
      </w:pPr>
    </w:p>
    <w:p>
      <w:pPr>
        <w:pStyle w:val="BodyText"/>
        <w:spacing w:line="379" w:lineRule="auto"/>
        <w:ind w:left="4394"/>
      </w:pPr>
      <w:r>
        <w:rPr>
          <w:rFonts w:ascii="Wingdings" w:hAnsi="Wingdings"/>
          <w:w w:val="90"/>
        </w:rPr>
        <w:t></w:t>
      </w:r>
      <w:r>
        <w:rPr>
          <w:rFonts w:ascii="Times New Roman" w:hAnsi="Times New Roman"/>
          <w:w w:val="90"/>
        </w:rPr>
        <w:t> </w:t>
      </w:r>
      <w:r>
        <w:rPr>
          <w:w w:val="105"/>
        </w:rPr>
        <w:t>o eventual pagamento de comissão, reserva técnica (RT) ou prêmio por parte de empresas comerciais, motivado pela especificação ou compra de materiais, móveis ou equipamentos e a aceitação por arquitetos e urbanistas dessas vantagens.</w:t>
      </w:r>
    </w:p>
    <w:p>
      <w:pPr>
        <w:pStyle w:val="BodyText"/>
        <w:rPr>
          <w:sz w:val="16"/>
        </w:rPr>
      </w:pPr>
      <w:r>
        <w:rPr/>
        <w:pict>
          <v:shape style="position:absolute;margin-left:275.040009pt;margin-top:10.415788pt;width:511.45pt;height:16.1pt;mso-position-horizontal-relative:page;mso-position-vertical-relative:paragraph;z-index:-208;mso-wrap-distance-left:0;mso-wrap-distance-right:0" type="#_x0000_t202" filled="true" fillcolor="#00666d" stroked="false">
            <v:textbox inset="0,0,0,0">
              <w:txbxContent>
                <w:p>
                  <w:pPr>
                    <w:tabs>
                      <w:tab w:pos="671" w:val="left" w:leader="none"/>
                    </w:tabs>
                    <w:spacing w:line="314" w:lineRule="exact" w:before="7"/>
                    <w:ind w:left="26" w:right="0" w:firstLine="0"/>
                    <w:jc w:val="left"/>
                    <w:rPr>
                      <w:rFonts w:ascii="DaxCondensed" w:hAnsi="DaxCondensed"/>
                      <w:sz w:val="28"/>
                    </w:rPr>
                  </w:pPr>
                  <w:r>
                    <w:rPr>
                      <w:rFonts w:ascii="Wingdings" w:hAnsi="Wingdings"/>
                      <w:color w:val="FFFFFF"/>
                      <w:w w:val="90"/>
                      <w:sz w:val="28"/>
                    </w:rPr>
                    <w:t></w:t>
                  </w:r>
                  <w:r>
                    <w:rPr>
                      <w:rFonts w:ascii="Times New Roman" w:hAnsi="Times New Roman"/>
                      <w:color w:val="FFFFFF"/>
                      <w:w w:val="90"/>
                      <w:sz w:val="28"/>
                    </w:rPr>
                    <w:tab/>
                  </w:r>
                  <w:r>
                    <w:rPr>
                      <w:rFonts w:ascii="DaxCondensed" w:hAnsi="DaxCondensed"/>
                      <w:color w:val="FFFFFF"/>
                      <w:sz w:val="28"/>
                    </w:rPr>
                    <w:t>Como se deve realizar a</w:t>
                  </w:r>
                  <w:r>
                    <w:rPr>
                      <w:rFonts w:ascii="DaxCondensed" w:hAnsi="DaxCondensed"/>
                      <w:color w:val="FFFFFF"/>
                      <w:spacing w:val="-2"/>
                      <w:sz w:val="28"/>
                    </w:rPr>
                    <w:t> </w:t>
                  </w:r>
                  <w:r>
                    <w:rPr>
                      <w:rFonts w:ascii="DaxCondensed" w:hAnsi="DaxCondensed"/>
                      <w:color w:val="FFFFFF"/>
                      <w:sz w:val="28"/>
                    </w:rPr>
                    <w:t>fiscalização?</w:t>
                  </w:r>
                </w:p>
              </w:txbxContent>
            </v:textbox>
            <v:fill type="solid"/>
            <w10:wrap type="topAndBottom"/>
          </v:shape>
        </w:pict>
      </w:r>
    </w:p>
    <w:p>
      <w:pPr>
        <w:pStyle w:val="BodyText"/>
        <w:spacing w:before="2"/>
        <w:rPr>
          <w:sz w:val="11"/>
        </w:rPr>
      </w:pPr>
    </w:p>
    <w:p>
      <w:pPr>
        <w:pStyle w:val="BodyText"/>
        <w:spacing w:line="379" w:lineRule="auto" w:before="100"/>
        <w:ind w:left="4394" w:right="274"/>
        <w:jc w:val="both"/>
      </w:pPr>
      <w:r>
        <w:rPr>
          <w:w w:val="105"/>
        </w:rPr>
        <w:t>Inicialmente deve-se verificar se a atividade fiscalizada encontra-se sob a responsabilidade técnica de profissional habilitado e em situação regular perante o conselho e, além disto, se está devidamente registrada no CAU/UF através do competente Registro de Responsabilidade Técnica</w:t>
      </w:r>
      <w:r>
        <w:rPr>
          <w:spacing w:val="4"/>
          <w:w w:val="105"/>
        </w:rPr>
        <w:t> </w:t>
      </w:r>
      <w:r>
        <w:rPr>
          <w:w w:val="105"/>
        </w:rPr>
        <w:t>(RRT).</w:t>
      </w:r>
    </w:p>
    <w:p>
      <w:pPr>
        <w:pStyle w:val="BodyText"/>
        <w:spacing w:before="6"/>
        <w:rPr>
          <w:sz w:val="18"/>
        </w:rPr>
      </w:pPr>
    </w:p>
    <w:p>
      <w:pPr>
        <w:pStyle w:val="BodyText"/>
        <w:spacing w:line="379" w:lineRule="auto"/>
        <w:ind w:left="4394" w:right="275"/>
        <w:jc w:val="both"/>
      </w:pPr>
      <w:r>
        <w:rPr>
          <w:w w:val="105"/>
        </w:rPr>
        <w:t>Cumpre esclarecer que, no caso das atividades técnicas da Arquitetura e Urbanismo que são compartilhadas com outras profissões regulamentadas, deverá ser considerada legal e válida a apresentação de prova de regularidade, seja por meio de RRT do CAU/UF ou de ART do CREA.</w:t>
      </w:r>
    </w:p>
    <w:p>
      <w:pPr>
        <w:pStyle w:val="BodyText"/>
        <w:rPr>
          <w:sz w:val="18"/>
        </w:rPr>
      </w:pPr>
    </w:p>
    <w:p>
      <w:pPr>
        <w:pStyle w:val="BodyText"/>
        <w:spacing w:line="379" w:lineRule="auto"/>
        <w:ind w:left="4394" w:right="275"/>
        <w:jc w:val="both"/>
      </w:pPr>
      <w:r>
        <w:rPr>
          <w:w w:val="105"/>
        </w:rPr>
        <w:t>Quando for o caso de pessoa jurídica que se encontra realizando atividade técnica privativa de Arquitetura e Urbanismo, deve-se também verificar se a mesma possui registro junto ao CAU/UF. Se a atividade fiscalizada for compartilhada entre a Arquitetura e Urbanismo e outras profissões regulamentadas, deve-se verificar se a mesma possui registro junto ao CAU/UF ou ao CREA.</w:t>
      </w:r>
    </w:p>
    <w:p>
      <w:pPr>
        <w:pStyle w:val="BodyText"/>
        <w:spacing w:before="1"/>
        <w:rPr>
          <w:sz w:val="18"/>
        </w:rPr>
      </w:pPr>
    </w:p>
    <w:p>
      <w:pPr>
        <w:pStyle w:val="BodyText"/>
        <w:spacing w:line="379" w:lineRule="auto"/>
        <w:ind w:left="4394" w:right="274"/>
        <w:jc w:val="both"/>
      </w:pPr>
      <w:r>
        <w:rPr>
          <w:w w:val="105"/>
        </w:rPr>
        <w:t>Cabe ao agente de fiscalização do CAU/UF</w:t>
      </w:r>
      <w:r>
        <w:rPr>
          <w:color w:val="FF0000"/>
          <w:w w:val="105"/>
        </w:rPr>
        <w:t>, </w:t>
      </w:r>
      <w:r>
        <w:rPr>
          <w:w w:val="105"/>
        </w:rPr>
        <w:t>após a conclusão de cada ação fiscalizatória por ele realizada, elaborar um Relatório de Fiscalização, que será o documento legalmente válido, quer para atestar a regularidade da atividade técnica fiscalizada, quer para fundamentar a instrução do processo que deverá ser instaurado para proceder à apuração de eventual exercício ilegal ou irregular da profissão.</w:t>
      </w:r>
    </w:p>
    <w:p>
      <w:pPr>
        <w:pStyle w:val="BodyText"/>
        <w:spacing w:before="6"/>
        <w:rPr>
          <w:sz w:val="18"/>
        </w:rPr>
      </w:pPr>
    </w:p>
    <w:p>
      <w:pPr>
        <w:pStyle w:val="BodyText"/>
        <w:spacing w:line="376" w:lineRule="auto"/>
        <w:ind w:left="4394" w:right="275"/>
        <w:jc w:val="both"/>
      </w:pPr>
      <w:r>
        <w:rPr>
          <w:w w:val="105"/>
        </w:rPr>
        <w:t>No desempenho de suas atividades, o agente de fiscalização deverá, inicialmente, verificar se a eventual ocorrência de infração constitui exercício irregular ou ilegal da profissão. Cumpre esclarecer que, no primeiro caso, o exercício irregular da profissão caracteriza-se quando realizado por arquiteto e urbanista (pessoa física ou jurídica) em situação irregular perante o CAU/UF ou, que estando em situação regular, deixou de efetuar o devido RRT referente à atividade técnica fiscalizada. Já o</w:t>
      </w:r>
    </w:p>
    <w:p>
      <w:pPr>
        <w:spacing w:after="0" w:line="376" w:lineRule="auto"/>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1888"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- 18 -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pStyle w:val="BodyText"/>
        <w:spacing w:line="379" w:lineRule="auto" w:before="100"/>
        <w:ind w:left="4394" w:right="275"/>
        <w:jc w:val="both"/>
      </w:pPr>
      <w:r>
        <w:rPr>
          <w:w w:val="105"/>
        </w:rPr>
        <w:t>exercício ilegal, refere-se à realização de atividade técnica de Arquitetura e Urbanismo por pessoa física ou jurídica não habilitada.</w:t>
      </w:r>
    </w:p>
    <w:p>
      <w:pPr>
        <w:pStyle w:val="BodyText"/>
        <w:spacing w:before="5"/>
        <w:rPr>
          <w:sz w:val="18"/>
        </w:rPr>
      </w:pPr>
    </w:p>
    <w:p>
      <w:pPr>
        <w:pStyle w:val="BodyText"/>
        <w:spacing w:line="379" w:lineRule="auto"/>
        <w:ind w:left="4394" w:right="274"/>
        <w:jc w:val="both"/>
      </w:pPr>
      <w:r>
        <w:rPr>
          <w:w w:val="105"/>
        </w:rPr>
        <w:t>Constatado o exercício irregular da profissão, o agente de fiscalização do CAU/UF deverá lavrar notificação identificando a infração cometida e orientando os procedimentos para a regularização da situação. No caso da irregularidade fundar-se apenas na ausência de RRT das atividades elencadas nos Grupos 1 (Projeto), 3 (Gestão), 4 (Meio Ambiente e Planejamento Regional e Urbano), 5 (Atividades Especiais em Arquitetura e Urbanismo), 6 (Ensino e Pesquisa) e 7 (Engenharia de Segurança do Trabalho) do art. 3º da Resolução CAU/BR nº 21, de 2012, a regularização deverá ser feita mediante RRT, para as atividades em andamento, ou RRT Extemporâneo, para as atividades concluídas. No caso de ausência de RRT das atividades técnicas listadas no Grupo 2 (Execução), a regularização deverá ser feita por meio do devido RRT</w:t>
      </w:r>
      <w:r>
        <w:rPr>
          <w:spacing w:val="-31"/>
          <w:w w:val="105"/>
        </w:rPr>
        <w:t> </w:t>
      </w:r>
      <w:r>
        <w:rPr>
          <w:w w:val="105"/>
        </w:rPr>
        <w:t>Extemporâneo.</w:t>
      </w:r>
    </w:p>
    <w:p>
      <w:pPr>
        <w:pStyle w:val="BodyText"/>
        <w:spacing w:before="2"/>
        <w:rPr>
          <w:sz w:val="18"/>
        </w:rPr>
      </w:pPr>
    </w:p>
    <w:p>
      <w:pPr>
        <w:pStyle w:val="BodyText"/>
        <w:spacing w:line="379" w:lineRule="auto" w:before="1"/>
        <w:ind w:left="4394" w:right="276"/>
        <w:jc w:val="both"/>
      </w:pPr>
      <w:r>
        <w:rPr>
          <w:w w:val="105"/>
        </w:rPr>
        <w:t>Nos casos em que, além da ausência de RRT da atividade técnica fiscalizada, verifica-se situação de irregularidade do arquiteto e urbanista perante o CAU/UF, a regularização dependerá de duas medidas: inicialmente o arquiteto e urbanista deverá regularizar a situação de seu registro profissional perante o CAU/UF (inadimplência em relação a anuidades e multas aplicadas ou interrupção de registro); em seguida deverá proceder ao RRT da atividade técnica fiscalizada, nos termos expostos no parágrafo acima.</w:t>
      </w:r>
    </w:p>
    <w:p>
      <w:pPr>
        <w:pStyle w:val="BodyText"/>
        <w:spacing w:before="1"/>
        <w:rPr>
          <w:sz w:val="18"/>
        </w:rPr>
      </w:pPr>
    </w:p>
    <w:p>
      <w:pPr>
        <w:pStyle w:val="BodyText"/>
        <w:spacing w:line="379" w:lineRule="auto"/>
        <w:ind w:left="4394" w:right="274"/>
        <w:jc w:val="both"/>
      </w:pPr>
      <w:r>
        <w:rPr>
          <w:w w:val="105"/>
        </w:rPr>
        <w:t>Já para as situações em que se verifique o exercício ilegal da profissão referente à realização de quaisquer das atividades técnicas capituladas nos Grupos 1, 3, 4, 5, 6 e 7 do art. 3º da Resolução CAU/BR nº 21, de 2012, não será possível regularizar a situação, uma vez que estas são consideradas atividades técnicas de criação ou elaboração intelectual ou atividades de gestão, que nestes casos, foram realizadas por pessoa inabilitada. Caberá, todavia, aplicação de multa ao proprietário ou responsável pelo empreendimento, desde que observados os princípios legais de direito ao contraditório e à ampla defesa.</w:t>
      </w:r>
    </w:p>
    <w:p>
      <w:pPr>
        <w:pStyle w:val="BodyText"/>
        <w:spacing w:before="2"/>
        <w:rPr>
          <w:sz w:val="18"/>
        </w:rPr>
      </w:pPr>
    </w:p>
    <w:p>
      <w:pPr>
        <w:pStyle w:val="BodyText"/>
        <w:spacing w:line="379" w:lineRule="auto"/>
        <w:ind w:left="4394" w:right="274"/>
        <w:jc w:val="both"/>
      </w:pPr>
      <w:r>
        <w:rPr>
          <w:w w:val="105"/>
        </w:rPr>
        <w:t>No caso de exercício ilegal da profissão referente à realização de quaisquer das atividades técnicas capituladas no Grupo 2 (Execução) do art. 3º da Resolução CAU/BR nº 21, de 2012, que são atividades de materialização, a situação poderá ser regularizada da seguinte forma:</w:t>
      </w:r>
    </w:p>
    <w:p>
      <w:pPr>
        <w:spacing w:after="0" w:line="379" w:lineRule="auto"/>
        <w:jc w:val="both"/>
        <w:sectPr>
          <w:pgSz w:w="16840" w:h="11900" w:orient="landscape"/>
          <w:pgMar w:top="240" w:bottom="0" w:left="140" w:right="860"/>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9"/>
        <w:gridCol w:w="81"/>
        <w:gridCol w:w="1622"/>
        <w:gridCol w:w="12393"/>
      </w:tblGrid>
      <w:tr>
        <w:trPr>
          <w:trHeight w:val="4804" w:hRule="atLeast"/>
        </w:trPr>
        <w:tc>
          <w:tcPr>
            <w:tcW w:w="3162" w:type="dxa"/>
            <w:gridSpan w:val="3"/>
            <w:tcBorders>
              <w:bottom w:val="single" w:sz="4" w:space="0" w:color="A6A6A6"/>
            </w:tcBorders>
            <w:shd w:val="clear" w:color="auto" w:fill="00666D"/>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4"/>
              <w:rPr>
                <w:sz w:val="27"/>
              </w:rPr>
            </w:pPr>
          </w:p>
          <w:p>
            <w:pPr>
              <w:pStyle w:val="TableParagraph"/>
              <w:ind w:left="183"/>
              <w:rPr>
                <w:sz w:val="18"/>
              </w:rPr>
            </w:pPr>
            <w:r>
              <w:rPr>
                <w:color w:val="FFFFFF"/>
                <w:w w:val="105"/>
                <w:sz w:val="24"/>
              </w:rPr>
              <w:t>T</w:t>
            </w:r>
            <w:r>
              <w:rPr>
                <w:color w:val="FFFFFF"/>
                <w:w w:val="105"/>
                <w:sz w:val="18"/>
              </w:rPr>
              <w:t>ABELAS DE </w:t>
            </w:r>
            <w:r>
              <w:rPr>
                <w:color w:val="FFFFFF"/>
                <w:w w:val="105"/>
                <w:sz w:val="24"/>
              </w:rPr>
              <w:t>A</w:t>
            </w:r>
            <w:r>
              <w:rPr>
                <w:color w:val="FFFFFF"/>
                <w:w w:val="105"/>
                <w:sz w:val="18"/>
              </w:rPr>
              <w:t>BRANGÊNCIA</w:t>
            </w:r>
          </w:p>
        </w:tc>
        <w:tc>
          <w:tcPr>
            <w:tcW w:w="12393" w:type="dxa"/>
            <w:tcBorders>
              <w:bottom w:val="single" w:sz="4" w:space="0" w:color="A6A6A6"/>
            </w:tcBorders>
          </w:tcPr>
          <w:p>
            <w:pPr>
              <w:pStyle w:val="TableParagraph"/>
              <w:rPr>
                <w:sz w:val="26"/>
              </w:rPr>
            </w:pPr>
          </w:p>
          <w:p>
            <w:pPr>
              <w:pStyle w:val="TableParagraph"/>
              <w:spacing w:before="183"/>
              <w:ind w:left="3853"/>
              <w:rPr>
                <w:rFonts w:ascii="DaxCondensed" w:hAnsi="DaxCondensed"/>
                <w:sz w:val="24"/>
              </w:rPr>
            </w:pPr>
            <w:r>
              <w:rPr>
                <w:rFonts w:ascii="DaxCondensed" w:hAnsi="DaxCondensed"/>
                <w:color w:val="00666D"/>
                <w:sz w:val="24"/>
              </w:rPr>
              <w:t>- Manual de Fiscalização do Exercício da Arquitetura e Urbanismo -</w:t>
            </w:r>
          </w:p>
          <w:p>
            <w:pPr>
              <w:pStyle w:val="TableParagraph"/>
              <w:spacing w:before="4"/>
              <w:rPr>
                <w:sz w:val="37"/>
              </w:rPr>
            </w:pPr>
          </w:p>
          <w:p>
            <w:pPr>
              <w:pStyle w:val="TableParagraph"/>
              <w:numPr>
                <w:ilvl w:val="0"/>
                <w:numId w:val="3"/>
              </w:numPr>
              <w:tabs>
                <w:tab w:pos="1387" w:val="left" w:leader="none"/>
              </w:tabs>
              <w:spacing w:line="379" w:lineRule="auto" w:before="0" w:after="0"/>
              <w:ind w:left="1132" w:right="97" w:firstLine="0"/>
              <w:jc w:val="left"/>
              <w:rPr>
                <w:sz w:val="19"/>
              </w:rPr>
            </w:pPr>
            <w:r>
              <w:rPr>
                <w:w w:val="105"/>
                <w:sz w:val="19"/>
              </w:rPr>
              <w:t>Para atividade técnica em andamento, a regularização dependerá de RRT de levantamento arquitetônico, RRT de vistoria e laudo referentes às etapas concluídas e, além disso, de RRT de execução referente às etapas a serem</w:t>
            </w:r>
            <w:r>
              <w:rPr>
                <w:spacing w:val="-10"/>
                <w:w w:val="105"/>
                <w:sz w:val="19"/>
              </w:rPr>
              <w:t> </w:t>
            </w:r>
            <w:r>
              <w:rPr>
                <w:w w:val="105"/>
                <w:sz w:val="19"/>
              </w:rPr>
              <w:t>realizadas;</w:t>
            </w:r>
          </w:p>
          <w:p>
            <w:pPr>
              <w:pStyle w:val="TableParagraph"/>
              <w:spacing w:before="5"/>
              <w:rPr>
                <w:sz w:val="18"/>
              </w:rPr>
            </w:pPr>
          </w:p>
          <w:p>
            <w:pPr>
              <w:pStyle w:val="TableParagraph"/>
              <w:numPr>
                <w:ilvl w:val="0"/>
                <w:numId w:val="3"/>
              </w:numPr>
              <w:tabs>
                <w:tab w:pos="1387" w:val="left" w:leader="none"/>
              </w:tabs>
              <w:spacing w:line="379" w:lineRule="auto" w:before="0" w:after="0"/>
              <w:ind w:left="1132" w:right="92" w:firstLine="0"/>
              <w:jc w:val="left"/>
              <w:rPr>
                <w:sz w:val="19"/>
              </w:rPr>
            </w:pPr>
            <w:r>
              <w:rPr>
                <w:w w:val="105"/>
                <w:sz w:val="19"/>
              </w:rPr>
              <w:t>No caso de atividade técnica concluída, a situação deverá ser regularizada mediante RRT de levantamento arquitetônico e RRT de vistoria e</w:t>
            </w:r>
            <w:r>
              <w:rPr>
                <w:spacing w:val="5"/>
                <w:w w:val="105"/>
                <w:sz w:val="19"/>
              </w:rPr>
              <w:t> </w:t>
            </w:r>
            <w:r>
              <w:rPr>
                <w:w w:val="105"/>
                <w:sz w:val="19"/>
              </w:rPr>
              <w:t>laudo.</w:t>
            </w:r>
          </w:p>
          <w:p>
            <w:pPr>
              <w:pStyle w:val="TableParagraph"/>
              <w:rPr>
                <w:sz w:val="18"/>
              </w:rPr>
            </w:pPr>
          </w:p>
          <w:p>
            <w:pPr>
              <w:pStyle w:val="TableParagraph"/>
              <w:spacing w:line="379" w:lineRule="auto"/>
              <w:ind w:left="1132"/>
              <w:rPr>
                <w:sz w:val="19"/>
              </w:rPr>
            </w:pPr>
            <w:r>
              <w:rPr>
                <w:w w:val="105"/>
                <w:sz w:val="19"/>
              </w:rPr>
              <w:t>Para fins de operacionalização da ação fiscalizatória, os quadros que se seguem sintetizam os objetos e os procedimentos a serem adotados pelos agentes de fiscalização dos CAU/UF:</w:t>
            </w:r>
          </w:p>
        </w:tc>
      </w:tr>
      <w:tr>
        <w:trPr>
          <w:trHeight w:val="119" w:hRule="atLeast"/>
        </w:trPr>
        <w:tc>
          <w:tcPr>
            <w:tcW w:w="1459" w:type="dxa"/>
            <w:vMerge w:val="restart"/>
            <w:shd w:val="clear" w:color="auto" w:fill="00666D"/>
          </w:tcPr>
          <w:p>
            <w:pPr>
              <w:pStyle w:val="TableParagraph"/>
              <w:rPr>
                <w:rFonts w:ascii="Times New Roman"/>
                <w:sz w:val="18"/>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Borders>
              <w:top w:val="single" w:sz="4" w:space="0" w:color="A6A6A6"/>
            </w:tcBorders>
          </w:tcPr>
          <w:p>
            <w:pPr>
              <w:pStyle w:val="TableParagraph"/>
              <w:rPr>
                <w:rFonts w:ascii="Times New Roman"/>
                <w:sz w:val="6"/>
              </w:rPr>
            </w:pPr>
          </w:p>
        </w:tc>
      </w:tr>
      <w:tr>
        <w:trPr>
          <w:trHeight w:val="230"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tabs>
                <w:tab w:pos="567" w:val="left" w:leader="none"/>
              </w:tabs>
              <w:spacing w:line="206" w:lineRule="exact" w:before="4"/>
              <w:ind w:left="142"/>
              <w:rPr>
                <w:sz w:val="16"/>
              </w:rPr>
            </w:pPr>
            <w:r>
              <w:rPr>
                <w:color w:val="FFFFFF"/>
                <w:sz w:val="19"/>
              </w:rPr>
              <w:t>1.</w:t>
              <w:tab/>
              <w:t>A</w:t>
            </w:r>
            <w:r>
              <w:rPr>
                <w:color w:val="FFFFFF"/>
                <w:sz w:val="16"/>
              </w:rPr>
              <w:t>RQUITETURA DAS</w:t>
            </w:r>
            <w:r>
              <w:rPr>
                <w:color w:val="FFFFFF"/>
                <w:spacing w:val="1"/>
                <w:sz w:val="16"/>
              </w:rPr>
              <w:t> </w:t>
            </w:r>
            <w:r>
              <w:rPr>
                <w:color w:val="FFFFFF"/>
                <w:sz w:val="19"/>
              </w:rPr>
              <w:t>E</w:t>
            </w:r>
            <w:r>
              <w:rPr>
                <w:color w:val="FFFFFF"/>
                <w:sz w:val="16"/>
              </w:rPr>
              <w:t>DIFICAÇÕES</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358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61"/>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line="252" w:lineRule="auto" w:before="66"/>
              <w:ind w:left="174" w:right="23"/>
              <w:jc w:val="both"/>
              <w:rPr>
                <w:sz w:val="19"/>
              </w:rPr>
            </w:pPr>
            <w:r>
              <w:rPr>
                <w:w w:val="105"/>
                <w:sz w:val="19"/>
              </w:rPr>
              <w:t>Edificações residenciais, comerciais, de serviços (unitárias ou múltiplas), institucionais e/ou industriais, onde se realizam atividades de projeto ou execução de obra, reforma, edifício efêmero ou instalações efêmeras, monumento, adequação de acessibilidade e </w:t>
            </w:r>
            <w:r>
              <w:rPr>
                <w:i/>
                <w:w w:val="105"/>
                <w:sz w:val="19"/>
              </w:rPr>
              <w:t>as built</w:t>
            </w:r>
            <w:r>
              <w:rPr>
                <w:w w:val="105"/>
                <w:sz w:val="19"/>
              </w:rPr>
              <w:t>,</w:t>
            </w:r>
            <w:r>
              <w:rPr>
                <w:spacing w:val="55"/>
                <w:w w:val="105"/>
                <w:sz w:val="19"/>
              </w:rPr>
              <w:t> </w:t>
            </w:r>
            <w:r>
              <w:rPr>
                <w:w w:val="105"/>
                <w:sz w:val="19"/>
              </w:rPr>
              <w:t>tais</w:t>
            </w:r>
            <w:r>
              <w:rPr>
                <w:spacing w:val="1"/>
                <w:w w:val="105"/>
                <w:sz w:val="19"/>
              </w:rPr>
              <w:t> </w:t>
            </w:r>
            <w:r>
              <w:rPr>
                <w:w w:val="105"/>
                <w:sz w:val="19"/>
              </w:rPr>
              <w:t>como:</w:t>
            </w:r>
          </w:p>
          <w:p>
            <w:pPr>
              <w:pStyle w:val="TableParagraph"/>
              <w:spacing w:before="61"/>
              <w:ind w:left="174"/>
              <w:rPr>
                <w:sz w:val="19"/>
              </w:rPr>
            </w:pPr>
            <w:r>
              <w:rPr>
                <w:rFonts w:ascii="Wingdings" w:hAnsi="Wingdings"/>
                <w:w w:val="90"/>
                <w:sz w:val="19"/>
              </w:rPr>
              <w:t></w:t>
            </w:r>
            <w:r>
              <w:rPr>
                <w:rFonts w:ascii="Times New Roman" w:hAnsi="Times New Roman"/>
                <w:w w:val="90"/>
                <w:sz w:val="19"/>
              </w:rPr>
              <w:t> </w:t>
            </w:r>
            <w:r>
              <w:rPr>
                <w:sz w:val="19"/>
              </w:rPr>
              <w:t>edifícios unifamiliares ou multifamiliares e condomínios horizontais;</w:t>
            </w:r>
          </w:p>
          <w:p>
            <w:pPr>
              <w:pStyle w:val="TableParagraph"/>
              <w:spacing w:line="249" w:lineRule="auto" w:before="74"/>
              <w:ind w:left="393" w:right="25" w:hanging="219"/>
              <w:jc w:val="both"/>
              <w:rPr>
                <w:sz w:val="19"/>
              </w:rPr>
            </w:pPr>
            <w:r>
              <w:rPr>
                <w:rFonts w:ascii="Wingdings" w:hAnsi="Wingdings"/>
                <w:w w:val="90"/>
                <w:sz w:val="19"/>
              </w:rPr>
              <w:t></w:t>
            </w:r>
            <w:r>
              <w:rPr>
                <w:rFonts w:ascii="Times New Roman" w:hAnsi="Times New Roman"/>
                <w:w w:val="90"/>
                <w:sz w:val="19"/>
              </w:rPr>
              <w:t> </w:t>
            </w:r>
            <w:r>
              <w:rPr>
                <w:w w:val="105"/>
                <w:sz w:val="19"/>
              </w:rPr>
              <w:t>bancos, edifícios de escritórios, hotéis, albergues, pousadas, camping e motéis, </w:t>
            </w:r>
            <w:r>
              <w:rPr>
                <w:i/>
                <w:w w:val="105"/>
                <w:sz w:val="19"/>
              </w:rPr>
              <w:t>shopping centers, </w:t>
            </w:r>
            <w:r>
              <w:rPr>
                <w:w w:val="105"/>
                <w:sz w:val="19"/>
              </w:rPr>
              <w:t>magazines, mercados, supermercados, cinemas, empresas de rádio e de televisão, estúdios e estações de gravação, pavilhões de exposições e feiras, edifícios garagem, praças de pedágio, postos de serviços e abastecimento;</w:t>
            </w:r>
          </w:p>
          <w:p>
            <w:pPr>
              <w:pStyle w:val="TableParagraph"/>
              <w:spacing w:line="252" w:lineRule="auto" w:before="67"/>
              <w:ind w:left="393" w:right="23" w:hanging="219"/>
              <w:jc w:val="both"/>
              <w:rPr>
                <w:sz w:val="19"/>
              </w:rPr>
            </w:pPr>
            <w:r>
              <w:rPr>
                <w:rFonts w:ascii="Wingdings" w:hAnsi="Wingdings"/>
                <w:w w:val="90"/>
                <w:sz w:val="19"/>
              </w:rPr>
              <w:t></w:t>
            </w:r>
            <w:r>
              <w:rPr>
                <w:rFonts w:ascii="Times New Roman" w:hAnsi="Times New Roman"/>
                <w:w w:val="90"/>
                <w:sz w:val="19"/>
              </w:rPr>
              <w:t> </w:t>
            </w:r>
            <w:r>
              <w:rPr>
                <w:w w:val="105"/>
                <w:sz w:val="19"/>
              </w:rPr>
              <w:t>estádios, ginásios esportivos, instalações esportivas: quadras, pistas, vestiários, piscinas etc.; hospitais, clínicas e suas instalações (gás oxigênio, caldeiras), centros administrativos, teatros e conchas acústicas; arquivos, bibliotecas, museus; terminais de passageiros: rodoviário, aeroviário, fluvial, ferroviário, metroviário; edifícios e instalações educacionais: grupos escolares, escolas, faculdades, institutos e universidades; planetários orfanatos, internatos, conventos, mosteiros, igrejas e templos religiosos, capelas mortuárias e cemitérios, edifícios e instalações prisionais: presídios, penitenciárias e delegacias, instituições e órgãos públicos; agências de correios e de telecomunicações centros de</w:t>
            </w:r>
            <w:r>
              <w:rPr>
                <w:spacing w:val="8"/>
                <w:w w:val="105"/>
                <w:sz w:val="19"/>
              </w:rPr>
              <w:t> </w:t>
            </w:r>
            <w:r>
              <w:rPr>
                <w:w w:val="105"/>
                <w:sz w:val="19"/>
              </w:rPr>
              <w:t>convenções;</w:t>
            </w:r>
          </w:p>
          <w:p>
            <w:pPr>
              <w:pStyle w:val="TableParagraph"/>
              <w:spacing w:before="64"/>
              <w:ind w:left="174"/>
              <w:jc w:val="both"/>
              <w:rPr>
                <w:sz w:val="19"/>
              </w:rPr>
            </w:pPr>
            <w:r>
              <w:rPr>
                <w:rFonts w:ascii="Wingdings" w:hAnsi="Wingdings"/>
                <w:w w:val="90"/>
                <w:sz w:val="19"/>
              </w:rPr>
              <w:t></w:t>
            </w:r>
            <w:r>
              <w:rPr>
                <w:rFonts w:ascii="Times New Roman" w:hAnsi="Times New Roman"/>
                <w:w w:val="90"/>
                <w:sz w:val="19"/>
              </w:rPr>
              <w:t> </w:t>
            </w:r>
            <w:r>
              <w:rPr>
                <w:sz w:val="19"/>
              </w:rPr>
              <w:t>edifícios e instalações industriais.</w:t>
            </w:r>
          </w:p>
        </w:tc>
      </w:tr>
      <w:tr>
        <w:trPr>
          <w:trHeight w:val="34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61"/>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before="61"/>
              <w:ind w:left="174"/>
              <w:rPr>
                <w:sz w:val="19"/>
              </w:rPr>
            </w:pPr>
            <w:r>
              <w:rPr>
                <w:w w:val="105"/>
                <w:sz w:val="19"/>
              </w:rPr>
              <w:t>Verificar a existência de responsável técnico pela atividade realizada por meio do(s) RRT pertinente(s)*.</w:t>
            </w:r>
          </w:p>
        </w:tc>
      </w:tr>
      <w:tr>
        <w:trPr>
          <w:trHeight w:val="1103"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3"/>
              <w:rPr>
                <w:sz w:val="28"/>
              </w:rPr>
            </w:pPr>
          </w:p>
          <w:p>
            <w:pPr>
              <w:pStyle w:val="TableParagraph"/>
              <w:spacing w:line="252" w:lineRule="auto"/>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before="61"/>
              <w:ind w:left="174"/>
              <w:rPr>
                <w:sz w:val="19"/>
              </w:rPr>
            </w:pPr>
            <w:r>
              <w:rPr>
                <w:w w:val="105"/>
                <w:sz w:val="19"/>
              </w:rPr>
              <w:t>Após elaboração do Relatório Digital de Fiscalização, e caso constatada situação de irregularidade, lavrar Notificação por:</w:t>
            </w:r>
          </w:p>
          <w:p>
            <w:pPr>
              <w:pStyle w:val="TableParagraph"/>
              <w:numPr>
                <w:ilvl w:val="0"/>
                <w:numId w:val="4"/>
              </w:numPr>
              <w:tabs>
                <w:tab w:pos="894" w:val="left" w:leader="none"/>
              </w:tabs>
              <w:spacing w:line="252" w:lineRule="auto" w:before="75" w:after="0"/>
              <w:ind w:left="894" w:right="24" w:hanging="360"/>
              <w:jc w:val="left"/>
              <w:rPr>
                <w:sz w:val="19"/>
              </w:rPr>
            </w:pPr>
            <w:r>
              <w:rPr>
                <w:w w:val="105"/>
                <w:sz w:val="19"/>
              </w:rPr>
              <w:t>ausência de RRT, concedendo prazo de 10 (dez) dias ao arquiteto e urbanista para o efetivo registro do RRT ou abertura de processo de RRT Extemporâneo (Resolução CAU/BR nº 31, de 2012), no caso de obras em andamento;</w:t>
            </w:r>
            <w:r>
              <w:rPr>
                <w:spacing w:val="5"/>
                <w:w w:val="105"/>
                <w:sz w:val="19"/>
              </w:rPr>
              <w:t> </w:t>
            </w:r>
            <w:r>
              <w:rPr>
                <w:w w:val="105"/>
                <w:sz w:val="19"/>
              </w:rPr>
              <w:t>ou</w:t>
            </w:r>
          </w:p>
          <w:p>
            <w:pPr>
              <w:pStyle w:val="TableParagraph"/>
              <w:numPr>
                <w:ilvl w:val="0"/>
                <w:numId w:val="4"/>
              </w:numPr>
              <w:tabs>
                <w:tab w:pos="894" w:val="left" w:leader="none"/>
              </w:tabs>
              <w:spacing w:line="206" w:lineRule="exact" w:before="64" w:after="0"/>
              <w:ind w:left="894" w:right="0" w:hanging="360"/>
              <w:jc w:val="left"/>
              <w:rPr>
                <w:sz w:val="19"/>
              </w:rPr>
            </w:pPr>
            <w:r>
              <w:rPr>
                <w:w w:val="105"/>
                <w:sz w:val="19"/>
              </w:rPr>
              <w:t>exercício</w:t>
            </w:r>
            <w:r>
              <w:rPr>
                <w:spacing w:val="42"/>
                <w:w w:val="105"/>
                <w:sz w:val="19"/>
              </w:rPr>
              <w:t> </w:t>
            </w:r>
            <w:r>
              <w:rPr>
                <w:w w:val="105"/>
                <w:sz w:val="19"/>
              </w:rPr>
              <w:t>ilegal</w:t>
            </w:r>
            <w:r>
              <w:rPr>
                <w:spacing w:val="41"/>
                <w:w w:val="105"/>
                <w:sz w:val="19"/>
              </w:rPr>
              <w:t> </w:t>
            </w:r>
            <w:r>
              <w:rPr>
                <w:w w:val="105"/>
                <w:sz w:val="19"/>
              </w:rPr>
              <w:t>da</w:t>
            </w:r>
            <w:r>
              <w:rPr>
                <w:spacing w:val="42"/>
                <w:w w:val="105"/>
                <w:sz w:val="19"/>
              </w:rPr>
              <w:t> </w:t>
            </w:r>
            <w:r>
              <w:rPr>
                <w:w w:val="105"/>
                <w:sz w:val="19"/>
              </w:rPr>
              <w:t>profissão,</w:t>
            </w:r>
            <w:r>
              <w:rPr>
                <w:spacing w:val="41"/>
                <w:w w:val="105"/>
                <w:sz w:val="19"/>
              </w:rPr>
              <w:t> </w:t>
            </w:r>
            <w:r>
              <w:rPr>
                <w:w w:val="105"/>
                <w:sz w:val="19"/>
              </w:rPr>
              <w:t>concedendo</w:t>
            </w:r>
            <w:r>
              <w:rPr>
                <w:spacing w:val="42"/>
                <w:w w:val="105"/>
                <w:sz w:val="19"/>
              </w:rPr>
              <w:t> </w:t>
            </w:r>
            <w:r>
              <w:rPr>
                <w:w w:val="105"/>
                <w:sz w:val="19"/>
              </w:rPr>
              <w:t>prazo</w:t>
            </w:r>
            <w:r>
              <w:rPr>
                <w:spacing w:val="42"/>
                <w:w w:val="105"/>
                <w:sz w:val="19"/>
              </w:rPr>
              <w:t> </w:t>
            </w:r>
            <w:r>
              <w:rPr>
                <w:w w:val="105"/>
                <w:sz w:val="19"/>
              </w:rPr>
              <w:t>de</w:t>
            </w:r>
            <w:r>
              <w:rPr>
                <w:spacing w:val="42"/>
                <w:w w:val="105"/>
                <w:sz w:val="19"/>
              </w:rPr>
              <w:t> </w:t>
            </w:r>
            <w:r>
              <w:rPr>
                <w:w w:val="105"/>
                <w:sz w:val="19"/>
              </w:rPr>
              <w:t>10</w:t>
            </w:r>
            <w:r>
              <w:rPr>
                <w:spacing w:val="42"/>
                <w:w w:val="105"/>
                <w:sz w:val="19"/>
              </w:rPr>
              <w:t> </w:t>
            </w:r>
            <w:r>
              <w:rPr>
                <w:w w:val="105"/>
                <w:sz w:val="19"/>
              </w:rPr>
              <w:t>(dez)</w:t>
            </w:r>
            <w:r>
              <w:rPr>
                <w:spacing w:val="41"/>
                <w:w w:val="105"/>
                <w:sz w:val="19"/>
              </w:rPr>
              <w:t> </w:t>
            </w:r>
            <w:r>
              <w:rPr>
                <w:w w:val="105"/>
                <w:sz w:val="19"/>
              </w:rPr>
              <w:t>dias</w:t>
            </w:r>
            <w:r>
              <w:rPr>
                <w:spacing w:val="41"/>
                <w:w w:val="105"/>
                <w:sz w:val="19"/>
              </w:rPr>
              <w:t> </w:t>
            </w:r>
            <w:r>
              <w:rPr>
                <w:w w:val="105"/>
                <w:sz w:val="19"/>
              </w:rPr>
              <w:t>ao</w:t>
            </w:r>
            <w:r>
              <w:rPr>
                <w:spacing w:val="42"/>
                <w:w w:val="105"/>
                <w:sz w:val="19"/>
              </w:rPr>
              <w:t> </w:t>
            </w:r>
            <w:r>
              <w:rPr>
                <w:w w:val="105"/>
                <w:sz w:val="19"/>
              </w:rPr>
              <w:t>proprietário</w:t>
            </w:r>
            <w:r>
              <w:rPr>
                <w:spacing w:val="42"/>
                <w:w w:val="105"/>
                <w:sz w:val="19"/>
              </w:rPr>
              <w:t> </w:t>
            </w:r>
            <w:r>
              <w:rPr>
                <w:w w:val="105"/>
                <w:sz w:val="19"/>
              </w:rPr>
              <w:t>ou</w:t>
            </w:r>
            <w:r>
              <w:rPr>
                <w:spacing w:val="42"/>
                <w:w w:val="105"/>
                <w:sz w:val="19"/>
              </w:rPr>
              <w:t> </w:t>
            </w:r>
            <w:r>
              <w:rPr>
                <w:w w:val="105"/>
                <w:sz w:val="19"/>
              </w:rPr>
              <w:t>responsável</w:t>
            </w:r>
            <w:r>
              <w:rPr>
                <w:spacing w:val="41"/>
                <w:w w:val="105"/>
                <w:sz w:val="19"/>
              </w:rPr>
              <w:t> </w:t>
            </w:r>
            <w:r>
              <w:rPr>
                <w:w w:val="105"/>
                <w:sz w:val="19"/>
              </w:rPr>
              <w:t>para,</w:t>
            </w:r>
            <w:r>
              <w:rPr>
                <w:spacing w:val="41"/>
                <w:w w:val="105"/>
                <w:sz w:val="19"/>
              </w:rPr>
              <w:t> </w:t>
            </w:r>
            <w:r>
              <w:rPr>
                <w:w w:val="105"/>
                <w:sz w:val="19"/>
              </w:rPr>
              <w:t>quando</w:t>
            </w:r>
            <w:r>
              <w:rPr>
                <w:spacing w:val="42"/>
                <w:w w:val="105"/>
                <w:sz w:val="19"/>
              </w:rPr>
              <w:t> </w:t>
            </w:r>
            <w:r>
              <w:rPr>
                <w:w w:val="105"/>
                <w:sz w:val="19"/>
              </w:rPr>
              <w:t>for</w:t>
            </w:r>
            <w:r>
              <w:rPr>
                <w:spacing w:val="41"/>
                <w:w w:val="105"/>
                <w:sz w:val="19"/>
              </w:rPr>
              <w:t> </w:t>
            </w:r>
            <w:r>
              <w:rPr>
                <w:w w:val="105"/>
                <w:sz w:val="19"/>
              </w:rPr>
              <w:t>o</w:t>
            </w:r>
            <w:r>
              <w:rPr>
                <w:spacing w:val="42"/>
                <w:w w:val="105"/>
                <w:sz w:val="19"/>
              </w:rPr>
              <w:t> </w:t>
            </w:r>
            <w:r>
              <w:rPr>
                <w:w w:val="105"/>
                <w:sz w:val="19"/>
              </w:rPr>
              <w:t>caso,</w:t>
            </w:r>
          </w:p>
        </w:tc>
      </w:tr>
      <w:tr>
        <w:trPr>
          <w:trHeight w:val="1061" w:hRule="atLeast"/>
        </w:trPr>
        <w:tc>
          <w:tcPr>
            <w:tcW w:w="3162" w:type="dxa"/>
            <w:gridSpan w:val="3"/>
            <w:shd w:val="clear" w:color="auto" w:fill="00666D"/>
          </w:tcPr>
          <w:p>
            <w:pPr>
              <w:pStyle w:val="TableParagraph"/>
              <w:rPr>
                <w:sz w:val="22"/>
              </w:rPr>
            </w:pPr>
          </w:p>
          <w:p>
            <w:pPr>
              <w:pStyle w:val="TableParagraph"/>
              <w:spacing w:before="1"/>
              <w:rPr>
                <w:sz w:val="30"/>
              </w:rPr>
            </w:pPr>
          </w:p>
          <w:p>
            <w:pPr>
              <w:pStyle w:val="TableParagraph"/>
              <w:ind w:left="1263" w:right="1393"/>
              <w:jc w:val="center"/>
              <w:rPr>
                <w:sz w:val="19"/>
              </w:rPr>
            </w:pPr>
            <w:r>
              <w:rPr>
                <w:color w:val="FFFFFF"/>
                <w:w w:val="105"/>
                <w:sz w:val="19"/>
              </w:rPr>
              <w:t>- 19 -</w:t>
            </w:r>
          </w:p>
        </w:tc>
        <w:tc>
          <w:tcPr>
            <w:tcW w:w="12393" w:type="dxa"/>
          </w:tcPr>
          <w:p>
            <w:pPr>
              <w:pStyle w:val="TableParagraph"/>
              <w:rPr>
                <w:rFonts w:ascii="Times New Roman"/>
                <w:sz w:val="18"/>
              </w:rPr>
            </w:pPr>
          </w:p>
        </w:tc>
      </w:tr>
    </w:tbl>
    <w:p>
      <w:pPr>
        <w:spacing w:after="0"/>
        <w:rPr>
          <w:rFonts w:ascii="Times New Roman"/>
          <w:sz w:val="18"/>
        </w:rPr>
        <w:sectPr>
          <w:pgSz w:w="16840" w:h="11900" w:orient="landscape"/>
          <w:pgMar w:top="240" w:bottom="0" w:left="140" w:right="860"/>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9"/>
        <w:gridCol w:w="81"/>
        <w:gridCol w:w="1622"/>
        <w:gridCol w:w="12393"/>
      </w:tblGrid>
      <w:tr>
        <w:trPr>
          <w:trHeight w:val="1175" w:hRule="atLeast"/>
        </w:trPr>
        <w:tc>
          <w:tcPr>
            <w:tcW w:w="1459" w:type="dxa"/>
            <w:vMerge w:val="restart"/>
            <w:shd w:val="clear" w:color="auto" w:fill="00666D"/>
          </w:tcPr>
          <w:p>
            <w:pPr>
              <w:pStyle w:val="TableParagraph"/>
              <w:rPr>
                <w:rFonts w:ascii="Times New Roman"/>
                <w:sz w:val="18"/>
              </w:rPr>
            </w:pPr>
          </w:p>
        </w:tc>
        <w:tc>
          <w:tcPr>
            <w:tcW w:w="1703" w:type="dxa"/>
            <w:gridSpan w:val="2"/>
            <w:tcBorders>
              <w:bottom w:val="single" w:sz="4" w:space="0" w:color="A6A6A6"/>
            </w:tcBorders>
            <w:shd w:val="clear" w:color="auto" w:fill="00666D"/>
          </w:tcPr>
          <w:p>
            <w:pPr>
              <w:pStyle w:val="TableParagraph"/>
              <w:rPr>
                <w:rFonts w:ascii="Times New Roman"/>
                <w:sz w:val="18"/>
              </w:rPr>
            </w:pPr>
          </w:p>
        </w:tc>
        <w:tc>
          <w:tcPr>
            <w:tcW w:w="12393" w:type="dxa"/>
          </w:tcPr>
          <w:p>
            <w:pPr>
              <w:pStyle w:val="TableParagraph"/>
              <w:rPr>
                <w:sz w:val="26"/>
              </w:rPr>
            </w:pPr>
          </w:p>
          <w:p>
            <w:pPr>
              <w:pStyle w:val="TableParagraph"/>
              <w:spacing w:before="183"/>
              <w:ind w:left="3853"/>
              <w:rPr>
                <w:rFonts w:ascii="DaxCondensed" w:hAnsi="DaxCondensed"/>
                <w:sz w:val="24"/>
              </w:rPr>
            </w:pPr>
            <w:r>
              <w:rPr>
                <w:rFonts w:ascii="DaxCondensed" w:hAnsi="DaxCondensed"/>
                <w:color w:val="00666D"/>
                <w:sz w:val="24"/>
              </w:rPr>
              <w:t>- Manual de Fiscalização do Exercício da Arquitetura e Urbanismo -</w:t>
            </w:r>
          </w:p>
        </w:tc>
      </w:tr>
      <w:tr>
        <w:trPr>
          <w:trHeight w:val="81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rFonts w:ascii="Times New Roman"/>
                <w:sz w:val="18"/>
              </w:rPr>
            </w:pPr>
          </w:p>
        </w:tc>
        <w:tc>
          <w:tcPr>
            <w:tcW w:w="12393" w:type="dxa"/>
          </w:tcPr>
          <w:p>
            <w:pPr>
              <w:pStyle w:val="TableParagraph"/>
              <w:spacing w:before="4"/>
              <w:ind w:left="894"/>
              <w:rPr>
                <w:sz w:val="19"/>
              </w:rPr>
            </w:pPr>
            <w:r>
              <w:rPr>
                <w:w w:val="105"/>
                <w:sz w:val="19"/>
              </w:rPr>
              <w:t>regularização dos serviços por meio de RRT de profissional legalmente habilitado.</w:t>
            </w:r>
          </w:p>
          <w:p>
            <w:pPr>
              <w:pStyle w:val="TableParagraph"/>
              <w:spacing w:line="252" w:lineRule="auto" w:before="74"/>
              <w:ind w:left="534" w:right="87"/>
              <w:rPr>
                <w:sz w:val="19"/>
              </w:rPr>
            </w:pPr>
            <w:r>
              <w:rPr>
                <w:w w:val="105"/>
                <w:sz w:val="19"/>
              </w:rPr>
              <w:t>* Deve ser considerado válido como documento de regularidade das atividades acima o registro de ART do CREA nos casos previstos na legislação vigente.</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230"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tabs>
                <w:tab w:pos="567" w:val="left" w:leader="none"/>
              </w:tabs>
              <w:spacing w:line="206" w:lineRule="exact" w:before="4"/>
              <w:ind w:left="142"/>
              <w:rPr>
                <w:sz w:val="16"/>
              </w:rPr>
            </w:pPr>
            <w:r>
              <w:rPr>
                <w:color w:val="FFFFFF"/>
                <w:sz w:val="19"/>
              </w:rPr>
              <w:t>2.</w:t>
              <w:tab/>
              <w:t>P</w:t>
            </w:r>
            <w:r>
              <w:rPr>
                <w:color w:val="FFFFFF"/>
                <w:sz w:val="16"/>
              </w:rPr>
              <w:t>ROJETO </w:t>
            </w:r>
            <w:r>
              <w:rPr>
                <w:color w:val="FFFFFF"/>
                <w:sz w:val="19"/>
              </w:rPr>
              <w:t>A</w:t>
            </w:r>
            <w:r>
              <w:rPr>
                <w:color w:val="FFFFFF"/>
                <w:sz w:val="16"/>
              </w:rPr>
              <w:t>RQUITETÔNICO DE </w:t>
            </w:r>
            <w:r>
              <w:rPr>
                <w:color w:val="FFFFFF"/>
                <w:sz w:val="19"/>
              </w:rPr>
              <w:t>G</w:t>
            </w:r>
            <w:r>
              <w:rPr>
                <w:color w:val="FFFFFF"/>
                <w:sz w:val="16"/>
              </w:rPr>
              <w:t>RANDES</w:t>
            </w:r>
            <w:r>
              <w:rPr>
                <w:color w:val="FFFFFF"/>
                <w:spacing w:val="4"/>
                <w:sz w:val="16"/>
              </w:rPr>
              <w:t> </w:t>
            </w:r>
            <w:r>
              <w:rPr>
                <w:color w:val="FFFFFF"/>
                <w:sz w:val="19"/>
              </w:rPr>
              <w:t>E</w:t>
            </w:r>
            <w:r>
              <w:rPr>
                <w:color w:val="FFFFFF"/>
                <w:sz w:val="16"/>
              </w:rPr>
              <w:t>STRUTURAS</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35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61"/>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before="61"/>
              <w:ind w:left="174"/>
              <w:rPr>
                <w:sz w:val="19"/>
              </w:rPr>
            </w:pPr>
            <w:r>
              <w:rPr>
                <w:w w:val="105"/>
                <w:sz w:val="19"/>
              </w:rPr>
              <w:t>Criação estética e plástica de pontes, viadutos e passarelas.</w:t>
            </w:r>
          </w:p>
        </w:tc>
      </w:tr>
      <w:tr>
        <w:trPr>
          <w:trHeight w:val="35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61"/>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before="61"/>
              <w:ind w:left="174"/>
              <w:rPr>
                <w:sz w:val="19"/>
              </w:rPr>
            </w:pPr>
            <w:r>
              <w:rPr>
                <w:w w:val="105"/>
                <w:sz w:val="19"/>
              </w:rPr>
              <w:t>Verificar a existência de RRT de projeto arquitetônico*.</w:t>
            </w:r>
          </w:p>
        </w:tc>
      </w:tr>
      <w:tr>
        <w:trPr>
          <w:trHeight w:val="191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rPr>
                <w:sz w:val="22"/>
              </w:rPr>
            </w:pPr>
          </w:p>
          <w:p>
            <w:pPr>
              <w:pStyle w:val="TableParagraph"/>
              <w:spacing w:line="321" w:lineRule="auto" w:before="194"/>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before="61"/>
              <w:ind w:left="174"/>
              <w:rPr>
                <w:sz w:val="19"/>
              </w:rPr>
            </w:pPr>
            <w:r>
              <w:rPr>
                <w:w w:val="105"/>
                <w:sz w:val="19"/>
              </w:rPr>
              <w:t>Após elaboração do Relatório Digital de Fiscalização, caso constatada situação de irregularidade, lavrar Notificação por:</w:t>
            </w:r>
          </w:p>
          <w:p>
            <w:pPr>
              <w:pStyle w:val="TableParagraph"/>
              <w:numPr>
                <w:ilvl w:val="0"/>
                <w:numId w:val="5"/>
              </w:numPr>
              <w:tabs>
                <w:tab w:pos="894" w:val="left" w:leader="none"/>
              </w:tabs>
              <w:spacing w:line="252" w:lineRule="auto" w:before="75" w:after="0"/>
              <w:ind w:left="894" w:right="24" w:hanging="360"/>
              <w:jc w:val="left"/>
              <w:rPr>
                <w:sz w:val="19"/>
              </w:rPr>
            </w:pPr>
            <w:r>
              <w:rPr>
                <w:w w:val="105"/>
                <w:sz w:val="19"/>
              </w:rPr>
              <w:t>ausência de RRT, concedendo prazo de 10 (dez) dias ao arquiteto e urbanista para o efetivo registro do RRT ou abertura de processo de RRT Extemporâneo, se a atividade técnica de projeto arquitetônico estiver concluída;</w:t>
            </w:r>
            <w:r>
              <w:rPr>
                <w:spacing w:val="3"/>
                <w:w w:val="105"/>
                <w:sz w:val="19"/>
              </w:rPr>
              <w:t> </w:t>
            </w:r>
            <w:r>
              <w:rPr>
                <w:w w:val="105"/>
                <w:sz w:val="19"/>
              </w:rPr>
              <w:t>ou</w:t>
            </w:r>
          </w:p>
          <w:p>
            <w:pPr>
              <w:pStyle w:val="TableParagraph"/>
              <w:numPr>
                <w:ilvl w:val="0"/>
                <w:numId w:val="5"/>
              </w:numPr>
              <w:tabs>
                <w:tab w:pos="894" w:val="left" w:leader="none"/>
              </w:tabs>
              <w:spacing w:line="247" w:lineRule="auto" w:before="64" w:after="0"/>
              <w:ind w:left="894" w:right="23" w:hanging="360"/>
              <w:jc w:val="left"/>
              <w:rPr>
                <w:sz w:val="19"/>
              </w:rPr>
            </w:pPr>
            <w:r>
              <w:rPr>
                <w:w w:val="105"/>
                <w:sz w:val="19"/>
              </w:rPr>
              <w:t>exercício ilegal da profissão, concedendo prazo de 10 (dez) dias ao proprietário ou responsável para, quando for o caso, regularização dos serviços por meio de RRT de profissional legalmente</w:t>
            </w:r>
            <w:r>
              <w:rPr>
                <w:spacing w:val="6"/>
                <w:w w:val="105"/>
                <w:sz w:val="19"/>
              </w:rPr>
              <w:t> </w:t>
            </w:r>
            <w:r>
              <w:rPr>
                <w:w w:val="105"/>
                <w:sz w:val="19"/>
              </w:rPr>
              <w:t>habilitado.</w:t>
            </w:r>
          </w:p>
          <w:p>
            <w:pPr>
              <w:pStyle w:val="TableParagraph"/>
              <w:spacing w:line="252" w:lineRule="auto" w:before="68"/>
              <w:ind w:left="534" w:right="87"/>
              <w:rPr>
                <w:sz w:val="19"/>
              </w:rPr>
            </w:pPr>
            <w:r>
              <w:rPr>
                <w:w w:val="105"/>
                <w:sz w:val="19"/>
              </w:rPr>
              <w:t>* Deve ser considerado válido como documento de regularidade das atividades acima o registro de ART do CREA nos casos previstos na legislação vigente.</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230"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tabs>
                <w:tab w:pos="567" w:val="left" w:leader="none"/>
              </w:tabs>
              <w:spacing w:line="206" w:lineRule="exact" w:before="4"/>
              <w:ind w:left="142"/>
              <w:rPr>
                <w:sz w:val="16"/>
              </w:rPr>
            </w:pPr>
            <w:r>
              <w:rPr>
                <w:color w:val="FFFFFF"/>
                <w:sz w:val="19"/>
              </w:rPr>
              <w:t>3.</w:t>
              <w:tab/>
              <w:t>S</w:t>
            </w:r>
            <w:r>
              <w:rPr>
                <w:color w:val="FFFFFF"/>
                <w:sz w:val="16"/>
              </w:rPr>
              <w:t>ISTEMAS </w:t>
            </w:r>
            <w:r>
              <w:rPr>
                <w:color w:val="FFFFFF"/>
                <w:sz w:val="19"/>
              </w:rPr>
              <w:t>C</w:t>
            </w:r>
            <w:r>
              <w:rPr>
                <w:color w:val="FFFFFF"/>
                <w:sz w:val="16"/>
              </w:rPr>
              <w:t>ONSTRUTIVOS E</w:t>
            </w:r>
            <w:r>
              <w:rPr>
                <w:color w:val="FFFFFF"/>
                <w:spacing w:val="3"/>
                <w:sz w:val="16"/>
              </w:rPr>
              <w:t> </w:t>
            </w:r>
            <w:r>
              <w:rPr>
                <w:color w:val="FFFFFF"/>
                <w:sz w:val="19"/>
              </w:rPr>
              <w:t>E</w:t>
            </w:r>
            <w:r>
              <w:rPr>
                <w:color w:val="FFFFFF"/>
                <w:sz w:val="16"/>
              </w:rPr>
              <w:t>STRUTURAIS</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1041"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spacing w:before="154"/>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line="252" w:lineRule="auto" w:before="66"/>
              <w:ind w:left="174" w:right="25"/>
              <w:jc w:val="both"/>
              <w:rPr>
                <w:sz w:val="19"/>
              </w:rPr>
            </w:pPr>
            <w:r>
              <w:rPr>
                <w:w w:val="105"/>
                <w:sz w:val="19"/>
              </w:rPr>
              <w:t>Estabilidade das edificações: sistemas estruturais funiculares (cabos, membranas e pneumáticos), sistemas estruturais superficiais (dobraduras e cascas), sistemas estruturais de massa (lajes, vigas, pilares e pórticos), sistemas estruturais reticulares rígidos (treliças), sistemas estruturais elevados (torres e arranha-céus); onde se realizam atividades técnicas de projeto e/ou execução de estrutura de madeira, estrutura de concreto, estrutura pré-fabricada, estrutura metálica, estruturas mistas e outras estruturas.</w:t>
            </w:r>
          </w:p>
        </w:tc>
      </w:tr>
      <w:tr>
        <w:trPr>
          <w:trHeight w:val="35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61"/>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before="61"/>
              <w:ind w:left="174"/>
              <w:rPr>
                <w:sz w:val="19"/>
              </w:rPr>
            </w:pPr>
            <w:r>
              <w:rPr>
                <w:w w:val="105"/>
                <w:sz w:val="19"/>
              </w:rPr>
              <w:t>Verificar a existência de responsável técnico pela autoria e/ou execução por meio do(s) RRT pertinente(s)*.</w:t>
            </w:r>
          </w:p>
        </w:tc>
      </w:tr>
      <w:tr>
        <w:trPr>
          <w:trHeight w:val="191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rPr>
                <w:sz w:val="22"/>
              </w:rPr>
            </w:pPr>
          </w:p>
          <w:p>
            <w:pPr>
              <w:pStyle w:val="TableParagraph"/>
              <w:spacing w:before="9"/>
              <w:rPr>
                <w:sz w:val="19"/>
              </w:rPr>
            </w:pPr>
          </w:p>
          <w:p>
            <w:pPr>
              <w:pStyle w:val="TableParagraph"/>
              <w:spacing w:line="247" w:lineRule="auto"/>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before="61"/>
              <w:ind w:left="174"/>
              <w:rPr>
                <w:sz w:val="19"/>
              </w:rPr>
            </w:pPr>
            <w:r>
              <w:rPr>
                <w:w w:val="105"/>
                <w:sz w:val="19"/>
              </w:rPr>
              <w:t>Após elaboração do Relatório Digital de Fiscalização, caso constatada situação de irregularidade, lavrar Notificação por:</w:t>
            </w:r>
          </w:p>
          <w:p>
            <w:pPr>
              <w:pStyle w:val="TableParagraph"/>
              <w:numPr>
                <w:ilvl w:val="0"/>
                <w:numId w:val="6"/>
              </w:numPr>
              <w:tabs>
                <w:tab w:pos="894" w:val="left" w:leader="none"/>
              </w:tabs>
              <w:spacing w:line="252" w:lineRule="auto" w:before="75" w:after="0"/>
              <w:ind w:left="894" w:right="24" w:hanging="360"/>
              <w:jc w:val="left"/>
              <w:rPr>
                <w:sz w:val="19"/>
              </w:rPr>
            </w:pPr>
            <w:r>
              <w:rPr>
                <w:w w:val="105"/>
                <w:sz w:val="19"/>
              </w:rPr>
              <w:t>ausência de RRT, concedendo prazo de 10 (dez) dias ao arquiteto e urbanista para o efetivo registro do RRT ou abertura de processo de RRT Extemporâneo, conforme o caso;</w:t>
            </w:r>
            <w:r>
              <w:rPr>
                <w:spacing w:val="6"/>
                <w:w w:val="105"/>
                <w:sz w:val="19"/>
              </w:rPr>
              <w:t> </w:t>
            </w:r>
            <w:r>
              <w:rPr>
                <w:w w:val="105"/>
                <w:sz w:val="19"/>
              </w:rPr>
              <w:t>ou</w:t>
            </w:r>
          </w:p>
          <w:p>
            <w:pPr>
              <w:pStyle w:val="TableParagraph"/>
              <w:numPr>
                <w:ilvl w:val="0"/>
                <w:numId w:val="6"/>
              </w:numPr>
              <w:tabs>
                <w:tab w:pos="894" w:val="left" w:leader="none"/>
              </w:tabs>
              <w:spacing w:line="252" w:lineRule="auto" w:before="59" w:after="0"/>
              <w:ind w:left="894" w:right="22" w:hanging="360"/>
              <w:jc w:val="left"/>
              <w:rPr>
                <w:sz w:val="19"/>
              </w:rPr>
            </w:pPr>
            <w:r>
              <w:rPr>
                <w:w w:val="105"/>
                <w:sz w:val="19"/>
              </w:rPr>
              <w:t>exercício ilegal da profissão, concedendo prazo de 10 (dez) dias ao proprietário ou responsável para, quando for o caso, regularização dos serviços por meio de RRT de profissional legalmente</w:t>
            </w:r>
            <w:r>
              <w:rPr>
                <w:spacing w:val="6"/>
                <w:w w:val="105"/>
                <w:sz w:val="19"/>
              </w:rPr>
              <w:t> </w:t>
            </w:r>
            <w:r>
              <w:rPr>
                <w:w w:val="105"/>
                <w:sz w:val="19"/>
              </w:rPr>
              <w:t>habilitado.</w:t>
            </w:r>
          </w:p>
          <w:p>
            <w:pPr>
              <w:pStyle w:val="TableParagraph"/>
              <w:spacing w:line="247" w:lineRule="auto" w:before="65"/>
              <w:ind w:left="534" w:right="87"/>
              <w:rPr>
                <w:sz w:val="19"/>
              </w:rPr>
            </w:pPr>
            <w:r>
              <w:rPr>
                <w:w w:val="105"/>
                <w:sz w:val="19"/>
              </w:rPr>
              <w:t>* Deve ser considerado válido como documento de regularidade das atividades acima o registro de ART do CREA nos casos previstos na legislação vigente.</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230"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tabs>
                <w:tab w:pos="567" w:val="left" w:leader="none"/>
              </w:tabs>
              <w:spacing w:line="206" w:lineRule="exact" w:before="4"/>
              <w:ind w:left="142"/>
              <w:rPr>
                <w:sz w:val="16"/>
              </w:rPr>
            </w:pPr>
            <w:r>
              <w:rPr>
                <w:color w:val="FFFFFF"/>
                <w:sz w:val="19"/>
              </w:rPr>
              <w:t>4.</w:t>
              <w:tab/>
              <w:t>C</w:t>
            </w:r>
            <w:r>
              <w:rPr>
                <w:color w:val="FFFFFF"/>
                <w:sz w:val="16"/>
              </w:rPr>
              <w:t>ONFORTO</w:t>
            </w:r>
            <w:r>
              <w:rPr>
                <w:color w:val="FFFFFF"/>
                <w:spacing w:val="1"/>
                <w:sz w:val="16"/>
              </w:rPr>
              <w:t> </w:t>
            </w:r>
            <w:r>
              <w:rPr>
                <w:color w:val="FFFFFF"/>
                <w:sz w:val="19"/>
              </w:rPr>
              <w:t>A</w:t>
            </w:r>
            <w:r>
              <w:rPr>
                <w:color w:val="FFFFFF"/>
                <w:sz w:val="16"/>
              </w:rPr>
              <w:t>MBIENTAL</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81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4"/>
              <w:rPr>
                <w:sz w:val="25"/>
              </w:rPr>
            </w:pPr>
          </w:p>
          <w:p>
            <w:pPr>
              <w:pStyle w:val="TableParagraph"/>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line="249" w:lineRule="auto" w:before="66"/>
              <w:ind w:left="174" w:right="23"/>
              <w:jc w:val="both"/>
              <w:rPr>
                <w:sz w:val="19"/>
              </w:rPr>
            </w:pPr>
            <w:r>
              <w:rPr>
                <w:w w:val="105"/>
                <w:sz w:val="19"/>
              </w:rPr>
              <w:t>Conforto visual, acústico e térmico do espaço construtivo, eficiência energética e qualidade térmica das edificações e dos ambientes urbanos; projeto de certificação ambiental; projeto e/ou execução de adequação ergonômica ou instalações de: luminotecnia, instalações de condicionamento acústico, instalações de sonorização, ou instalações de ventilação, exaustão e climatização.</w:t>
            </w:r>
          </w:p>
        </w:tc>
      </w:tr>
      <w:tr>
        <w:trPr>
          <w:trHeight w:val="1181" w:hRule="atLeast"/>
        </w:trPr>
        <w:tc>
          <w:tcPr>
            <w:tcW w:w="3162" w:type="dxa"/>
            <w:gridSpan w:val="3"/>
            <w:shd w:val="clear" w:color="auto" w:fill="00666D"/>
          </w:tcPr>
          <w:p>
            <w:pPr>
              <w:pStyle w:val="TableParagraph"/>
              <w:rPr>
                <w:sz w:val="22"/>
              </w:rPr>
            </w:pPr>
          </w:p>
          <w:p>
            <w:pPr>
              <w:pStyle w:val="TableParagraph"/>
              <w:rPr>
                <w:sz w:val="22"/>
              </w:rPr>
            </w:pPr>
          </w:p>
          <w:p>
            <w:pPr>
              <w:pStyle w:val="TableParagraph"/>
              <w:spacing w:before="6"/>
              <w:rPr>
                <w:sz w:val="18"/>
              </w:rPr>
            </w:pPr>
          </w:p>
          <w:p>
            <w:pPr>
              <w:pStyle w:val="TableParagraph"/>
              <w:ind w:left="1263" w:right="1393"/>
              <w:jc w:val="center"/>
              <w:rPr>
                <w:sz w:val="19"/>
              </w:rPr>
            </w:pPr>
            <w:r>
              <w:rPr>
                <w:color w:val="FFFFFF"/>
                <w:w w:val="105"/>
                <w:sz w:val="19"/>
              </w:rPr>
              <w:t>- 20 -</w:t>
            </w:r>
          </w:p>
        </w:tc>
        <w:tc>
          <w:tcPr>
            <w:tcW w:w="12393" w:type="dxa"/>
          </w:tcPr>
          <w:p>
            <w:pPr>
              <w:pStyle w:val="TableParagraph"/>
              <w:rPr>
                <w:rFonts w:ascii="Times New Roman"/>
                <w:sz w:val="18"/>
              </w:rPr>
            </w:pPr>
          </w:p>
        </w:tc>
      </w:tr>
    </w:tbl>
    <w:p>
      <w:pPr>
        <w:spacing w:after="0"/>
        <w:rPr>
          <w:rFonts w:ascii="Times New Roman"/>
          <w:sz w:val="18"/>
        </w:rPr>
        <w:sectPr>
          <w:pgSz w:w="16840" w:h="11900" w:orient="landscape"/>
          <w:pgMar w:top="240" w:bottom="0" w:left="140" w:right="860"/>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9"/>
        <w:gridCol w:w="81"/>
        <w:gridCol w:w="1622"/>
        <w:gridCol w:w="12393"/>
      </w:tblGrid>
      <w:tr>
        <w:trPr>
          <w:trHeight w:val="1175" w:hRule="atLeast"/>
        </w:trPr>
        <w:tc>
          <w:tcPr>
            <w:tcW w:w="1459" w:type="dxa"/>
            <w:vMerge w:val="restart"/>
            <w:shd w:val="clear" w:color="auto" w:fill="00666D"/>
          </w:tcPr>
          <w:p>
            <w:pPr>
              <w:pStyle w:val="TableParagraph"/>
              <w:rPr>
                <w:rFonts w:ascii="Times New Roman"/>
                <w:sz w:val="18"/>
              </w:rPr>
            </w:pPr>
          </w:p>
        </w:tc>
        <w:tc>
          <w:tcPr>
            <w:tcW w:w="1703" w:type="dxa"/>
            <w:gridSpan w:val="2"/>
            <w:tcBorders>
              <w:bottom w:val="single" w:sz="4" w:space="0" w:color="A6A6A6"/>
            </w:tcBorders>
            <w:shd w:val="clear" w:color="auto" w:fill="00666D"/>
          </w:tcPr>
          <w:p>
            <w:pPr>
              <w:pStyle w:val="TableParagraph"/>
              <w:rPr>
                <w:rFonts w:ascii="Times New Roman"/>
                <w:sz w:val="18"/>
              </w:rPr>
            </w:pPr>
          </w:p>
        </w:tc>
        <w:tc>
          <w:tcPr>
            <w:tcW w:w="12393" w:type="dxa"/>
          </w:tcPr>
          <w:p>
            <w:pPr>
              <w:pStyle w:val="TableParagraph"/>
              <w:rPr>
                <w:sz w:val="26"/>
              </w:rPr>
            </w:pPr>
          </w:p>
          <w:p>
            <w:pPr>
              <w:pStyle w:val="TableParagraph"/>
              <w:spacing w:before="183"/>
              <w:ind w:left="3853"/>
              <w:rPr>
                <w:rFonts w:ascii="DaxCondensed" w:hAnsi="DaxCondensed"/>
                <w:sz w:val="24"/>
              </w:rPr>
            </w:pPr>
            <w:r>
              <w:rPr>
                <w:rFonts w:ascii="DaxCondensed" w:hAnsi="DaxCondensed"/>
                <w:color w:val="00666D"/>
                <w:sz w:val="24"/>
              </w:rPr>
              <w:t>- Manual de Fiscalização do Exercício da Arquitetura e Urbanismo -</w:t>
            </w:r>
          </w:p>
        </w:tc>
      </w:tr>
      <w:tr>
        <w:trPr>
          <w:trHeight w:val="34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61"/>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before="61"/>
              <w:ind w:left="174"/>
              <w:rPr>
                <w:sz w:val="19"/>
              </w:rPr>
            </w:pPr>
            <w:r>
              <w:rPr>
                <w:w w:val="105"/>
                <w:sz w:val="19"/>
              </w:rPr>
              <w:t>Verificar a existência de responsável técnico pela autoria e/ou execução por meio do(s) RRT pertinente(s).</w:t>
            </w:r>
          </w:p>
        </w:tc>
      </w:tr>
      <w:tr>
        <w:trPr>
          <w:trHeight w:val="1391"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spacing w:before="2"/>
              <w:rPr>
                <w:sz w:val="19"/>
              </w:rPr>
            </w:pPr>
          </w:p>
          <w:p>
            <w:pPr>
              <w:pStyle w:val="TableParagraph"/>
              <w:spacing w:line="247" w:lineRule="auto" w:before="1"/>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before="61"/>
              <w:ind w:left="174"/>
              <w:rPr>
                <w:sz w:val="19"/>
              </w:rPr>
            </w:pPr>
            <w:r>
              <w:rPr>
                <w:w w:val="105"/>
                <w:sz w:val="19"/>
              </w:rPr>
              <w:t>Após elaboração do Relatório Digital de Fiscalização, caso constatada situação de irregularidade, lavrar Notificação por:</w:t>
            </w:r>
          </w:p>
          <w:p>
            <w:pPr>
              <w:pStyle w:val="TableParagraph"/>
              <w:numPr>
                <w:ilvl w:val="0"/>
                <w:numId w:val="7"/>
              </w:numPr>
              <w:tabs>
                <w:tab w:pos="894" w:val="left" w:leader="none"/>
              </w:tabs>
              <w:spacing w:line="252" w:lineRule="auto" w:before="75" w:after="0"/>
              <w:ind w:left="894" w:right="24" w:hanging="360"/>
              <w:jc w:val="left"/>
              <w:rPr>
                <w:sz w:val="19"/>
              </w:rPr>
            </w:pPr>
            <w:r>
              <w:rPr>
                <w:w w:val="105"/>
                <w:sz w:val="19"/>
              </w:rPr>
              <w:t>ausência de RRT, concedendo prazo de 10 (dez) dias ao arquiteto e urbanista para o efetivo registro do RRT ou abertura de processo de RRT Extemporâneo, conforme o caso;</w:t>
            </w:r>
            <w:r>
              <w:rPr>
                <w:spacing w:val="6"/>
                <w:w w:val="105"/>
                <w:sz w:val="19"/>
              </w:rPr>
              <w:t> </w:t>
            </w:r>
            <w:r>
              <w:rPr>
                <w:w w:val="105"/>
                <w:sz w:val="19"/>
              </w:rPr>
              <w:t>ou</w:t>
            </w:r>
          </w:p>
          <w:p>
            <w:pPr>
              <w:pStyle w:val="TableParagraph"/>
              <w:numPr>
                <w:ilvl w:val="0"/>
                <w:numId w:val="7"/>
              </w:numPr>
              <w:tabs>
                <w:tab w:pos="894" w:val="left" w:leader="none"/>
              </w:tabs>
              <w:spacing w:line="252" w:lineRule="auto" w:before="64" w:after="0"/>
              <w:ind w:left="894" w:right="23" w:hanging="360"/>
              <w:jc w:val="left"/>
              <w:rPr>
                <w:sz w:val="19"/>
              </w:rPr>
            </w:pPr>
            <w:r>
              <w:rPr>
                <w:w w:val="105"/>
                <w:sz w:val="19"/>
              </w:rPr>
              <w:t>exercício ilegal da profissão, concedendo prazo de 10 (dez) dias ao proprietário ou responsável para, quando for o caso, regularização dos serviços por meio de RRT de profissional legalmente</w:t>
            </w:r>
            <w:r>
              <w:rPr>
                <w:spacing w:val="6"/>
                <w:w w:val="105"/>
                <w:sz w:val="19"/>
              </w:rPr>
              <w:t> </w:t>
            </w:r>
            <w:r>
              <w:rPr>
                <w:w w:val="105"/>
                <w:sz w:val="19"/>
              </w:rPr>
              <w:t>habilitado.</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230"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tabs>
                <w:tab w:pos="567" w:val="left" w:leader="none"/>
              </w:tabs>
              <w:spacing w:line="206" w:lineRule="exact" w:before="4"/>
              <w:ind w:left="142"/>
              <w:rPr>
                <w:sz w:val="16"/>
              </w:rPr>
            </w:pPr>
            <w:r>
              <w:rPr>
                <w:color w:val="FFFFFF"/>
                <w:sz w:val="19"/>
              </w:rPr>
              <w:t>5.</w:t>
              <w:tab/>
              <w:t>A</w:t>
            </w:r>
            <w:r>
              <w:rPr>
                <w:color w:val="FFFFFF"/>
                <w:sz w:val="16"/>
              </w:rPr>
              <w:t>RQUITETURA DE</w:t>
            </w:r>
            <w:r>
              <w:rPr>
                <w:color w:val="FFFFFF"/>
                <w:spacing w:val="1"/>
                <w:sz w:val="16"/>
              </w:rPr>
              <w:t> </w:t>
            </w:r>
            <w:r>
              <w:rPr>
                <w:color w:val="FFFFFF"/>
                <w:sz w:val="19"/>
              </w:rPr>
              <w:t>I</w:t>
            </w:r>
            <w:r>
              <w:rPr>
                <w:color w:val="FFFFFF"/>
                <w:sz w:val="16"/>
              </w:rPr>
              <w:t>NTERIORES</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132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spacing w:before="10"/>
              <w:rPr>
                <w:sz w:val="25"/>
              </w:rPr>
            </w:pPr>
          </w:p>
          <w:p>
            <w:pPr>
              <w:pStyle w:val="TableParagraph"/>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line="249" w:lineRule="auto" w:before="66"/>
              <w:ind w:left="174" w:right="24"/>
              <w:jc w:val="both"/>
              <w:rPr>
                <w:sz w:val="19"/>
              </w:rPr>
            </w:pPr>
            <w:r>
              <w:rPr>
                <w:w w:val="105"/>
                <w:sz w:val="19"/>
              </w:rPr>
              <w:t>Conjunto de elementos que disciplinam a relação de cheios e vazios em ambientes internos das edificações, sejam as vedações, as aberturas, os volumes, os tratamentos de superfícies, os pisos e revestimentos, os forros e o mobiliário fixo ou a repetição de mobiliário padrão, além das instalações prediais (elétrica, hidráulica, lógica e telefonia).</w:t>
            </w:r>
          </w:p>
          <w:p>
            <w:pPr>
              <w:pStyle w:val="TableParagraph"/>
              <w:spacing w:line="252" w:lineRule="auto" w:before="67"/>
              <w:ind w:left="174" w:right="23"/>
              <w:jc w:val="both"/>
              <w:rPr>
                <w:sz w:val="19"/>
              </w:rPr>
            </w:pPr>
            <w:r>
              <w:rPr>
                <w:w w:val="105"/>
                <w:sz w:val="19"/>
              </w:rPr>
              <w:t>Edificações residenciais, comerciais, de serviços ou institucionais, em geral; Espaços de Mostras de Arquitetura e Decoração, de Feiras  e Exposições e de Lançamentos</w:t>
            </w:r>
            <w:r>
              <w:rPr>
                <w:spacing w:val="6"/>
                <w:w w:val="105"/>
                <w:sz w:val="19"/>
              </w:rPr>
              <w:t> </w:t>
            </w:r>
            <w:r>
              <w:rPr>
                <w:w w:val="105"/>
                <w:sz w:val="19"/>
              </w:rPr>
              <w:t>Imobiliários.</w:t>
            </w:r>
          </w:p>
        </w:tc>
      </w:tr>
      <w:tr>
        <w:trPr>
          <w:trHeight w:val="642"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10"/>
              <w:rPr>
                <w:sz w:val="17"/>
              </w:rPr>
            </w:pPr>
          </w:p>
          <w:p>
            <w:pPr>
              <w:pStyle w:val="TableParagraph"/>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before="61"/>
              <w:ind w:left="174"/>
              <w:rPr>
                <w:sz w:val="19"/>
              </w:rPr>
            </w:pPr>
            <w:r>
              <w:rPr>
                <w:w w:val="105"/>
                <w:sz w:val="19"/>
              </w:rPr>
              <w:t>Verificar a existência de responsável técnico pela autoria e/ou execução por meio do(s) RRT pertinente(s)*.</w:t>
            </w:r>
          </w:p>
          <w:p>
            <w:pPr>
              <w:pStyle w:val="TableParagraph"/>
              <w:spacing w:before="75"/>
              <w:ind w:left="174"/>
              <w:rPr>
                <w:sz w:val="19"/>
              </w:rPr>
            </w:pPr>
            <w:r>
              <w:rPr>
                <w:w w:val="105"/>
                <w:sz w:val="19"/>
              </w:rPr>
              <w:t>Observar o disposto no § 4º do art. 16 da Lei nº 12.378, de 2010 para alterações que interferiram na concepção arquitetônica original.</w:t>
            </w:r>
          </w:p>
        </w:tc>
      </w:tr>
      <w:tr>
        <w:trPr>
          <w:trHeight w:val="191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rPr>
                <w:sz w:val="22"/>
              </w:rPr>
            </w:pPr>
          </w:p>
          <w:p>
            <w:pPr>
              <w:pStyle w:val="TableParagraph"/>
              <w:spacing w:before="4"/>
              <w:rPr>
                <w:sz w:val="19"/>
              </w:rPr>
            </w:pPr>
          </w:p>
          <w:p>
            <w:pPr>
              <w:pStyle w:val="TableParagraph"/>
              <w:spacing w:line="252" w:lineRule="auto"/>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before="61"/>
              <w:ind w:left="174"/>
              <w:rPr>
                <w:sz w:val="19"/>
              </w:rPr>
            </w:pPr>
            <w:r>
              <w:rPr>
                <w:w w:val="105"/>
                <w:sz w:val="19"/>
              </w:rPr>
              <w:t>Após elaboração do Relatório Digital de Fiscalização, caso constatada situação de irregularidade, lavrar Notificação por:</w:t>
            </w:r>
          </w:p>
          <w:p>
            <w:pPr>
              <w:pStyle w:val="TableParagraph"/>
              <w:numPr>
                <w:ilvl w:val="0"/>
                <w:numId w:val="8"/>
              </w:numPr>
              <w:tabs>
                <w:tab w:pos="894" w:val="left" w:leader="none"/>
              </w:tabs>
              <w:spacing w:line="252" w:lineRule="auto" w:before="75" w:after="0"/>
              <w:ind w:left="894" w:right="24" w:hanging="360"/>
              <w:jc w:val="left"/>
              <w:rPr>
                <w:sz w:val="19"/>
              </w:rPr>
            </w:pPr>
            <w:r>
              <w:rPr>
                <w:w w:val="105"/>
                <w:sz w:val="19"/>
              </w:rPr>
              <w:t>ausência de RRT, concedendo prazo de 10 (dez) dias ao arquiteto e urbanista para o efetivo registro do RRT ou abertura de processo de RRT Extemporâneo, conforme o caso;</w:t>
            </w:r>
            <w:r>
              <w:rPr>
                <w:spacing w:val="6"/>
                <w:w w:val="105"/>
                <w:sz w:val="19"/>
              </w:rPr>
              <w:t> </w:t>
            </w:r>
            <w:r>
              <w:rPr>
                <w:w w:val="105"/>
                <w:sz w:val="19"/>
              </w:rPr>
              <w:t>ou</w:t>
            </w:r>
          </w:p>
          <w:p>
            <w:pPr>
              <w:pStyle w:val="TableParagraph"/>
              <w:numPr>
                <w:ilvl w:val="0"/>
                <w:numId w:val="8"/>
              </w:numPr>
              <w:tabs>
                <w:tab w:pos="894" w:val="left" w:leader="none"/>
              </w:tabs>
              <w:spacing w:line="252" w:lineRule="auto" w:before="59" w:after="0"/>
              <w:ind w:left="894" w:right="22" w:hanging="360"/>
              <w:jc w:val="left"/>
              <w:rPr>
                <w:sz w:val="19"/>
              </w:rPr>
            </w:pPr>
            <w:r>
              <w:rPr>
                <w:w w:val="105"/>
                <w:sz w:val="19"/>
              </w:rPr>
              <w:t>exercício ilegal da profissão, concedendo prazo de 10 (dez) dias ao proprietário ou responsável para, quando for o caso, regularização dos serviços por meio de RRT de profissional legalmente</w:t>
            </w:r>
            <w:r>
              <w:rPr>
                <w:spacing w:val="6"/>
                <w:w w:val="105"/>
                <w:sz w:val="19"/>
              </w:rPr>
              <w:t> </w:t>
            </w:r>
            <w:r>
              <w:rPr>
                <w:w w:val="105"/>
                <w:sz w:val="19"/>
              </w:rPr>
              <w:t>habilitado.</w:t>
            </w:r>
          </w:p>
          <w:p>
            <w:pPr>
              <w:pStyle w:val="TableParagraph"/>
              <w:spacing w:line="252" w:lineRule="auto" w:before="60"/>
              <w:ind w:left="174"/>
              <w:rPr>
                <w:sz w:val="19"/>
              </w:rPr>
            </w:pPr>
            <w:r>
              <w:rPr>
                <w:w w:val="105"/>
                <w:sz w:val="19"/>
              </w:rPr>
              <w:t>* Nas edificações e instalações de caráter efêmero, verificar a existência de RRT pela autoria e execução do layout e das instalações prediais próprias ao funcionamento da mostra, exposição ou feira.</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230"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tabs>
                <w:tab w:pos="567" w:val="left" w:leader="none"/>
              </w:tabs>
              <w:spacing w:line="206" w:lineRule="exact" w:before="4"/>
              <w:ind w:left="142"/>
              <w:rPr>
                <w:sz w:val="16"/>
              </w:rPr>
            </w:pPr>
            <w:r>
              <w:rPr>
                <w:color w:val="FFFFFF"/>
                <w:sz w:val="19"/>
              </w:rPr>
              <w:t>6.</w:t>
              <w:tab/>
              <w:t>I</w:t>
            </w:r>
            <w:r>
              <w:rPr>
                <w:color w:val="FFFFFF"/>
                <w:sz w:val="16"/>
              </w:rPr>
              <w:t>NSTALAÇÕES E </w:t>
            </w:r>
            <w:r>
              <w:rPr>
                <w:color w:val="FFFFFF"/>
                <w:sz w:val="19"/>
              </w:rPr>
              <w:t>E</w:t>
            </w:r>
            <w:r>
              <w:rPr>
                <w:color w:val="FFFFFF"/>
                <w:sz w:val="16"/>
              </w:rPr>
              <w:t>QUIPAMENTOS REFERENTES À</w:t>
            </w:r>
            <w:r>
              <w:rPr>
                <w:color w:val="FFFFFF"/>
                <w:spacing w:val="4"/>
                <w:sz w:val="16"/>
              </w:rPr>
              <w:t> </w:t>
            </w:r>
            <w:r>
              <w:rPr>
                <w:color w:val="FFFFFF"/>
                <w:sz w:val="19"/>
              </w:rPr>
              <w:t>A</w:t>
            </w:r>
            <w:r>
              <w:rPr>
                <w:color w:val="FFFFFF"/>
                <w:sz w:val="16"/>
              </w:rPr>
              <w:t>RQUITETURA</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1036"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spacing w:before="154"/>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line="252" w:lineRule="auto" w:before="66"/>
              <w:ind w:left="174" w:right="23"/>
              <w:jc w:val="both"/>
              <w:rPr>
                <w:sz w:val="19"/>
              </w:rPr>
            </w:pPr>
            <w:r>
              <w:rPr>
                <w:w w:val="105"/>
                <w:sz w:val="19"/>
              </w:rPr>
              <w:t>Projeto e execução de instalações elétricas prediais de baixa tensão, instalações hidrossanitárias prediais, instalações prediais de águas pluviais, instalações prediais de prevenção e combate a incêndio, sistemas prediais de proteção contra incêndios e catástrofes (</w:t>
            </w:r>
            <w:r>
              <w:rPr>
                <w:i/>
                <w:w w:val="105"/>
                <w:sz w:val="19"/>
              </w:rPr>
              <w:t>sprinkler </w:t>
            </w:r>
            <w:r>
              <w:rPr>
                <w:w w:val="105"/>
                <w:sz w:val="19"/>
              </w:rPr>
              <w:t>e hidrantes), instalações e equipamentos prediais de: gás canalizado, gases medicinais, TV, CFTV, telefonia, cabeamento estruturado, automação e lógica.</w:t>
            </w:r>
          </w:p>
        </w:tc>
      </w:tr>
      <w:tr>
        <w:trPr>
          <w:trHeight w:val="34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61"/>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before="61"/>
              <w:ind w:left="174"/>
              <w:rPr>
                <w:sz w:val="19"/>
              </w:rPr>
            </w:pPr>
            <w:r>
              <w:rPr>
                <w:w w:val="105"/>
                <w:sz w:val="19"/>
              </w:rPr>
              <w:t>Verificar a existência de responsável técnico pela autoria e/ou execução por meio do(s) RRT pertinente(s)*.</w:t>
            </w:r>
          </w:p>
        </w:tc>
      </w:tr>
      <w:tr>
        <w:trPr>
          <w:trHeight w:val="1103"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8"/>
              <w:rPr>
                <w:sz w:val="28"/>
              </w:rPr>
            </w:pPr>
          </w:p>
          <w:p>
            <w:pPr>
              <w:pStyle w:val="TableParagraph"/>
              <w:spacing w:line="247" w:lineRule="auto"/>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before="61"/>
              <w:ind w:left="174"/>
              <w:rPr>
                <w:sz w:val="19"/>
              </w:rPr>
            </w:pPr>
            <w:r>
              <w:rPr>
                <w:w w:val="105"/>
                <w:sz w:val="19"/>
              </w:rPr>
              <w:t>Após elaboração do Relatório Digital de Fiscalização, caso constatada situação de irregularidade, lavrar Notificação por:</w:t>
            </w:r>
          </w:p>
          <w:p>
            <w:pPr>
              <w:pStyle w:val="TableParagraph"/>
              <w:numPr>
                <w:ilvl w:val="0"/>
                <w:numId w:val="9"/>
              </w:numPr>
              <w:tabs>
                <w:tab w:pos="894" w:val="left" w:leader="none"/>
              </w:tabs>
              <w:spacing w:line="252" w:lineRule="auto" w:before="75" w:after="0"/>
              <w:ind w:left="894" w:right="24" w:hanging="360"/>
              <w:jc w:val="left"/>
              <w:rPr>
                <w:sz w:val="19"/>
              </w:rPr>
            </w:pPr>
            <w:r>
              <w:rPr>
                <w:w w:val="105"/>
                <w:sz w:val="19"/>
              </w:rPr>
              <w:t>ausência de RRT, concedendo prazo de 10 (dez) dias ao arquiteto e urbanista para o efetivo registro do RRT ou abertura de processo de RRT Extemporâneo, conforme o caso;</w:t>
            </w:r>
            <w:r>
              <w:rPr>
                <w:spacing w:val="6"/>
                <w:w w:val="105"/>
                <w:sz w:val="19"/>
              </w:rPr>
              <w:t> </w:t>
            </w:r>
            <w:r>
              <w:rPr>
                <w:w w:val="105"/>
                <w:sz w:val="19"/>
              </w:rPr>
              <w:t>ou</w:t>
            </w:r>
          </w:p>
          <w:p>
            <w:pPr>
              <w:pStyle w:val="TableParagraph"/>
              <w:numPr>
                <w:ilvl w:val="0"/>
                <w:numId w:val="9"/>
              </w:numPr>
              <w:tabs>
                <w:tab w:pos="894" w:val="left" w:leader="none"/>
              </w:tabs>
              <w:spacing w:line="206" w:lineRule="exact" w:before="64" w:after="0"/>
              <w:ind w:left="894" w:right="0" w:hanging="360"/>
              <w:jc w:val="left"/>
              <w:rPr>
                <w:sz w:val="19"/>
              </w:rPr>
            </w:pPr>
            <w:r>
              <w:rPr>
                <w:w w:val="105"/>
                <w:sz w:val="19"/>
              </w:rPr>
              <w:t>exercício</w:t>
            </w:r>
            <w:r>
              <w:rPr>
                <w:spacing w:val="42"/>
                <w:w w:val="105"/>
                <w:sz w:val="19"/>
              </w:rPr>
              <w:t> </w:t>
            </w:r>
            <w:r>
              <w:rPr>
                <w:w w:val="105"/>
                <w:sz w:val="19"/>
              </w:rPr>
              <w:t>ilegal</w:t>
            </w:r>
            <w:r>
              <w:rPr>
                <w:spacing w:val="41"/>
                <w:w w:val="105"/>
                <w:sz w:val="19"/>
              </w:rPr>
              <w:t> </w:t>
            </w:r>
            <w:r>
              <w:rPr>
                <w:w w:val="105"/>
                <w:sz w:val="19"/>
              </w:rPr>
              <w:t>da</w:t>
            </w:r>
            <w:r>
              <w:rPr>
                <w:spacing w:val="42"/>
                <w:w w:val="105"/>
                <w:sz w:val="19"/>
              </w:rPr>
              <w:t> </w:t>
            </w:r>
            <w:r>
              <w:rPr>
                <w:w w:val="105"/>
                <w:sz w:val="19"/>
              </w:rPr>
              <w:t>profissão,</w:t>
            </w:r>
            <w:r>
              <w:rPr>
                <w:spacing w:val="41"/>
                <w:w w:val="105"/>
                <w:sz w:val="19"/>
              </w:rPr>
              <w:t> </w:t>
            </w:r>
            <w:r>
              <w:rPr>
                <w:w w:val="105"/>
                <w:sz w:val="19"/>
              </w:rPr>
              <w:t>concedendo</w:t>
            </w:r>
            <w:r>
              <w:rPr>
                <w:spacing w:val="42"/>
                <w:w w:val="105"/>
                <w:sz w:val="19"/>
              </w:rPr>
              <w:t> </w:t>
            </w:r>
            <w:r>
              <w:rPr>
                <w:w w:val="105"/>
                <w:sz w:val="19"/>
              </w:rPr>
              <w:t>prazo</w:t>
            </w:r>
            <w:r>
              <w:rPr>
                <w:spacing w:val="42"/>
                <w:w w:val="105"/>
                <w:sz w:val="19"/>
              </w:rPr>
              <w:t> </w:t>
            </w:r>
            <w:r>
              <w:rPr>
                <w:w w:val="105"/>
                <w:sz w:val="19"/>
              </w:rPr>
              <w:t>de</w:t>
            </w:r>
            <w:r>
              <w:rPr>
                <w:spacing w:val="42"/>
                <w:w w:val="105"/>
                <w:sz w:val="19"/>
              </w:rPr>
              <w:t> </w:t>
            </w:r>
            <w:r>
              <w:rPr>
                <w:w w:val="105"/>
                <w:sz w:val="19"/>
              </w:rPr>
              <w:t>10</w:t>
            </w:r>
            <w:r>
              <w:rPr>
                <w:spacing w:val="42"/>
                <w:w w:val="105"/>
                <w:sz w:val="19"/>
              </w:rPr>
              <w:t> </w:t>
            </w:r>
            <w:r>
              <w:rPr>
                <w:w w:val="105"/>
                <w:sz w:val="19"/>
              </w:rPr>
              <w:t>(dez)</w:t>
            </w:r>
            <w:r>
              <w:rPr>
                <w:spacing w:val="41"/>
                <w:w w:val="105"/>
                <w:sz w:val="19"/>
              </w:rPr>
              <w:t> </w:t>
            </w:r>
            <w:r>
              <w:rPr>
                <w:w w:val="105"/>
                <w:sz w:val="19"/>
              </w:rPr>
              <w:t>dias</w:t>
            </w:r>
            <w:r>
              <w:rPr>
                <w:spacing w:val="41"/>
                <w:w w:val="105"/>
                <w:sz w:val="19"/>
              </w:rPr>
              <w:t> </w:t>
            </w:r>
            <w:r>
              <w:rPr>
                <w:w w:val="105"/>
                <w:sz w:val="19"/>
              </w:rPr>
              <w:t>ao</w:t>
            </w:r>
            <w:r>
              <w:rPr>
                <w:spacing w:val="42"/>
                <w:w w:val="105"/>
                <w:sz w:val="19"/>
              </w:rPr>
              <w:t> </w:t>
            </w:r>
            <w:r>
              <w:rPr>
                <w:w w:val="105"/>
                <w:sz w:val="19"/>
              </w:rPr>
              <w:t>proprietário</w:t>
            </w:r>
            <w:r>
              <w:rPr>
                <w:spacing w:val="42"/>
                <w:w w:val="105"/>
                <w:sz w:val="19"/>
              </w:rPr>
              <w:t> </w:t>
            </w:r>
            <w:r>
              <w:rPr>
                <w:w w:val="105"/>
                <w:sz w:val="19"/>
              </w:rPr>
              <w:t>ou</w:t>
            </w:r>
            <w:r>
              <w:rPr>
                <w:spacing w:val="42"/>
                <w:w w:val="105"/>
                <w:sz w:val="19"/>
              </w:rPr>
              <w:t> </w:t>
            </w:r>
            <w:r>
              <w:rPr>
                <w:w w:val="105"/>
                <w:sz w:val="19"/>
              </w:rPr>
              <w:t>responsável</w:t>
            </w:r>
            <w:r>
              <w:rPr>
                <w:spacing w:val="42"/>
                <w:w w:val="105"/>
                <w:sz w:val="19"/>
              </w:rPr>
              <w:t> </w:t>
            </w:r>
            <w:r>
              <w:rPr>
                <w:w w:val="105"/>
                <w:sz w:val="19"/>
              </w:rPr>
              <w:t>para,</w:t>
            </w:r>
            <w:r>
              <w:rPr>
                <w:spacing w:val="41"/>
                <w:w w:val="105"/>
                <w:sz w:val="19"/>
              </w:rPr>
              <w:t> </w:t>
            </w:r>
            <w:r>
              <w:rPr>
                <w:w w:val="105"/>
                <w:sz w:val="19"/>
              </w:rPr>
              <w:t>quando</w:t>
            </w:r>
            <w:r>
              <w:rPr>
                <w:spacing w:val="42"/>
                <w:w w:val="105"/>
                <w:sz w:val="19"/>
              </w:rPr>
              <w:t> </w:t>
            </w:r>
            <w:r>
              <w:rPr>
                <w:w w:val="105"/>
                <w:sz w:val="19"/>
              </w:rPr>
              <w:t>for</w:t>
            </w:r>
            <w:r>
              <w:rPr>
                <w:spacing w:val="41"/>
                <w:w w:val="105"/>
                <w:sz w:val="19"/>
              </w:rPr>
              <w:t> </w:t>
            </w:r>
            <w:r>
              <w:rPr>
                <w:w w:val="105"/>
                <w:sz w:val="19"/>
              </w:rPr>
              <w:t>o</w:t>
            </w:r>
            <w:r>
              <w:rPr>
                <w:spacing w:val="42"/>
                <w:w w:val="105"/>
                <w:sz w:val="19"/>
              </w:rPr>
              <w:t> </w:t>
            </w:r>
            <w:r>
              <w:rPr>
                <w:w w:val="105"/>
                <w:sz w:val="19"/>
              </w:rPr>
              <w:t>caso,</w:t>
            </w:r>
          </w:p>
        </w:tc>
      </w:tr>
      <w:tr>
        <w:trPr>
          <w:trHeight w:val="1080" w:hRule="atLeast"/>
        </w:trPr>
        <w:tc>
          <w:tcPr>
            <w:tcW w:w="3162" w:type="dxa"/>
            <w:gridSpan w:val="3"/>
            <w:shd w:val="clear" w:color="auto" w:fill="00666D"/>
          </w:tcPr>
          <w:p>
            <w:pPr>
              <w:pStyle w:val="TableParagraph"/>
              <w:rPr>
                <w:sz w:val="22"/>
              </w:rPr>
            </w:pPr>
          </w:p>
          <w:p>
            <w:pPr>
              <w:pStyle w:val="TableParagraph"/>
              <w:spacing w:before="8"/>
              <w:rPr>
                <w:sz w:val="31"/>
              </w:rPr>
            </w:pPr>
          </w:p>
          <w:p>
            <w:pPr>
              <w:pStyle w:val="TableParagraph"/>
              <w:spacing w:before="1"/>
              <w:ind w:left="1263" w:right="1393"/>
              <w:jc w:val="center"/>
              <w:rPr>
                <w:sz w:val="19"/>
              </w:rPr>
            </w:pPr>
            <w:r>
              <w:rPr>
                <w:color w:val="FFFFFF"/>
                <w:w w:val="105"/>
                <w:sz w:val="19"/>
              </w:rPr>
              <w:t>- 21 -</w:t>
            </w:r>
          </w:p>
        </w:tc>
        <w:tc>
          <w:tcPr>
            <w:tcW w:w="12393" w:type="dxa"/>
          </w:tcPr>
          <w:p>
            <w:pPr>
              <w:pStyle w:val="TableParagraph"/>
              <w:rPr>
                <w:rFonts w:ascii="Times New Roman"/>
                <w:sz w:val="18"/>
              </w:rPr>
            </w:pPr>
          </w:p>
        </w:tc>
      </w:tr>
    </w:tbl>
    <w:p>
      <w:pPr>
        <w:spacing w:after="0"/>
        <w:rPr>
          <w:rFonts w:ascii="Times New Roman"/>
          <w:sz w:val="18"/>
        </w:rPr>
        <w:sectPr>
          <w:pgSz w:w="16840" w:h="11900" w:orient="landscape"/>
          <w:pgMar w:top="240" w:bottom="0" w:left="140" w:right="860"/>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9"/>
        <w:gridCol w:w="81"/>
        <w:gridCol w:w="1622"/>
        <w:gridCol w:w="12393"/>
      </w:tblGrid>
      <w:tr>
        <w:trPr>
          <w:trHeight w:val="1175" w:hRule="atLeast"/>
        </w:trPr>
        <w:tc>
          <w:tcPr>
            <w:tcW w:w="1459" w:type="dxa"/>
            <w:vMerge w:val="restart"/>
            <w:shd w:val="clear" w:color="auto" w:fill="00666D"/>
          </w:tcPr>
          <w:p>
            <w:pPr>
              <w:pStyle w:val="TableParagraph"/>
              <w:rPr>
                <w:rFonts w:ascii="Times New Roman"/>
                <w:sz w:val="18"/>
              </w:rPr>
            </w:pPr>
          </w:p>
        </w:tc>
        <w:tc>
          <w:tcPr>
            <w:tcW w:w="1703" w:type="dxa"/>
            <w:gridSpan w:val="2"/>
            <w:tcBorders>
              <w:bottom w:val="single" w:sz="4" w:space="0" w:color="A6A6A6"/>
            </w:tcBorders>
            <w:shd w:val="clear" w:color="auto" w:fill="00666D"/>
          </w:tcPr>
          <w:p>
            <w:pPr>
              <w:pStyle w:val="TableParagraph"/>
              <w:rPr>
                <w:rFonts w:ascii="Times New Roman"/>
                <w:sz w:val="18"/>
              </w:rPr>
            </w:pPr>
          </w:p>
        </w:tc>
        <w:tc>
          <w:tcPr>
            <w:tcW w:w="12393" w:type="dxa"/>
          </w:tcPr>
          <w:p>
            <w:pPr>
              <w:pStyle w:val="TableParagraph"/>
              <w:rPr>
                <w:sz w:val="26"/>
              </w:rPr>
            </w:pPr>
          </w:p>
          <w:p>
            <w:pPr>
              <w:pStyle w:val="TableParagraph"/>
              <w:spacing w:before="183"/>
              <w:ind w:left="3853"/>
              <w:rPr>
                <w:rFonts w:ascii="DaxCondensed" w:hAnsi="DaxCondensed"/>
                <w:sz w:val="24"/>
              </w:rPr>
            </w:pPr>
            <w:r>
              <w:rPr>
                <w:rFonts w:ascii="DaxCondensed" w:hAnsi="DaxCondensed"/>
                <w:color w:val="00666D"/>
                <w:sz w:val="24"/>
              </w:rPr>
              <w:t>- Manual de Fiscalização do Exercício da Arquitetura e Urbanismo -</w:t>
            </w:r>
          </w:p>
        </w:tc>
      </w:tr>
      <w:tr>
        <w:trPr>
          <w:trHeight w:val="81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rFonts w:ascii="Times New Roman"/>
                <w:sz w:val="18"/>
              </w:rPr>
            </w:pPr>
          </w:p>
        </w:tc>
        <w:tc>
          <w:tcPr>
            <w:tcW w:w="12393" w:type="dxa"/>
          </w:tcPr>
          <w:p>
            <w:pPr>
              <w:pStyle w:val="TableParagraph"/>
              <w:spacing w:before="4"/>
              <w:ind w:left="894"/>
              <w:rPr>
                <w:sz w:val="19"/>
              </w:rPr>
            </w:pPr>
            <w:r>
              <w:rPr>
                <w:w w:val="105"/>
                <w:sz w:val="19"/>
              </w:rPr>
              <w:t>regularização dos serviços por meio de RRT de profissional legalmente habilitado.</w:t>
            </w:r>
          </w:p>
          <w:p>
            <w:pPr>
              <w:pStyle w:val="TableParagraph"/>
              <w:spacing w:line="252" w:lineRule="auto" w:before="74"/>
              <w:ind w:left="174" w:right="87"/>
              <w:rPr>
                <w:sz w:val="19"/>
              </w:rPr>
            </w:pPr>
            <w:r>
              <w:rPr>
                <w:w w:val="105"/>
                <w:sz w:val="19"/>
              </w:rPr>
              <w:t>* Deve ser considerado válido como documento de regularidade das atividades acima o registro de ART do CREA nos casos previstos</w:t>
            </w:r>
            <w:r>
              <w:rPr>
                <w:spacing w:val="55"/>
                <w:w w:val="105"/>
                <w:sz w:val="19"/>
              </w:rPr>
              <w:t> </w:t>
            </w:r>
            <w:r>
              <w:rPr>
                <w:w w:val="105"/>
                <w:sz w:val="19"/>
              </w:rPr>
              <w:t>na legislação</w:t>
            </w:r>
            <w:r>
              <w:rPr>
                <w:spacing w:val="2"/>
                <w:w w:val="105"/>
                <w:sz w:val="19"/>
              </w:rPr>
              <w:t> </w:t>
            </w:r>
            <w:r>
              <w:rPr>
                <w:w w:val="105"/>
                <w:sz w:val="19"/>
              </w:rPr>
              <w:t>vigente.</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230"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tabs>
                <w:tab w:pos="567" w:val="left" w:leader="none"/>
              </w:tabs>
              <w:spacing w:line="206" w:lineRule="exact" w:before="4"/>
              <w:ind w:left="142"/>
              <w:rPr>
                <w:sz w:val="16"/>
              </w:rPr>
            </w:pPr>
            <w:r>
              <w:rPr>
                <w:color w:val="FFFFFF"/>
                <w:sz w:val="19"/>
              </w:rPr>
              <w:t>7.</w:t>
              <w:tab/>
              <w:t>A</w:t>
            </w:r>
            <w:r>
              <w:rPr>
                <w:color w:val="FFFFFF"/>
                <w:sz w:val="16"/>
              </w:rPr>
              <w:t>RQUITETURA</w:t>
            </w:r>
            <w:r>
              <w:rPr>
                <w:color w:val="FFFFFF"/>
                <w:spacing w:val="1"/>
                <w:sz w:val="16"/>
              </w:rPr>
              <w:t> </w:t>
            </w:r>
            <w:r>
              <w:rPr>
                <w:color w:val="FFFFFF"/>
                <w:sz w:val="19"/>
              </w:rPr>
              <w:t>P</w:t>
            </w:r>
            <w:r>
              <w:rPr>
                <w:color w:val="FFFFFF"/>
                <w:sz w:val="16"/>
              </w:rPr>
              <w:t>AISAGÍSTICA</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58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176"/>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line="252" w:lineRule="auto" w:before="66"/>
              <w:ind w:left="174"/>
              <w:rPr>
                <w:sz w:val="19"/>
              </w:rPr>
            </w:pPr>
            <w:r>
              <w:rPr>
                <w:w w:val="105"/>
                <w:sz w:val="19"/>
              </w:rPr>
              <w:t>Projeto, execução, planejamento, gestão e preservação dos elementos da paisagem, aplicados a edifícios, condomínios, conjuntos residenciais, ruas e avenidas, jardins, parques, praças, arborização urbana e unidades de conservação.</w:t>
            </w:r>
          </w:p>
        </w:tc>
      </w:tr>
      <w:tr>
        <w:trPr>
          <w:trHeight w:val="35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61"/>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before="61"/>
              <w:ind w:left="174"/>
              <w:rPr>
                <w:sz w:val="19"/>
              </w:rPr>
            </w:pPr>
            <w:r>
              <w:rPr>
                <w:w w:val="105"/>
                <w:sz w:val="19"/>
              </w:rPr>
              <w:t>Verificar a existência de responsável técnico pela autoria e/ou execução por meio do(s) RRT pertinente(s).</w:t>
            </w:r>
          </w:p>
        </w:tc>
      </w:tr>
      <w:tr>
        <w:trPr>
          <w:trHeight w:val="1391"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spacing w:line="321" w:lineRule="auto" w:before="183"/>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before="61"/>
              <w:ind w:left="174"/>
              <w:rPr>
                <w:sz w:val="19"/>
              </w:rPr>
            </w:pPr>
            <w:r>
              <w:rPr>
                <w:w w:val="105"/>
                <w:sz w:val="19"/>
              </w:rPr>
              <w:t>Após elaboração do Relatório Digital de Fiscalização, caso constatada situação de irregularidade, lavrar Notificação por:</w:t>
            </w:r>
          </w:p>
          <w:p>
            <w:pPr>
              <w:pStyle w:val="TableParagraph"/>
              <w:numPr>
                <w:ilvl w:val="0"/>
                <w:numId w:val="10"/>
              </w:numPr>
              <w:tabs>
                <w:tab w:pos="894" w:val="left" w:leader="none"/>
              </w:tabs>
              <w:spacing w:line="252" w:lineRule="auto" w:before="75" w:after="0"/>
              <w:ind w:left="894" w:right="28" w:hanging="360"/>
              <w:jc w:val="left"/>
              <w:rPr>
                <w:sz w:val="19"/>
              </w:rPr>
            </w:pPr>
            <w:r>
              <w:rPr>
                <w:w w:val="105"/>
                <w:sz w:val="19"/>
              </w:rPr>
              <w:t>ausência de RRT, concedendo prazo de 10 (dez) dias ao arquiteto e urbanista para o efetivo registro do RRT ou abertura de processo de RRT Extemporâneo, conforme o caso;</w:t>
            </w:r>
            <w:r>
              <w:rPr>
                <w:spacing w:val="6"/>
                <w:w w:val="105"/>
                <w:sz w:val="19"/>
              </w:rPr>
              <w:t> </w:t>
            </w:r>
            <w:r>
              <w:rPr>
                <w:w w:val="105"/>
                <w:sz w:val="19"/>
              </w:rPr>
              <w:t>ou</w:t>
            </w:r>
          </w:p>
          <w:p>
            <w:pPr>
              <w:pStyle w:val="TableParagraph"/>
              <w:numPr>
                <w:ilvl w:val="0"/>
                <w:numId w:val="10"/>
              </w:numPr>
              <w:tabs>
                <w:tab w:pos="894" w:val="left" w:leader="none"/>
              </w:tabs>
              <w:spacing w:line="252" w:lineRule="auto" w:before="59" w:after="0"/>
              <w:ind w:left="894" w:right="23" w:hanging="360"/>
              <w:jc w:val="left"/>
              <w:rPr>
                <w:sz w:val="19"/>
              </w:rPr>
            </w:pPr>
            <w:r>
              <w:rPr>
                <w:w w:val="105"/>
                <w:sz w:val="19"/>
              </w:rPr>
              <w:t>exercício ilegal da profissão, concedendo prazo de 10 (dez) dias ao proprietário ou responsável para, quando for o caso, regularização dos serviços por meio de RRT de profissional legalmente</w:t>
            </w:r>
            <w:r>
              <w:rPr>
                <w:spacing w:val="6"/>
                <w:w w:val="105"/>
                <w:sz w:val="19"/>
              </w:rPr>
              <w:t> </w:t>
            </w:r>
            <w:r>
              <w:rPr>
                <w:w w:val="105"/>
                <w:sz w:val="19"/>
              </w:rPr>
              <w:t>habilitado.</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230"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tabs>
                <w:tab w:pos="567" w:val="left" w:leader="none"/>
              </w:tabs>
              <w:spacing w:line="206" w:lineRule="exact" w:before="4"/>
              <w:ind w:left="142"/>
              <w:rPr>
                <w:sz w:val="16"/>
              </w:rPr>
            </w:pPr>
            <w:r>
              <w:rPr>
                <w:color w:val="FFFFFF"/>
                <w:sz w:val="19"/>
              </w:rPr>
              <w:t>8.</w:t>
              <w:tab/>
              <w:t>R</w:t>
            </w:r>
            <w:r>
              <w:rPr>
                <w:color w:val="FFFFFF"/>
                <w:sz w:val="16"/>
              </w:rPr>
              <w:t>ELATÓRIOS </w:t>
            </w:r>
            <w:r>
              <w:rPr>
                <w:color w:val="FFFFFF"/>
                <w:sz w:val="19"/>
              </w:rPr>
              <w:t>T</w:t>
            </w:r>
            <w:r>
              <w:rPr>
                <w:color w:val="FFFFFF"/>
                <w:sz w:val="16"/>
              </w:rPr>
              <w:t>ÉCNICOS DE</w:t>
            </w:r>
            <w:r>
              <w:rPr>
                <w:color w:val="FFFFFF"/>
                <w:spacing w:val="2"/>
                <w:sz w:val="16"/>
              </w:rPr>
              <w:t> </w:t>
            </w:r>
            <w:r>
              <w:rPr>
                <w:color w:val="FFFFFF"/>
                <w:sz w:val="19"/>
              </w:rPr>
              <w:t>A</w:t>
            </w:r>
            <w:r>
              <w:rPr>
                <w:color w:val="FFFFFF"/>
                <w:sz w:val="16"/>
              </w:rPr>
              <w:t>RQUITETURA</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58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176"/>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line="247" w:lineRule="auto" w:before="66"/>
              <w:ind w:left="174"/>
              <w:rPr>
                <w:sz w:val="19"/>
              </w:rPr>
            </w:pPr>
            <w:r>
              <w:rPr>
                <w:w w:val="105"/>
                <w:sz w:val="19"/>
              </w:rPr>
              <w:t>Elaboração de memorial descritivo, cronograma, orçamentação e controle, caderno de especificações, caderno de encargos, estudo de viabilidade econômico-financeira e avaliação pós-ocupação, referentes à arquitetura.</w:t>
            </w:r>
          </w:p>
        </w:tc>
      </w:tr>
      <w:tr>
        <w:trPr>
          <w:trHeight w:val="35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61"/>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before="61"/>
              <w:ind w:left="174"/>
              <w:rPr>
                <w:sz w:val="19"/>
              </w:rPr>
            </w:pPr>
            <w:r>
              <w:rPr>
                <w:w w:val="105"/>
                <w:sz w:val="19"/>
              </w:rPr>
              <w:t>Verificar a existência de responsável técnico pela autoria e/ou execução por meio do(s) RRT pertinente(s)*.</w:t>
            </w:r>
          </w:p>
        </w:tc>
      </w:tr>
      <w:tr>
        <w:trPr>
          <w:trHeight w:val="191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rPr>
                <w:sz w:val="22"/>
              </w:rPr>
            </w:pPr>
          </w:p>
          <w:p>
            <w:pPr>
              <w:pStyle w:val="TableParagraph"/>
              <w:spacing w:before="4"/>
              <w:rPr>
                <w:sz w:val="19"/>
              </w:rPr>
            </w:pPr>
          </w:p>
          <w:p>
            <w:pPr>
              <w:pStyle w:val="TableParagraph"/>
              <w:spacing w:line="252" w:lineRule="auto"/>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before="61"/>
              <w:ind w:left="174"/>
              <w:rPr>
                <w:sz w:val="19"/>
              </w:rPr>
            </w:pPr>
            <w:r>
              <w:rPr>
                <w:w w:val="105"/>
                <w:sz w:val="19"/>
              </w:rPr>
              <w:t>Após elaboração do Relatório Digital de Fiscalização, caso constatada situação de irregularidade, lavrar Notificação por:</w:t>
            </w:r>
          </w:p>
          <w:p>
            <w:pPr>
              <w:pStyle w:val="TableParagraph"/>
              <w:numPr>
                <w:ilvl w:val="0"/>
                <w:numId w:val="11"/>
              </w:numPr>
              <w:tabs>
                <w:tab w:pos="894" w:val="left" w:leader="none"/>
              </w:tabs>
              <w:spacing w:line="252" w:lineRule="auto" w:before="75" w:after="0"/>
              <w:ind w:left="894" w:right="24" w:hanging="360"/>
              <w:jc w:val="left"/>
              <w:rPr>
                <w:sz w:val="19"/>
              </w:rPr>
            </w:pPr>
            <w:r>
              <w:rPr>
                <w:w w:val="105"/>
                <w:sz w:val="19"/>
              </w:rPr>
              <w:t>ausência de RRT, concedendo prazo de 10 (dez) dias ao arquiteto e urbanista para o efetivo registro do RRT ou abertura de processo de RRT Extemporâneo, conforme o caso;</w:t>
            </w:r>
            <w:r>
              <w:rPr>
                <w:spacing w:val="6"/>
                <w:w w:val="105"/>
                <w:sz w:val="19"/>
              </w:rPr>
              <w:t> </w:t>
            </w:r>
            <w:r>
              <w:rPr>
                <w:w w:val="105"/>
                <w:sz w:val="19"/>
              </w:rPr>
              <w:t>ou</w:t>
            </w:r>
          </w:p>
          <w:p>
            <w:pPr>
              <w:pStyle w:val="TableParagraph"/>
              <w:numPr>
                <w:ilvl w:val="0"/>
                <w:numId w:val="11"/>
              </w:numPr>
              <w:tabs>
                <w:tab w:pos="894" w:val="left" w:leader="none"/>
              </w:tabs>
              <w:spacing w:line="252" w:lineRule="auto" w:before="59" w:after="0"/>
              <w:ind w:left="894" w:right="22" w:hanging="360"/>
              <w:jc w:val="left"/>
              <w:rPr>
                <w:sz w:val="19"/>
              </w:rPr>
            </w:pPr>
            <w:r>
              <w:rPr>
                <w:w w:val="105"/>
                <w:sz w:val="19"/>
              </w:rPr>
              <w:t>exercício ilegal da profissão, concedendo prazo de 10 (dez) dias ao proprietário ou responsável para, quando for o caso, regularização dos serviços por meio de RRT de profissional legalmente</w:t>
            </w:r>
            <w:r>
              <w:rPr>
                <w:spacing w:val="6"/>
                <w:w w:val="105"/>
                <w:sz w:val="19"/>
              </w:rPr>
              <w:t> </w:t>
            </w:r>
            <w:r>
              <w:rPr>
                <w:w w:val="105"/>
                <w:sz w:val="19"/>
              </w:rPr>
              <w:t>habilitado.</w:t>
            </w:r>
          </w:p>
          <w:p>
            <w:pPr>
              <w:pStyle w:val="TableParagraph"/>
              <w:spacing w:line="252" w:lineRule="auto" w:before="60"/>
              <w:ind w:left="174" w:right="87"/>
              <w:rPr>
                <w:sz w:val="19"/>
              </w:rPr>
            </w:pPr>
            <w:r>
              <w:rPr>
                <w:w w:val="105"/>
                <w:sz w:val="19"/>
              </w:rPr>
              <w:t>* Deve ser considerado válido como documento de regularidade das atividades acima o registro de ART do CREA nos casos previstos</w:t>
            </w:r>
            <w:r>
              <w:rPr>
                <w:spacing w:val="55"/>
                <w:w w:val="105"/>
                <w:sz w:val="19"/>
              </w:rPr>
              <w:t> </w:t>
            </w:r>
            <w:r>
              <w:rPr>
                <w:w w:val="105"/>
                <w:sz w:val="19"/>
              </w:rPr>
              <w:t>na legislação</w:t>
            </w:r>
            <w:r>
              <w:rPr>
                <w:spacing w:val="2"/>
                <w:w w:val="105"/>
                <w:sz w:val="19"/>
              </w:rPr>
              <w:t> </w:t>
            </w:r>
            <w:r>
              <w:rPr>
                <w:w w:val="105"/>
                <w:sz w:val="19"/>
              </w:rPr>
              <w:t>vigente.</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230"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tabs>
                <w:tab w:pos="567" w:val="left" w:leader="none"/>
              </w:tabs>
              <w:spacing w:line="206" w:lineRule="exact" w:before="4"/>
              <w:ind w:left="142"/>
              <w:rPr>
                <w:sz w:val="16"/>
              </w:rPr>
            </w:pPr>
            <w:r>
              <w:rPr>
                <w:color w:val="FFFFFF"/>
                <w:sz w:val="19"/>
              </w:rPr>
              <w:t>9.</w:t>
              <w:tab/>
              <w:t>U</w:t>
            </w:r>
            <w:r>
              <w:rPr>
                <w:color w:val="FFFFFF"/>
                <w:sz w:val="16"/>
              </w:rPr>
              <w:t>RBANISMO E </w:t>
            </w:r>
            <w:r>
              <w:rPr>
                <w:color w:val="FFFFFF"/>
                <w:sz w:val="19"/>
              </w:rPr>
              <w:t>D</w:t>
            </w:r>
            <w:r>
              <w:rPr>
                <w:color w:val="FFFFFF"/>
                <w:sz w:val="16"/>
              </w:rPr>
              <w:t>ESENHO</w:t>
            </w:r>
            <w:r>
              <w:rPr>
                <w:color w:val="FFFFFF"/>
                <w:spacing w:val="3"/>
                <w:sz w:val="16"/>
              </w:rPr>
              <w:t> </w:t>
            </w:r>
            <w:r>
              <w:rPr>
                <w:color w:val="FFFFFF"/>
                <w:sz w:val="19"/>
              </w:rPr>
              <w:t>U</w:t>
            </w:r>
            <w:r>
              <w:rPr>
                <w:color w:val="FFFFFF"/>
                <w:sz w:val="16"/>
              </w:rPr>
              <w:t>RBANO</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805"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4"/>
              <w:rPr>
                <w:sz w:val="25"/>
              </w:rPr>
            </w:pPr>
          </w:p>
          <w:p>
            <w:pPr>
              <w:pStyle w:val="TableParagraph"/>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line="249" w:lineRule="auto" w:before="66"/>
              <w:ind w:left="174" w:right="25"/>
              <w:jc w:val="both"/>
              <w:rPr>
                <w:sz w:val="19"/>
              </w:rPr>
            </w:pPr>
            <w:r>
              <w:rPr>
                <w:w w:val="105"/>
                <w:sz w:val="19"/>
              </w:rPr>
              <w:t>Estudo, regulação, controle e ordenamento do espaço urbano, mediante elaboração e execução de projeto urbanístico, levantamento cadastral, inventário urbano, parcelamento do solo (loteamento, desmembramento e remembramento), regularização fundiária, sistema viário, tráfego e trânsito de veículos e sistemas de estacionamento, mobiliário urbano.</w:t>
            </w:r>
          </w:p>
        </w:tc>
      </w:tr>
      <w:tr>
        <w:trPr>
          <w:trHeight w:val="34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66"/>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before="66"/>
              <w:ind w:left="174"/>
              <w:rPr>
                <w:sz w:val="19"/>
              </w:rPr>
            </w:pPr>
            <w:r>
              <w:rPr>
                <w:w w:val="105"/>
                <w:sz w:val="19"/>
              </w:rPr>
              <w:t>Verificar a existência de responsável técnico pela autoria e/ou execução por meio do(s) RRT pertinente(s).</w:t>
            </w:r>
          </w:p>
        </w:tc>
      </w:tr>
      <w:tr>
        <w:trPr>
          <w:trHeight w:val="58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line="247" w:lineRule="auto" w:before="71"/>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before="66"/>
              <w:ind w:left="174"/>
              <w:rPr>
                <w:sz w:val="19"/>
              </w:rPr>
            </w:pPr>
            <w:r>
              <w:rPr>
                <w:w w:val="105"/>
                <w:sz w:val="19"/>
              </w:rPr>
              <w:t>Após elaboração do Relatório Digital de Fiscalização, caso constatada situação de irregularidade, lavrar Notificação por:</w:t>
            </w:r>
          </w:p>
          <w:p>
            <w:pPr>
              <w:pStyle w:val="TableParagraph"/>
              <w:spacing w:line="206" w:lineRule="exact" w:before="70"/>
              <w:ind w:left="534"/>
              <w:rPr>
                <w:sz w:val="19"/>
              </w:rPr>
            </w:pPr>
            <w:r>
              <w:rPr>
                <w:w w:val="105"/>
                <w:sz w:val="19"/>
              </w:rPr>
              <w:t>1) ausência de RRT, concedendo prazo de 10 (dez) dias ao arquiteto e urbanista para o efetivo registro do RRT ou abertura de</w:t>
            </w:r>
          </w:p>
        </w:tc>
      </w:tr>
      <w:tr>
        <w:trPr>
          <w:trHeight w:val="984" w:hRule="atLeast"/>
        </w:trPr>
        <w:tc>
          <w:tcPr>
            <w:tcW w:w="3162" w:type="dxa"/>
            <w:gridSpan w:val="3"/>
            <w:shd w:val="clear" w:color="auto" w:fill="00666D"/>
          </w:tcPr>
          <w:p>
            <w:pPr>
              <w:pStyle w:val="TableParagraph"/>
              <w:rPr>
                <w:sz w:val="22"/>
              </w:rPr>
            </w:pPr>
          </w:p>
          <w:p>
            <w:pPr>
              <w:pStyle w:val="TableParagraph"/>
              <w:spacing w:before="4"/>
              <w:rPr>
                <w:sz w:val="23"/>
              </w:rPr>
            </w:pPr>
          </w:p>
          <w:p>
            <w:pPr>
              <w:pStyle w:val="TableParagraph"/>
              <w:spacing w:before="1"/>
              <w:ind w:left="1263" w:right="1393"/>
              <w:jc w:val="center"/>
              <w:rPr>
                <w:sz w:val="19"/>
              </w:rPr>
            </w:pPr>
            <w:r>
              <w:rPr>
                <w:color w:val="FFFFFF"/>
                <w:w w:val="105"/>
                <w:sz w:val="19"/>
              </w:rPr>
              <w:t>- 22 -</w:t>
            </w:r>
          </w:p>
        </w:tc>
        <w:tc>
          <w:tcPr>
            <w:tcW w:w="12393" w:type="dxa"/>
          </w:tcPr>
          <w:p>
            <w:pPr>
              <w:pStyle w:val="TableParagraph"/>
              <w:rPr>
                <w:rFonts w:ascii="Times New Roman"/>
                <w:sz w:val="18"/>
              </w:rPr>
            </w:pPr>
          </w:p>
        </w:tc>
      </w:tr>
    </w:tbl>
    <w:p>
      <w:pPr>
        <w:spacing w:after="0"/>
        <w:rPr>
          <w:rFonts w:ascii="Times New Roman"/>
          <w:sz w:val="18"/>
        </w:rPr>
        <w:sectPr>
          <w:pgSz w:w="16840" w:h="11900" w:orient="landscape"/>
          <w:pgMar w:top="240" w:bottom="0" w:left="140" w:right="860"/>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9"/>
        <w:gridCol w:w="81"/>
        <w:gridCol w:w="1622"/>
        <w:gridCol w:w="12393"/>
      </w:tblGrid>
      <w:tr>
        <w:trPr>
          <w:trHeight w:val="1175" w:hRule="atLeast"/>
        </w:trPr>
        <w:tc>
          <w:tcPr>
            <w:tcW w:w="1459" w:type="dxa"/>
            <w:vMerge w:val="restart"/>
            <w:shd w:val="clear" w:color="auto" w:fill="00666D"/>
          </w:tcPr>
          <w:p>
            <w:pPr>
              <w:pStyle w:val="TableParagraph"/>
              <w:rPr>
                <w:rFonts w:ascii="Times New Roman"/>
                <w:sz w:val="18"/>
              </w:rPr>
            </w:pPr>
          </w:p>
        </w:tc>
        <w:tc>
          <w:tcPr>
            <w:tcW w:w="1703" w:type="dxa"/>
            <w:gridSpan w:val="2"/>
            <w:tcBorders>
              <w:bottom w:val="single" w:sz="4" w:space="0" w:color="A6A6A6"/>
            </w:tcBorders>
            <w:shd w:val="clear" w:color="auto" w:fill="00666D"/>
          </w:tcPr>
          <w:p>
            <w:pPr>
              <w:pStyle w:val="TableParagraph"/>
              <w:rPr>
                <w:rFonts w:ascii="Times New Roman"/>
                <w:sz w:val="18"/>
              </w:rPr>
            </w:pPr>
          </w:p>
        </w:tc>
        <w:tc>
          <w:tcPr>
            <w:tcW w:w="12393" w:type="dxa"/>
          </w:tcPr>
          <w:p>
            <w:pPr>
              <w:pStyle w:val="TableParagraph"/>
              <w:rPr>
                <w:sz w:val="26"/>
              </w:rPr>
            </w:pPr>
          </w:p>
          <w:p>
            <w:pPr>
              <w:pStyle w:val="TableParagraph"/>
              <w:spacing w:before="183"/>
              <w:ind w:left="3853"/>
              <w:rPr>
                <w:rFonts w:ascii="DaxCondensed" w:hAnsi="DaxCondensed"/>
                <w:sz w:val="24"/>
              </w:rPr>
            </w:pPr>
            <w:r>
              <w:rPr>
                <w:rFonts w:ascii="DaxCondensed" w:hAnsi="DaxCondensed"/>
                <w:color w:val="00666D"/>
                <w:sz w:val="24"/>
              </w:rPr>
              <w:t>- Manual de Fiscalização do Exercício da Arquitetura e Urbanismo -</w:t>
            </w:r>
          </w:p>
        </w:tc>
      </w:tr>
      <w:tr>
        <w:trPr>
          <w:trHeight w:val="81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rFonts w:ascii="Times New Roman"/>
                <w:sz w:val="18"/>
              </w:rPr>
            </w:pPr>
          </w:p>
        </w:tc>
        <w:tc>
          <w:tcPr>
            <w:tcW w:w="12393" w:type="dxa"/>
          </w:tcPr>
          <w:p>
            <w:pPr>
              <w:pStyle w:val="TableParagraph"/>
              <w:spacing w:before="4"/>
              <w:ind w:left="894"/>
              <w:rPr>
                <w:sz w:val="19"/>
              </w:rPr>
            </w:pPr>
            <w:r>
              <w:rPr>
                <w:w w:val="105"/>
                <w:sz w:val="19"/>
              </w:rPr>
              <w:t>processo de RRT Extemporâneo, conforme o caso; ou</w:t>
            </w:r>
          </w:p>
          <w:p>
            <w:pPr>
              <w:pStyle w:val="TableParagraph"/>
              <w:spacing w:line="252" w:lineRule="auto" w:before="74"/>
              <w:ind w:left="894" w:hanging="360"/>
              <w:rPr>
                <w:sz w:val="19"/>
              </w:rPr>
            </w:pPr>
            <w:r>
              <w:rPr>
                <w:w w:val="105"/>
                <w:sz w:val="19"/>
              </w:rPr>
              <w:t>2) exercício ilegal da profissão, concedendo prazo de 10 (dez) dias ao proprietário ou responsável para, quando for o caso, regularização dos serviços por meio de RRT de profissional legalmente habilitado.</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230"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spacing w:line="206" w:lineRule="exact" w:before="4"/>
              <w:ind w:left="142"/>
              <w:rPr>
                <w:sz w:val="16"/>
              </w:rPr>
            </w:pPr>
            <w:r>
              <w:rPr>
                <w:color w:val="FFFFFF"/>
                <w:sz w:val="19"/>
              </w:rPr>
              <w:t>10. I</w:t>
            </w:r>
            <w:r>
              <w:rPr>
                <w:color w:val="FFFFFF"/>
                <w:sz w:val="16"/>
              </w:rPr>
              <w:t>NSTALAÇÕES E </w:t>
            </w:r>
            <w:r>
              <w:rPr>
                <w:color w:val="FFFFFF"/>
                <w:sz w:val="19"/>
              </w:rPr>
              <w:t>E</w:t>
            </w:r>
            <w:r>
              <w:rPr>
                <w:color w:val="FFFFFF"/>
                <w:sz w:val="16"/>
              </w:rPr>
              <w:t>QUIPAMENTOS REFERENTES AO </w:t>
            </w:r>
            <w:r>
              <w:rPr>
                <w:color w:val="FFFFFF"/>
                <w:sz w:val="19"/>
              </w:rPr>
              <w:t>U</w:t>
            </w:r>
            <w:r>
              <w:rPr>
                <w:color w:val="FFFFFF"/>
                <w:sz w:val="16"/>
              </w:rPr>
              <w:t>RBANISMO</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81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4"/>
              <w:rPr>
                <w:sz w:val="25"/>
              </w:rPr>
            </w:pPr>
          </w:p>
          <w:p>
            <w:pPr>
              <w:pStyle w:val="TableParagraph"/>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line="252" w:lineRule="auto" w:before="66"/>
              <w:ind w:left="174" w:right="25"/>
              <w:jc w:val="both"/>
              <w:rPr>
                <w:sz w:val="19"/>
              </w:rPr>
            </w:pPr>
            <w:r>
              <w:rPr>
                <w:w w:val="105"/>
                <w:sz w:val="19"/>
              </w:rPr>
              <w:t>Estruturação, disciplinamento e qualificação do espaço urbano, onde se realizam as atividades de projeto e/ou execução</w:t>
            </w:r>
            <w:r>
              <w:rPr>
                <w:spacing w:val="55"/>
                <w:w w:val="105"/>
                <w:sz w:val="19"/>
              </w:rPr>
              <w:t> </w:t>
            </w:r>
            <w:r>
              <w:rPr>
                <w:w w:val="105"/>
                <w:sz w:val="19"/>
              </w:rPr>
              <w:t>de comunicação visual, sinalização viária, iluminação pública, coleta de resíduos sólidos, movimentação de terra, drenagem e pavimentação.</w:t>
            </w:r>
          </w:p>
        </w:tc>
      </w:tr>
      <w:tr>
        <w:trPr>
          <w:trHeight w:val="35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61"/>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before="61"/>
              <w:ind w:left="174"/>
              <w:rPr>
                <w:sz w:val="19"/>
              </w:rPr>
            </w:pPr>
            <w:r>
              <w:rPr>
                <w:w w:val="105"/>
                <w:sz w:val="19"/>
              </w:rPr>
              <w:t>Verificar a existência de responsável técnico pela autoria e/ou execução por meio do(s) RRT pertinente(s).</w:t>
            </w:r>
          </w:p>
        </w:tc>
      </w:tr>
      <w:tr>
        <w:trPr>
          <w:trHeight w:val="1391"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spacing w:before="2"/>
              <w:rPr>
                <w:sz w:val="19"/>
              </w:rPr>
            </w:pPr>
          </w:p>
          <w:p>
            <w:pPr>
              <w:pStyle w:val="TableParagraph"/>
              <w:spacing w:line="247" w:lineRule="auto" w:before="1"/>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before="61"/>
              <w:ind w:left="174"/>
              <w:rPr>
                <w:sz w:val="19"/>
              </w:rPr>
            </w:pPr>
            <w:r>
              <w:rPr>
                <w:w w:val="105"/>
                <w:sz w:val="19"/>
              </w:rPr>
              <w:t>Após elaboração do Relatório Digital de Fiscalização, caso constatada situação de irregularidade, lavrar Notificação por:</w:t>
            </w:r>
          </w:p>
          <w:p>
            <w:pPr>
              <w:pStyle w:val="TableParagraph"/>
              <w:numPr>
                <w:ilvl w:val="0"/>
                <w:numId w:val="12"/>
              </w:numPr>
              <w:tabs>
                <w:tab w:pos="894" w:val="left" w:leader="none"/>
              </w:tabs>
              <w:spacing w:line="252" w:lineRule="auto" w:before="75" w:after="0"/>
              <w:ind w:left="894" w:right="24" w:hanging="360"/>
              <w:jc w:val="left"/>
              <w:rPr>
                <w:sz w:val="19"/>
              </w:rPr>
            </w:pPr>
            <w:r>
              <w:rPr>
                <w:w w:val="105"/>
                <w:sz w:val="19"/>
              </w:rPr>
              <w:t>ausência de RRT, concedendo prazo de 10 (dez) dias ao arquiteto e urbanista para o efetivo registro do RRT ou abertura de processo de RRT Extemporâneo, conforme o caso;</w:t>
            </w:r>
            <w:r>
              <w:rPr>
                <w:spacing w:val="6"/>
                <w:w w:val="105"/>
                <w:sz w:val="19"/>
              </w:rPr>
              <w:t> </w:t>
            </w:r>
            <w:r>
              <w:rPr>
                <w:w w:val="105"/>
                <w:sz w:val="19"/>
              </w:rPr>
              <w:t>ou</w:t>
            </w:r>
          </w:p>
          <w:p>
            <w:pPr>
              <w:pStyle w:val="TableParagraph"/>
              <w:numPr>
                <w:ilvl w:val="0"/>
                <w:numId w:val="12"/>
              </w:numPr>
              <w:tabs>
                <w:tab w:pos="894" w:val="left" w:leader="none"/>
              </w:tabs>
              <w:spacing w:line="252" w:lineRule="auto" w:before="59" w:after="0"/>
              <w:ind w:left="894" w:right="23" w:hanging="360"/>
              <w:jc w:val="left"/>
              <w:rPr>
                <w:sz w:val="19"/>
              </w:rPr>
            </w:pPr>
            <w:r>
              <w:rPr>
                <w:w w:val="105"/>
                <w:sz w:val="19"/>
              </w:rPr>
              <w:t>exercício ilegal da profissão, concedendo prazo de 10 (dez) dias ao proprietário ou responsável para, quando for o caso, regularização dos serviços por meio de RRT de profissional legalmente</w:t>
            </w:r>
            <w:r>
              <w:rPr>
                <w:spacing w:val="6"/>
                <w:w w:val="105"/>
                <w:sz w:val="19"/>
              </w:rPr>
              <w:t> </w:t>
            </w:r>
            <w:r>
              <w:rPr>
                <w:w w:val="105"/>
                <w:sz w:val="19"/>
              </w:rPr>
              <w:t>habilitado.</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230"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spacing w:line="206" w:lineRule="exact" w:before="4"/>
              <w:ind w:left="142"/>
              <w:rPr>
                <w:sz w:val="16"/>
              </w:rPr>
            </w:pPr>
            <w:r>
              <w:rPr>
                <w:color w:val="FFFFFF"/>
                <w:sz w:val="19"/>
              </w:rPr>
              <w:t>11. R</w:t>
            </w:r>
            <w:r>
              <w:rPr>
                <w:color w:val="FFFFFF"/>
                <w:sz w:val="16"/>
              </w:rPr>
              <w:t>ELATÓRIOS </w:t>
            </w:r>
            <w:r>
              <w:rPr>
                <w:color w:val="FFFFFF"/>
                <w:sz w:val="19"/>
              </w:rPr>
              <w:t>T</w:t>
            </w:r>
            <w:r>
              <w:rPr>
                <w:color w:val="FFFFFF"/>
                <w:sz w:val="16"/>
              </w:rPr>
              <w:t>ÉCNICOS </w:t>
            </w:r>
            <w:r>
              <w:rPr>
                <w:color w:val="FFFFFF"/>
                <w:sz w:val="19"/>
              </w:rPr>
              <w:t>U</w:t>
            </w:r>
            <w:r>
              <w:rPr>
                <w:color w:val="FFFFFF"/>
                <w:sz w:val="16"/>
              </w:rPr>
              <w:t>RBANÍSTICOS</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58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176"/>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line="247" w:lineRule="auto" w:before="66"/>
              <w:ind w:left="174"/>
              <w:rPr>
                <w:sz w:val="19"/>
              </w:rPr>
            </w:pPr>
            <w:r>
              <w:rPr>
                <w:w w:val="105"/>
                <w:sz w:val="19"/>
              </w:rPr>
              <w:t>Elaboração de memorial descritivo, cronograma, orçamentação e controle, caderno de especificações, caderno de encargos, estudo de viabilidade econômico-financeira e avaliação pós-ocupação, referentes ao urbanismo.</w:t>
            </w:r>
          </w:p>
        </w:tc>
      </w:tr>
      <w:tr>
        <w:trPr>
          <w:trHeight w:val="35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61"/>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before="61"/>
              <w:ind w:left="174"/>
              <w:rPr>
                <w:sz w:val="19"/>
              </w:rPr>
            </w:pPr>
            <w:r>
              <w:rPr>
                <w:w w:val="105"/>
                <w:sz w:val="19"/>
              </w:rPr>
              <w:t>Verificar a existência de responsável técnico pela autoria e/ou execução por meio do(s) RRT pertinente(s).</w:t>
            </w:r>
          </w:p>
        </w:tc>
      </w:tr>
      <w:tr>
        <w:trPr>
          <w:trHeight w:val="1386"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spacing w:before="9"/>
              <w:rPr>
                <w:sz w:val="18"/>
              </w:rPr>
            </w:pPr>
          </w:p>
          <w:p>
            <w:pPr>
              <w:pStyle w:val="TableParagraph"/>
              <w:spacing w:line="247" w:lineRule="auto"/>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before="61"/>
              <w:ind w:left="174"/>
              <w:rPr>
                <w:sz w:val="19"/>
              </w:rPr>
            </w:pPr>
            <w:r>
              <w:rPr>
                <w:w w:val="105"/>
                <w:sz w:val="19"/>
              </w:rPr>
              <w:t>Após elaboração do Relatório Digital de Fiscalização, caso constatada situação de irregularidade, lavrar Notificação por:</w:t>
            </w:r>
          </w:p>
          <w:p>
            <w:pPr>
              <w:pStyle w:val="TableParagraph"/>
              <w:numPr>
                <w:ilvl w:val="0"/>
                <w:numId w:val="13"/>
              </w:numPr>
              <w:tabs>
                <w:tab w:pos="894" w:val="left" w:leader="none"/>
              </w:tabs>
              <w:spacing w:line="252" w:lineRule="auto" w:before="75" w:after="0"/>
              <w:ind w:left="894" w:right="24" w:hanging="360"/>
              <w:jc w:val="left"/>
              <w:rPr>
                <w:sz w:val="19"/>
              </w:rPr>
            </w:pPr>
            <w:r>
              <w:rPr>
                <w:w w:val="105"/>
                <w:sz w:val="19"/>
              </w:rPr>
              <w:t>ausência de RRT, concedendo prazo de 10 (dez) dias ao arquiteto e urbanista para o efetivo registro do RRT ou abertura de processo de RRT Extemporâneo, conforme o caso;</w:t>
            </w:r>
            <w:r>
              <w:rPr>
                <w:spacing w:val="6"/>
                <w:w w:val="105"/>
                <w:sz w:val="19"/>
              </w:rPr>
              <w:t> </w:t>
            </w:r>
            <w:r>
              <w:rPr>
                <w:w w:val="105"/>
                <w:sz w:val="19"/>
              </w:rPr>
              <w:t>ou</w:t>
            </w:r>
          </w:p>
          <w:p>
            <w:pPr>
              <w:pStyle w:val="TableParagraph"/>
              <w:numPr>
                <w:ilvl w:val="0"/>
                <w:numId w:val="13"/>
              </w:numPr>
              <w:tabs>
                <w:tab w:pos="894" w:val="left" w:leader="none"/>
              </w:tabs>
              <w:spacing w:line="252" w:lineRule="auto" w:before="59" w:after="0"/>
              <w:ind w:left="894" w:right="22" w:hanging="360"/>
              <w:jc w:val="left"/>
              <w:rPr>
                <w:sz w:val="19"/>
              </w:rPr>
            </w:pPr>
            <w:r>
              <w:rPr>
                <w:w w:val="105"/>
                <w:sz w:val="19"/>
              </w:rPr>
              <w:t>exercício ilegal da profissão, concedendo prazo de 10 (dez) dias ao proprietário ou responsável para, quando for o caso, regularização dos serviços por meio de RRT de profissional legalmente</w:t>
            </w:r>
            <w:r>
              <w:rPr>
                <w:spacing w:val="6"/>
                <w:w w:val="105"/>
                <w:sz w:val="19"/>
              </w:rPr>
              <w:t> </w:t>
            </w:r>
            <w:r>
              <w:rPr>
                <w:w w:val="105"/>
                <w:sz w:val="19"/>
              </w:rPr>
              <w:t>habilitado.</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230"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spacing w:line="206" w:lineRule="exact" w:before="4"/>
              <w:ind w:left="142"/>
              <w:rPr>
                <w:sz w:val="16"/>
              </w:rPr>
            </w:pPr>
            <w:r>
              <w:rPr>
                <w:color w:val="FFFFFF"/>
                <w:sz w:val="19"/>
              </w:rPr>
              <w:t>12. P</w:t>
            </w:r>
            <w:r>
              <w:rPr>
                <w:color w:val="FFFFFF"/>
                <w:sz w:val="16"/>
              </w:rPr>
              <w:t>ATRIMÔNIO </w:t>
            </w:r>
            <w:r>
              <w:rPr>
                <w:color w:val="FFFFFF"/>
                <w:sz w:val="19"/>
              </w:rPr>
              <w:t>A</w:t>
            </w:r>
            <w:r>
              <w:rPr>
                <w:color w:val="FFFFFF"/>
                <w:sz w:val="16"/>
              </w:rPr>
              <w:t>RQUITETÔNICO</w:t>
            </w:r>
            <w:r>
              <w:rPr>
                <w:color w:val="FFFFFF"/>
                <w:sz w:val="19"/>
              </w:rPr>
              <w:t>, U</w:t>
            </w:r>
            <w:r>
              <w:rPr>
                <w:color w:val="FFFFFF"/>
                <w:sz w:val="16"/>
              </w:rPr>
              <w:t>RBANÍSTICO E </w:t>
            </w:r>
            <w:r>
              <w:rPr>
                <w:color w:val="FFFFFF"/>
                <w:sz w:val="19"/>
              </w:rPr>
              <w:t>P</w:t>
            </w:r>
            <w:r>
              <w:rPr>
                <w:color w:val="FFFFFF"/>
                <w:sz w:val="16"/>
              </w:rPr>
              <w:t>AISAGÍSTICO</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81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4"/>
              <w:rPr>
                <w:sz w:val="25"/>
              </w:rPr>
            </w:pPr>
          </w:p>
          <w:p>
            <w:pPr>
              <w:pStyle w:val="TableParagraph"/>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line="252" w:lineRule="auto" w:before="66"/>
              <w:ind w:left="174" w:right="23"/>
              <w:jc w:val="both"/>
              <w:rPr>
                <w:sz w:val="19"/>
              </w:rPr>
            </w:pPr>
            <w:r>
              <w:rPr>
                <w:w w:val="105"/>
                <w:sz w:val="19"/>
              </w:rPr>
              <w:t>Patrimônio Histórico Cultural e Artístico, arquitetônico, urbanístico, paisagístico, monumentos, restauro, práticas de projeto e soluções tecnológicas para reutilização, reabilitação, reconstrução, preservação, conservação, restauro e valorização de edificações, conjuntos e cidades.</w:t>
            </w:r>
          </w:p>
        </w:tc>
      </w:tr>
      <w:tr>
        <w:trPr>
          <w:trHeight w:val="868"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10"/>
              <w:rPr>
                <w:sz w:val="27"/>
              </w:rPr>
            </w:pPr>
          </w:p>
          <w:p>
            <w:pPr>
              <w:pStyle w:val="TableParagraph"/>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line="252" w:lineRule="auto" w:before="66"/>
              <w:ind w:left="174"/>
              <w:rPr>
                <w:sz w:val="19"/>
              </w:rPr>
            </w:pPr>
            <w:r>
              <w:rPr>
                <w:w w:val="105"/>
                <w:sz w:val="19"/>
              </w:rPr>
              <w:t>Verificar junto à secretaria municipal e estadual de cultura, fundações culturais, conselhos de patrimônio e Iphan, a listagem de edifícios tombados, documentados ou inventariados de interesse histórico-cultural.</w:t>
            </w:r>
          </w:p>
          <w:p>
            <w:pPr>
              <w:pStyle w:val="TableParagraph"/>
              <w:spacing w:before="60"/>
              <w:ind w:left="174"/>
              <w:rPr>
                <w:sz w:val="19"/>
              </w:rPr>
            </w:pPr>
            <w:r>
              <w:rPr>
                <w:w w:val="105"/>
                <w:sz w:val="19"/>
              </w:rPr>
              <w:t>Verificar a existência de responsável técnico pela autoria e/ou execução por meio do(s) RRT pertinente(s).</w:t>
            </w:r>
          </w:p>
        </w:tc>
      </w:tr>
      <w:tr>
        <w:trPr>
          <w:trHeight w:val="34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100"/>
              <w:ind w:left="110"/>
              <w:rPr>
                <w:sz w:val="16"/>
              </w:rPr>
            </w:pPr>
            <w:r>
              <w:rPr>
                <w:color w:val="FFFFFF"/>
                <w:sz w:val="19"/>
              </w:rPr>
              <w:t>P</w:t>
            </w:r>
            <w:r>
              <w:rPr>
                <w:color w:val="FFFFFF"/>
                <w:sz w:val="16"/>
              </w:rPr>
              <w:t>ROCEDIMENTOS</w:t>
            </w:r>
          </w:p>
        </w:tc>
        <w:tc>
          <w:tcPr>
            <w:tcW w:w="12393" w:type="dxa"/>
          </w:tcPr>
          <w:p>
            <w:pPr>
              <w:pStyle w:val="TableParagraph"/>
              <w:spacing w:before="61"/>
              <w:ind w:left="174"/>
              <w:rPr>
                <w:sz w:val="19"/>
              </w:rPr>
            </w:pPr>
            <w:r>
              <w:rPr>
                <w:w w:val="105"/>
                <w:sz w:val="19"/>
              </w:rPr>
              <w:t>Após elaboração do Relatório Digital de Fiscalização, caso constatada situação de irregularidade, lavrar Notificação por:</w:t>
            </w:r>
          </w:p>
        </w:tc>
      </w:tr>
      <w:tr>
        <w:trPr>
          <w:trHeight w:val="984" w:hRule="atLeast"/>
        </w:trPr>
        <w:tc>
          <w:tcPr>
            <w:tcW w:w="3162" w:type="dxa"/>
            <w:gridSpan w:val="3"/>
            <w:shd w:val="clear" w:color="auto" w:fill="00666D"/>
          </w:tcPr>
          <w:p>
            <w:pPr>
              <w:pStyle w:val="TableParagraph"/>
              <w:rPr>
                <w:sz w:val="22"/>
              </w:rPr>
            </w:pPr>
          </w:p>
          <w:p>
            <w:pPr>
              <w:pStyle w:val="TableParagraph"/>
              <w:spacing w:before="4"/>
              <w:rPr>
                <w:sz w:val="23"/>
              </w:rPr>
            </w:pPr>
          </w:p>
          <w:p>
            <w:pPr>
              <w:pStyle w:val="TableParagraph"/>
              <w:spacing w:before="1"/>
              <w:ind w:left="1263" w:right="1393"/>
              <w:jc w:val="center"/>
              <w:rPr>
                <w:sz w:val="19"/>
              </w:rPr>
            </w:pPr>
            <w:r>
              <w:rPr>
                <w:color w:val="FFFFFF"/>
                <w:w w:val="105"/>
                <w:sz w:val="19"/>
              </w:rPr>
              <w:t>- 23 -</w:t>
            </w:r>
          </w:p>
        </w:tc>
        <w:tc>
          <w:tcPr>
            <w:tcW w:w="12393" w:type="dxa"/>
          </w:tcPr>
          <w:p>
            <w:pPr>
              <w:pStyle w:val="TableParagraph"/>
              <w:rPr>
                <w:rFonts w:ascii="Times New Roman"/>
                <w:sz w:val="18"/>
              </w:rPr>
            </w:pPr>
          </w:p>
        </w:tc>
      </w:tr>
    </w:tbl>
    <w:p>
      <w:pPr>
        <w:spacing w:after="0"/>
        <w:rPr>
          <w:rFonts w:ascii="Times New Roman"/>
          <w:sz w:val="18"/>
        </w:rPr>
        <w:sectPr>
          <w:pgSz w:w="16840" w:h="11900" w:orient="landscape"/>
          <w:pgMar w:top="240" w:bottom="0" w:left="140" w:right="860"/>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9"/>
        <w:gridCol w:w="81"/>
        <w:gridCol w:w="1622"/>
        <w:gridCol w:w="12393"/>
      </w:tblGrid>
      <w:tr>
        <w:trPr>
          <w:trHeight w:val="1175" w:hRule="atLeast"/>
        </w:trPr>
        <w:tc>
          <w:tcPr>
            <w:tcW w:w="1459" w:type="dxa"/>
            <w:vMerge w:val="restart"/>
            <w:shd w:val="clear" w:color="auto" w:fill="00666D"/>
          </w:tcPr>
          <w:p>
            <w:pPr>
              <w:pStyle w:val="TableParagraph"/>
              <w:rPr>
                <w:rFonts w:ascii="Times New Roman"/>
                <w:sz w:val="18"/>
              </w:rPr>
            </w:pPr>
          </w:p>
        </w:tc>
        <w:tc>
          <w:tcPr>
            <w:tcW w:w="1703" w:type="dxa"/>
            <w:gridSpan w:val="2"/>
            <w:tcBorders>
              <w:bottom w:val="single" w:sz="4" w:space="0" w:color="A6A6A6"/>
            </w:tcBorders>
            <w:shd w:val="clear" w:color="auto" w:fill="00666D"/>
          </w:tcPr>
          <w:p>
            <w:pPr>
              <w:pStyle w:val="TableParagraph"/>
              <w:rPr>
                <w:rFonts w:ascii="Times New Roman"/>
                <w:sz w:val="18"/>
              </w:rPr>
            </w:pPr>
          </w:p>
        </w:tc>
        <w:tc>
          <w:tcPr>
            <w:tcW w:w="12393" w:type="dxa"/>
          </w:tcPr>
          <w:p>
            <w:pPr>
              <w:pStyle w:val="TableParagraph"/>
              <w:rPr>
                <w:sz w:val="26"/>
              </w:rPr>
            </w:pPr>
          </w:p>
          <w:p>
            <w:pPr>
              <w:pStyle w:val="TableParagraph"/>
              <w:spacing w:before="183"/>
              <w:ind w:left="3853"/>
              <w:rPr>
                <w:rFonts w:ascii="DaxCondensed" w:hAnsi="DaxCondensed"/>
                <w:sz w:val="24"/>
              </w:rPr>
            </w:pPr>
            <w:r>
              <w:rPr>
                <w:rFonts w:ascii="DaxCondensed" w:hAnsi="DaxCondensed"/>
                <w:color w:val="00666D"/>
                <w:sz w:val="24"/>
              </w:rPr>
              <w:t>- Manual de Fiscalização do Exercício da Arquitetura e Urbanismo -</w:t>
            </w:r>
          </w:p>
        </w:tc>
      </w:tr>
      <w:tr>
        <w:trPr>
          <w:trHeight w:val="1041"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4"/>
              <w:ind w:left="110"/>
              <w:rPr>
                <w:sz w:val="19"/>
              </w:rPr>
            </w:pPr>
            <w:r>
              <w:rPr>
                <w:color w:val="FFFFFF"/>
                <w:sz w:val="19"/>
              </w:rPr>
              <w:t>A</w:t>
            </w:r>
            <w:r>
              <w:rPr>
                <w:color w:val="FFFFFF"/>
                <w:sz w:val="16"/>
              </w:rPr>
              <w:t>DMINISTRATIVOS</w:t>
            </w:r>
            <w:r>
              <w:rPr>
                <w:color w:val="FFFFFF"/>
                <w:sz w:val="19"/>
              </w:rPr>
              <w:t>:</w:t>
            </w:r>
          </w:p>
        </w:tc>
        <w:tc>
          <w:tcPr>
            <w:tcW w:w="12393" w:type="dxa"/>
          </w:tcPr>
          <w:p>
            <w:pPr>
              <w:pStyle w:val="TableParagraph"/>
              <w:numPr>
                <w:ilvl w:val="0"/>
                <w:numId w:val="14"/>
              </w:numPr>
              <w:tabs>
                <w:tab w:pos="894" w:val="left" w:leader="none"/>
              </w:tabs>
              <w:spacing w:line="252" w:lineRule="auto" w:before="4" w:after="0"/>
              <w:ind w:left="894" w:right="24" w:hanging="360"/>
              <w:jc w:val="left"/>
              <w:rPr>
                <w:sz w:val="19"/>
              </w:rPr>
            </w:pPr>
            <w:r>
              <w:rPr>
                <w:w w:val="105"/>
                <w:sz w:val="19"/>
              </w:rPr>
              <w:t>ausência de RRT, concedendo prazo de 10 (dez) dias ao arquiteto e urbanista para o efetivo registro do RRT ou abertura de processo de RRT Extemporâneo, conforme o caso;</w:t>
            </w:r>
            <w:r>
              <w:rPr>
                <w:spacing w:val="6"/>
                <w:w w:val="105"/>
                <w:sz w:val="19"/>
              </w:rPr>
              <w:t> </w:t>
            </w:r>
            <w:r>
              <w:rPr>
                <w:w w:val="105"/>
                <w:sz w:val="19"/>
              </w:rPr>
              <w:t>ou</w:t>
            </w:r>
          </w:p>
          <w:p>
            <w:pPr>
              <w:pStyle w:val="TableParagraph"/>
              <w:numPr>
                <w:ilvl w:val="0"/>
                <w:numId w:val="14"/>
              </w:numPr>
              <w:tabs>
                <w:tab w:pos="894" w:val="left" w:leader="none"/>
              </w:tabs>
              <w:spacing w:line="252" w:lineRule="auto" w:before="64" w:after="0"/>
              <w:ind w:left="894" w:right="22" w:hanging="360"/>
              <w:jc w:val="left"/>
              <w:rPr>
                <w:sz w:val="19"/>
              </w:rPr>
            </w:pPr>
            <w:r>
              <w:rPr>
                <w:w w:val="105"/>
                <w:sz w:val="19"/>
              </w:rPr>
              <w:t>exercício ilegal da profissão, concedendo prazo de 10 (dez) dias ao proprietário ou responsável para, quando for o caso, regularização dos serviços por meio de RRT de profissional legalmente</w:t>
            </w:r>
            <w:r>
              <w:rPr>
                <w:spacing w:val="6"/>
                <w:w w:val="105"/>
                <w:sz w:val="19"/>
              </w:rPr>
              <w:t> </w:t>
            </w:r>
            <w:r>
              <w:rPr>
                <w:w w:val="105"/>
                <w:sz w:val="19"/>
              </w:rPr>
              <w:t>habilitado.</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249"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8"/>
              </w:rPr>
            </w:pPr>
          </w:p>
        </w:tc>
        <w:tc>
          <w:tcPr>
            <w:tcW w:w="1622" w:type="dxa"/>
            <w:shd w:val="clear" w:color="auto" w:fill="32666D"/>
          </w:tcPr>
          <w:p>
            <w:pPr>
              <w:pStyle w:val="TableParagraph"/>
              <w:rPr>
                <w:rFonts w:ascii="Times New Roman"/>
                <w:sz w:val="18"/>
              </w:rPr>
            </w:pPr>
          </w:p>
        </w:tc>
        <w:tc>
          <w:tcPr>
            <w:tcW w:w="12393" w:type="dxa"/>
            <w:shd w:val="clear" w:color="auto" w:fill="32666D"/>
          </w:tcPr>
          <w:p>
            <w:pPr>
              <w:pStyle w:val="TableParagraph"/>
              <w:spacing w:line="201" w:lineRule="exact" w:before="28"/>
              <w:ind w:left="142"/>
              <w:rPr>
                <w:sz w:val="16"/>
              </w:rPr>
            </w:pPr>
            <w:r>
              <w:rPr>
                <w:b/>
                <w:color w:val="FFFFFF"/>
                <w:spacing w:val="12"/>
                <w:sz w:val="19"/>
              </w:rPr>
              <w:t>13. </w:t>
            </w:r>
            <w:r>
              <w:rPr>
                <w:color w:val="FFFFFF"/>
                <w:sz w:val="19"/>
              </w:rPr>
              <w:t>M</w:t>
            </w:r>
            <w:r>
              <w:rPr>
                <w:color w:val="FFFFFF"/>
                <w:sz w:val="16"/>
              </w:rPr>
              <w:t>ANUTENÇÃO</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81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61"/>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line="252" w:lineRule="auto" w:before="66"/>
              <w:ind w:left="217" w:right="22"/>
              <w:jc w:val="both"/>
              <w:rPr>
                <w:sz w:val="19"/>
              </w:rPr>
            </w:pPr>
            <w:r>
              <w:rPr>
                <w:w w:val="105"/>
                <w:sz w:val="19"/>
              </w:rPr>
              <w:t>Arquitetura das edificações; sistemas construtivos e estruturais; conforto ambiental; arquitetura de interiores; instalações e</w:t>
            </w:r>
            <w:r>
              <w:rPr>
                <w:spacing w:val="55"/>
                <w:w w:val="105"/>
                <w:sz w:val="19"/>
              </w:rPr>
              <w:t> </w:t>
            </w:r>
            <w:r>
              <w:rPr>
                <w:w w:val="105"/>
                <w:sz w:val="19"/>
              </w:rPr>
              <w:t>equipamentos referentes à arquitetura e urbanismo; urbanismo e desenho urbano; arquitetura paisagística; patrimônio arquitetônico, urbanístico e</w:t>
            </w:r>
            <w:r>
              <w:rPr>
                <w:spacing w:val="2"/>
                <w:w w:val="105"/>
                <w:sz w:val="19"/>
              </w:rPr>
              <w:t> </w:t>
            </w:r>
            <w:r>
              <w:rPr>
                <w:w w:val="105"/>
                <w:sz w:val="19"/>
              </w:rPr>
              <w:t>paisagístico.</w:t>
            </w:r>
          </w:p>
        </w:tc>
      </w:tr>
      <w:tr>
        <w:trPr>
          <w:trHeight w:val="35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61"/>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before="61"/>
              <w:ind w:left="217"/>
              <w:rPr>
                <w:sz w:val="19"/>
              </w:rPr>
            </w:pPr>
            <w:r>
              <w:rPr>
                <w:w w:val="105"/>
                <w:sz w:val="19"/>
              </w:rPr>
              <w:t>Verificar a existência de responsável técnico pela autoria e/ou execução por meio do(s) RRT pertinente(s).</w:t>
            </w:r>
          </w:p>
        </w:tc>
      </w:tr>
      <w:tr>
        <w:trPr>
          <w:trHeight w:val="191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line="252" w:lineRule="auto" w:before="66"/>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before="61"/>
              <w:ind w:left="217"/>
              <w:rPr>
                <w:sz w:val="19"/>
              </w:rPr>
            </w:pPr>
            <w:r>
              <w:rPr>
                <w:w w:val="105"/>
                <w:sz w:val="19"/>
              </w:rPr>
              <w:t>Após elaboração do Relatório Digital de Fiscalização, caso constatada situação de irregularidade, lavrar Notificação por:</w:t>
            </w:r>
          </w:p>
          <w:p>
            <w:pPr>
              <w:pStyle w:val="TableParagraph"/>
              <w:numPr>
                <w:ilvl w:val="0"/>
                <w:numId w:val="15"/>
              </w:numPr>
              <w:tabs>
                <w:tab w:pos="938" w:val="left" w:leader="none"/>
              </w:tabs>
              <w:spacing w:line="252" w:lineRule="auto" w:before="75" w:after="0"/>
              <w:ind w:left="937" w:right="22" w:hanging="360"/>
              <w:jc w:val="left"/>
              <w:rPr>
                <w:sz w:val="19"/>
              </w:rPr>
            </w:pPr>
            <w:r>
              <w:rPr>
                <w:w w:val="105"/>
                <w:sz w:val="19"/>
              </w:rPr>
              <w:t>ausência de RRT, concedendo prazo de 10 (dez) dias ao arquiteto e urbanista para o efetivo registro do RRT ou abertura de processo de RRT Extemporâneo, conforme o caso;</w:t>
            </w:r>
            <w:r>
              <w:rPr>
                <w:spacing w:val="6"/>
                <w:w w:val="105"/>
                <w:sz w:val="19"/>
              </w:rPr>
              <w:t> </w:t>
            </w:r>
            <w:r>
              <w:rPr>
                <w:w w:val="105"/>
                <w:sz w:val="19"/>
              </w:rPr>
              <w:t>ou</w:t>
            </w:r>
          </w:p>
          <w:p>
            <w:pPr>
              <w:pStyle w:val="TableParagraph"/>
              <w:numPr>
                <w:ilvl w:val="0"/>
                <w:numId w:val="15"/>
              </w:numPr>
              <w:tabs>
                <w:tab w:pos="938" w:val="left" w:leader="none"/>
              </w:tabs>
              <w:spacing w:line="252" w:lineRule="auto" w:before="59" w:after="0"/>
              <w:ind w:left="937" w:right="25" w:hanging="360"/>
              <w:jc w:val="left"/>
              <w:rPr>
                <w:sz w:val="19"/>
              </w:rPr>
            </w:pPr>
            <w:r>
              <w:rPr>
                <w:w w:val="105"/>
                <w:sz w:val="19"/>
              </w:rPr>
              <w:t>exercício ilegal da profissão, concedendo prazo de 10 (dez) dias ao proprietário ou responsável para, quando for o caso, regularização dos serviços por meio de RRT de profissional legalmente</w:t>
            </w:r>
            <w:r>
              <w:rPr>
                <w:spacing w:val="6"/>
                <w:w w:val="105"/>
                <w:sz w:val="19"/>
              </w:rPr>
              <w:t> </w:t>
            </w:r>
            <w:r>
              <w:rPr>
                <w:w w:val="105"/>
                <w:sz w:val="19"/>
              </w:rPr>
              <w:t>habilitado.</w:t>
            </w:r>
          </w:p>
          <w:p>
            <w:pPr>
              <w:pStyle w:val="TableParagraph"/>
              <w:spacing w:line="252" w:lineRule="auto" w:before="65"/>
              <w:ind w:left="217" w:right="87"/>
              <w:rPr>
                <w:sz w:val="19"/>
              </w:rPr>
            </w:pPr>
            <w:r>
              <w:rPr>
                <w:w w:val="105"/>
                <w:sz w:val="19"/>
              </w:rPr>
              <w:t>* Deve ser considerado válido como documento de regularidade das atividades acima o registro de ART do CREA nos casos previstos na legislação vigente, para as atividades no âmbito das edificações e</w:t>
            </w:r>
            <w:r>
              <w:rPr>
                <w:spacing w:val="9"/>
                <w:w w:val="105"/>
                <w:sz w:val="19"/>
              </w:rPr>
              <w:t> </w:t>
            </w:r>
            <w:r>
              <w:rPr>
                <w:w w:val="105"/>
                <w:sz w:val="19"/>
              </w:rPr>
              <w:t>estruturas.</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230"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spacing w:line="206" w:lineRule="exact" w:before="4"/>
              <w:ind w:left="142"/>
              <w:rPr>
                <w:sz w:val="16"/>
              </w:rPr>
            </w:pPr>
            <w:r>
              <w:rPr>
                <w:color w:val="FFFFFF"/>
                <w:sz w:val="19"/>
              </w:rPr>
              <w:t>14. G</w:t>
            </w:r>
            <w:r>
              <w:rPr>
                <w:color w:val="FFFFFF"/>
                <w:sz w:val="16"/>
              </w:rPr>
              <w:t>ESTÃO</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81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4"/>
              <w:rPr>
                <w:sz w:val="25"/>
              </w:rPr>
            </w:pPr>
          </w:p>
          <w:p>
            <w:pPr>
              <w:pStyle w:val="TableParagraph"/>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line="252" w:lineRule="auto" w:before="66"/>
              <w:ind w:left="174" w:right="23"/>
              <w:jc w:val="both"/>
              <w:rPr>
                <w:sz w:val="19"/>
              </w:rPr>
            </w:pPr>
            <w:r>
              <w:rPr>
                <w:w w:val="105"/>
                <w:sz w:val="19"/>
              </w:rPr>
              <w:t>Coordenação e compatibilização de projetos; supervisão de obra ou serviço técnico; direção ou condução de obra ou serviço técnico; gerenciamento de obra ou serviço técnico; acompanhamento de obra ou serviço técnico; fiscalização de obra ou serviço técnico; desempenho de cargo ou função técnica.</w:t>
            </w:r>
          </w:p>
        </w:tc>
      </w:tr>
      <w:tr>
        <w:trPr>
          <w:trHeight w:val="35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61"/>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before="61"/>
              <w:ind w:left="174"/>
              <w:rPr>
                <w:sz w:val="19"/>
              </w:rPr>
            </w:pPr>
            <w:r>
              <w:rPr>
                <w:w w:val="105"/>
                <w:sz w:val="19"/>
              </w:rPr>
              <w:t>Verificar a existência de responsável técnico pela autoria e/ou execução por meio do(s) RRT pertinente(s).</w:t>
            </w:r>
          </w:p>
        </w:tc>
      </w:tr>
      <w:tr>
        <w:trPr>
          <w:trHeight w:val="1391"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spacing w:before="9"/>
              <w:rPr>
                <w:sz w:val="18"/>
              </w:rPr>
            </w:pPr>
          </w:p>
          <w:p>
            <w:pPr>
              <w:pStyle w:val="TableParagraph"/>
              <w:spacing w:line="252" w:lineRule="auto"/>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before="61"/>
              <w:ind w:left="174"/>
              <w:rPr>
                <w:sz w:val="19"/>
              </w:rPr>
            </w:pPr>
            <w:r>
              <w:rPr>
                <w:w w:val="105"/>
                <w:sz w:val="19"/>
              </w:rPr>
              <w:t>Após elaboração do Relatório Digital de Fiscalização, caso constatada situação de irregularidade, lavrar Notificação por:</w:t>
            </w:r>
          </w:p>
          <w:p>
            <w:pPr>
              <w:pStyle w:val="TableParagraph"/>
              <w:numPr>
                <w:ilvl w:val="0"/>
                <w:numId w:val="16"/>
              </w:numPr>
              <w:tabs>
                <w:tab w:pos="894" w:val="left" w:leader="none"/>
              </w:tabs>
              <w:spacing w:line="252" w:lineRule="auto" w:before="75" w:after="0"/>
              <w:ind w:left="894" w:right="24" w:hanging="360"/>
              <w:jc w:val="left"/>
              <w:rPr>
                <w:sz w:val="19"/>
              </w:rPr>
            </w:pPr>
            <w:r>
              <w:rPr>
                <w:w w:val="105"/>
                <w:sz w:val="19"/>
              </w:rPr>
              <w:t>ausência de RRT, concedendo prazo de 10 (dez) dias ao arquiteto e urbanista para o efetivo registro do RRT ou abertura de processo de RRT Extemporâneo, conforme o caso;</w:t>
            </w:r>
            <w:r>
              <w:rPr>
                <w:spacing w:val="6"/>
                <w:w w:val="105"/>
                <w:sz w:val="19"/>
              </w:rPr>
              <w:t> </w:t>
            </w:r>
            <w:r>
              <w:rPr>
                <w:w w:val="105"/>
                <w:sz w:val="19"/>
              </w:rPr>
              <w:t>ou</w:t>
            </w:r>
          </w:p>
          <w:p>
            <w:pPr>
              <w:pStyle w:val="TableParagraph"/>
              <w:numPr>
                <w:ilvl w:val="0"/>
                <w:numId w:val="16"/>
              </w:numPr>
              <w:tabs>
                <w:tab w:pos="894" w:val="left" w:leader="none"/>
              </w:tabs>
              <w:spacing w:line="252" w:lineRule="auto" w:before="59" w:after="0"/>
              <w:ind w:left="894" w:right="22" w:hanging="360"/>
              <w:jc w:val="left"/>
              <w:rPr>
                <w:sz w:val="19"/>
              </w:rPr>
            </w:pPr>
            <w:r>
              <w:rPr>
                <w:w w:val="105"/>
                <w:sz w:val="19"/>
              </w:rPr>
              <w:t>exercício ilegal da profissão, concedendo prazo de 10 (dez) dias ao proprietário ou responsável para, quando for o caso, regularização dos serviços por meio de RRT de profissional legalmente</w:t>
            </w:r>
            <w:r>
              <w:rPr>
                <w:spacing w:val="6"/>
                <w:w w:val="105"/>
                <w:sz w:val="19"/>
              </w:rPr>
              <w:t> </w:t>
            </w:r>
            <w:r>
              <w:rPr>
                <w:w w:val="105"/>
                <w:sz w:val="19"/>
              </w:rPr>
              <w:t>habilitado.</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230"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spacing w:line="206" w:lineRule="exact" w:before="4"/>
              <w:ind w:left="142"/>
              <w:rPr>
                <w:sz w:val="16"/>
              </w:rPr>
            </w:pPr>
            <w:r>
              <w:rPr>
                <w:color w:val="FFFFFF"/>
                <w:sz w:val="19"/>
              </w:rPr>
              <w:t>15. G</w:t>
            </w:r>
            <w:r>
              <w:rPr>
                <w:color w:val="FFFFFF"/>
                <w:sz w:val="16"/>
              </w:rPr>
              <w:t>EORREFERENCIAMENTO E </w:t>
            </w:r>
            <w:r>
              <w:rPr>
                <w:color w:val="FFFFFF"/>
                <w:sz w:val="19"/>
              </w:rPr>
              <w:t>T</w:t>
            </w:r>
            <w:r>
              <w:rPr>
                <w:color w:val="FFFFFF"/>
                <w:sz w:val="16"/>
              </w:rPr>
              <w:t>OPOGRAFIA</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805"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4"/>
              <w:rPr>
                <w:sz w:val="25"/>
              </w:rPr>
            </w:pPr>
          </w:p>
          <w:p>
            <w:pPr>
              <w:pStyle w:val="TableParagraph"/>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line="249" w:lineRule="auto" w:before="66"/>
              <w:ind w:left="174" w:right="24"/>
              <w:jc w:val="both"/>
              <w:rPr>
                <w:sz w:val="19"/>
              </w:rPr>
            </w:pPr>
            <w:r>
              <w:rPr>
                <w:w w:val="105"/>
                <w:sz w:val="19"/>
              </w:rPr>
              <w:t>Topografia, elaboração e interpretação de levantamentos topográficos cadastrais para a realização de projetos de arquitetura, de urbanismo e de paisagismo, fotointerpretação, leitura, interpretação e análise de dados e informações topográficas e sensoriamento remoto.</w:t>
            </w:r>
          </w:p>
        </w:tc>
      </w:tr>
      <w:tr>
        <w:trPr>
          <w:trHeight w:val="1224" w:hRule="atLeast"/>
        </w:trPr>
        <w:tc>
          <w:tcPr>
            <w:tcW w:w="3162" w:type="dxa"/>
            <w:gridSpan w:val="3"/>
            <w:shd w:val="clear" w:color="auto" w:fill="00666D"/>
          </w:tcPr>
          <w:p>
            <w:pPr>
              <w:pStyle w:val="TableParagraph"/>
              <w:rPr>
                <w:sz w:val="22"/>
              </w:rPr>
            </w:pPr>
          </w:p>
          <w:p>
            <w:pPr>
              <w:pStyle w:val="TableParagraph"/>
              <w:rPr>
                <w:sz w:val="22"/>
              </w:rPr>
            </w:pPr>
          </w:p>
          <w:p>
            <w:pPr>
              <w:pStyle w:val="TableParagraph"/>
              <w:spacing w:before="3"/>
              <w:rPr>
                <w:sz w:val="22"/>
              </w:rPr>
            </w:pPr>
          </w:p>
          <w:p>
            <w:pPr>
              <w:pStyle w:val="TableParagraph"/>
              <w:ind w:left="1263" w:right="1393"/>
              <w:jc w:val="center"/>
              <w:rPr>
                <w:sz w:val="19"/>
              </w:rPr>
            </w:pPr>
            <w:r>
              <w:rPr>
                <w:color w:val="FFFFFF"/>
                <w:w w:val="105"/>
                <w:sz w:val="19"/>
              </w:rPr>
              <w:t>- 24 -</w:t>
            </w:r>
          </w:p>
        </w:tc>
        <w:tc>
          <w:tcPr>
            <w:tcW w:w="12393" w:type="dxa"/>
          </w:tcPr>
          <w:p>
            <w:pPr>
              <w:pStyle w:val="TableParagraph"/>
              <w:rPr>
                <w:rFonts w:ascii="Times New Roman"/>
                <w:sz w:val="18"/>
              </w:rPr>
            </w:pPr>
          </w:p>
        </w:tc>
      </w:tr>
    </w:tbl>
    <w:p>
      <w:pPr>
        <w:spacing w:after="0"/>
        <w:rPr>
          <w:rFonts w:ascii="Times New Roman"/>
          <w:sz w:val="18"/>
        </w:rPr>
        <w:sectPr>
          <w:pgSz w:w="16840" w:h="11900" w:orient="landscape"/>
          <w:pgMar w:top="240" w:bottom="0" w:left="140" w:right="860"/>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9"/>
        <w:gridCol w:w="81"/>
        <w:gridCol w:w="1622"/>
        <w:gridCol w:w="12393"/>
      </w:tblGrid>
      <w:tr>
        <w:trPr>
          <w:trHeight w:val="1175" w:hRule="atLeast"/>
        </w:trPr>
        <w:tc>
          <w:tcPr>
            <w:tcW w:w="1459" w:type="dxa"/>
            <w:vMerge w:val="restart"/>
            <w:shd w:val="clear" w:color="auto" w:fill="00666D"/>
          </w:tcPr>
          <w:p>
            <w:pPr>
              <w:pStyle w:val="TableParagraph"/>
              <w:rPr>
                <w:rFonts w:ascii="Times New Roman"/>
                <w:sz w:val="18"/>
              </w:rPr>
            </w:pPr>
          </w:p>
        </w:tc>
        <w:tc>
          <w:tcPr>
            <w:tcW w:w="1703" w:type="dxa"/>
            <w:gridSpan w:val="2"/>
            <w:tcBorders>
              <w:bottom w:val="single" w:sz="4" w:space="0" w:color="A6A6A6"/>
            </w:tcBorders>
            <w:shd w:val="clear" w:color="auto" w:fill="00666D"/>
          </w:tcPr>
          <w:p>
            <w:pPr>
              <w:pStyle w:val="TableParagraph"/>
              <w:rPr>
                <w:rFonts w:ascii="Times New Roman"/>
                <w:sz w:val="18"/>
              </w:rPr>
            </w:pPr>
          </w:p>
        </w:tc>
        <w:tc>
          <w:tcPr>
            <w:tcW w:w="12393" w:type="dxa"/>
          </w:tcPr>
          <w:p>
            <w:pPr>
              <w:pStyle w:val="TableParagraph"/>
              <w:rPr>
                <w:sz w:val="26"/>
              </w:rPr>
            </w:pPr>
          </w:p>
          <w:p>
            <w:pPr>
              <w:pStyle w:val="TableParagraph"/>
              <w:spacing w:before="183"/>
              <w:ind w:left="3853"/>
              <w:rPr>
                <w:rFonts w:ascii="DaxCondensed" w:hAnsi="DaxCondensed"/>
                <w:sz w:val="24"/>
              </w:rPr>
            </w:pPr>
            <w:r>
              <w:rPr>
                <w:rFonts w:ascii="DaxCondensed" w:hAnsi="DaxCondensed"/>
                <w:color w:val="00666D"/>
                <w:sz w:val="24"/>
              </w:rPr>
              <w:t>- Manual de Fiscalização do Exercício da Arquitetura e Urbanismo -</w:t>
            </w:r>
          </w:p>
        </w:tc>
      </w:tr>
      <w:tr>
        <w:trPr>
          <w:trHeight w:val="34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61"/>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before="61"/>
              <w:ind w:left="174"/>
              <w:rPr>
                <w:sz w:val="19"/>
              </w:rPr>
            </w:pPr>
            <w:r>
              <w:rPr>
                <w:w w:val="105"/>
                <w:sz w:val="19"/>
              </w:rPr>
              <w:t>Verificar a existência de responsável técnico pela autoria e/ou execução por meio do(s) RRT pertinente(s)*.</w:t>
            </w:r>
          </w:p>
        </w:tc>
      </w:tr>
      <w:tr>
        <w:trPr>
          <w:trHeight w:val="191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rPr>
                <w:sz w:val="22"/>
              </w:rPr>
            </w:pPr>
          </w:p>
          <w:p>
            <w:pPr>
              <w:pStyle w:val="TableParagraph"/>
              <w:spacing w:before="9"/>
              <w:rPr>
                <w:sz w:val="19"/>
              </w:rPr>
            </w:pPr>
          </w:p>
          <w:p>
            <w:pPr>
              <w:pStyle w:val="TableParagraph"/>
              <w:spacing w:line="247" w:lineRule="auto"/>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before="61"/>
              <w:ind w:left="174"/>
              <w:rPr>
                <w:sz w:val="19"/>
              </w:rPr>
            </w:pPr>
            <w:r>
              <w:rPr>
                <w:w w:val="105"/>
                <w:sz w:val="19"/>
              </w:rPr>
              <w:t>Após elaboração do Relatório Digital de Fiscalização, caso constatada situação de irregularidade, lavrar Notificação por:</w:t>
            </w:r>
          </w:p>
          <w:p>
            <w:pPr>
              <w:pStyle w:val="TableParagraph"/>
              <w:numPr>
                <w:ilvl w:val="0"/>
                <w:numId w:val="17"/>
              </w:numPr>
              <w:tabs>
                <w:tab w:pos="894" w:val="left" w:leader="none"/>
              </w:tabs>
              <w:spacing w:line="252" w:lineRule="auto" w:before="75" w:after="0"/>
              <w:ind w:left="894" w:right="25" w:hanging="360"/>
              <w:jc w:val="left"/>
              <w:rPr>
                <w:sz w:val="19"/>
              </w:rPr>
            </w:pPr>
            <w:r>
              <w:rPr>
                <w:w w:val="105"/>
                <w:sz w:val="19"/>
              </w:rPr>
              <w:t>ausência de RRT, concedendo prazo de 10 (dez) dias ao arquiteto e urbanista para o efetivo registro do RRT ou abertura de processo de RRT Extemporâneo, conforme o caso;</w:t>
            </w:r>
            <w:r>
              <w:rPr>
                <w:spacing w:val="6"/>
                <w:w w:val="105"/>
                <w:sz w:val="19"/>
              </w:rPr>
              <w:t> </w:t>
            </w:r>
            <w:r>
              <w:rPr>
                <w:w w:val="105"/>
                <w:sz w:val="19"/>
              </w:rPr>
              <w:t>ou</w:t>
            </w:r>
          </w:p>
          <w:p>
            <w:pPr>
              <w:pStyle w:val="TableParagraph"/>
              <w:numPr>
                <w:ilvl w:val="0"/>
                <w:numId w:val="17"/>
              </w:numPr>
              <w:tabs>
                <w:tab w:pos="894" w:val="left" w:leader="none"/>
              </w:tabs>
              <w:spacing w:line="252" w:lineRule="auto" w:before="64" w:after="0"/>
              <w:ind w:left="894" w:right="22" w:hanging="360"/>
              <w:jc w:val="left"/>
              <w:rPr>
                <w:sz w:val="19"/>
              </w:rPr>
            </w:pPr>
            <w:r>
              <w:rPr>
                <w:w w:val="105"/>
                <w:sz w:val="19"/>
              </w:rPr>
              <w:t>exercício ilegal da profissão, concedendo prazo de 10 (dez) dias ao proprietário ou responsável para, quando for o caso, regularização dos serviços por meio de RRT de profissional legalmente</w:t>
            </w:r>
            <w:r>
              <w:rPr>
                <w:spacing w:val="6"/>
                <w:w w:val="105"/>
                <w:sz w:val="19"/>
              </w:rPr>
              <w:t> </w:t>
            </w:r>
            <w:r>
              <w:rPr>
                <w:w w:val="105"/>
                <w:sz w:val="19"/>
              </w:rPr>
              <w:t>habilitado.</w:t>
            </w:r>
          </w:p>
          <w:p>
            <w:pPr>
              <w:pStyle w:val="TableParagraph"/>
              <w:spacing w:line="252" w:lineRule="auto" w:before="60"/>
              <w:ind w:left="174" w:right="87"/>
              <w:rPr>
                <w:sz w:val="19"/>
              </w:rPr>
            </w:pPr>
            <w:r>
              <w:rPr>
                <w:w w:val="105"/>
                <w:sz w:val="19"/>
              </w:rPr>
              <w:t>* Deve ser considerado válido como documento de regularidade das atividades acima o registro de ART do CREA nos casos previstos</w:t>
            </w:r>
            <w:r>
              <w:rPr>
                <w:spacing w:val="55"/>
                <w:w w:val="105"/>
                <w:sz w:val="19"/>
              </w:rPr>
              <w:t> </w:t>
            </w:r>
            <w:r>
              <w:rPr>
                <w:w w:val="105"/>
                <w:sz w:val="19"/>
              </w:rPr>
              <w:t>na legislação</w:t>
            </w:r>
            <w:r>
              <w:rPr>
                <w:spacing w:val="2"/>
                <w:w w:val="105"/>
                <w:sz w:val="19"/>
              </w:rPr>
              <w:t> </w:t>
            </w:r>
            <w:r>
              <w:rPr>
                <w:w w:val="105"/>
                <w:sz w:val="19"/>
              </w:rPr>
              <w:t>vigente.</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230"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spacing w:line="206" w:lineRule="exact" w:before="4"/>
              <w:ind w:left="142"/>
              <w:rPr>
                <w:sz w:val="16"/>
              </w:rPr>
            </w:pPr>
            <w:r>
              <w:rPr>
                <w:color w:val="FFFFFF"/>
                <w:sz w:val="19"/>
              </w:rPr>
              <w:t>16. M</w:t>
            </w:r>
            <w:r>
              <w:rPr>
                <w:color w:val="FFFFFF"/>
                <w:sz w:val="16"/>
              </w:rPr>
              <w:t>EIO </w:t>
            </w:r>
            <w:r>
              <w:rPr>
                <w:color w:val="FFFFFF"/>
                <w:sz w:val="19"/>
              </w:rPr>
              <w:t>A</w:t>
            </w:r>
            <w:r>
              <w:rPr>
                <w:color w:val="FFFFFF"/>
                <w:sz w:val="16"/>
              </w:rPr>
              <w:t>MBIENTE</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58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176"/>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line="252" w:lineRule="auto" w:before="66"/>
              <w:ind w:left="174"/>
              <w:rPr>
                <w:sz w:val="19"/>
              </w:rPr>
            </w:pPr>
            <w:r>
              <w:rPr>
                <w:w w:val="105"/>
                <w:sz w:val="19"/>
              </w:rPr>
              <w:t>Estudo e avaliação dos impactos ambientais, licenciamento ambiental, utilização racional dos recursos disponíveis e desenvolvimento sustentável, utilizando-se de planos, relatórios, zoneamentos e diagnósticos.</w:t>
            </w:r>
          </w:p>
        </w:tc>
      </w:tr>
      <w:tr>
        <w:trPr>
          <w:trHeight w:val="35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61"/>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before="61"/>
              <w:ind w:left="174"/>
              <w:rPr>
                <w:sz w:val="19"/>
              </w:rPr>
            </w:pPr>
            <w:r>
              <w:rPr>
                <w:w w:val="105"/>
                <w:sz w:val="19"/>
              </w:rPr>
              <w:t>Verificar a existência de responsável técnico pela autoria e/ou execução por meio do(s) RRT pertinente(s).</w:t>
            </w:r>
          </w:p>
        </w:tc>
      </w:tr>
      <w:tr>
        <w:trPr>
          <w:trHeight w:val="1391"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spacing w:before="2"/>
              <w:rPr>
                <w:sz w:val="19"/>
              </w:rPr>
            </w:pPr>
          </w:p>
          <w:p>
            <w:pPr>
              <w:pStyle w:val="TableParagraph"/>
              <w:spacing w:line="247" w:lineRule="auto" w:before="1"/>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before="61"/>
              <w:ind w:left="174"/>
              <w:rPr>
                <w:sz w:val="19"/>
              </w:rPr>
            </w:pPr>
            <w:r>
              <w:rPr>
                <w:w w:val="105"/>
                <w:sz w:val="19"/>
              </w:rPr>
              <w:t>Após elaboração do Relatório Digital de Fiscalização, caso constatada situação de irregularidade, lavrar Notificação por:</w:t>
            </w:r>
          </w:p>
          <w:p>
            <w:pPr>
              <w:pStyle w:val="TableParagraph"/>
              <w:numPr>
                <w:ilvl w:val="0"/>
                <w:numId w:val="18"/>
              </w:numPr>
              <w:tabs>
                <w:tab w:pos="894" w:val="left" w:leader="none"/>
              </w:tabs>
              <w:spacing w:line="252" w:lineRule="auto" w:before="75" w:after="0"/>
              <w:ind w:left="894" w:right="26" w:hanging="360"/>
              <w:jc w:val="left"/>
              <w:rPr>
                <w:sz w:val="19"/>
              </w:rPr>
            </w:pPr>
            <w:r>
              <w:rPr>
                <w:w w:val="105"/>
                <w:sz w:val="19"/>
              </w:rPr>
              <w:t>ausência de RRT, concedendo prazo de 10 (dez) dias ao arquiteto e urbanista para o efetivo registro do RRT ou abertura de processo de RRT Extemporâneo, conforme o caso;</w:t>
            </w:r>
            <w:r>
              <w:rPr>
                <w:spacing w:val="6"/>
                <w:w w:val="105"/>
                <w:sz w:val="19"/>
              </w:rPr>
              <w:t> </w:t>
            </w:r>
            <w:r>
              <w:rPr>
                <w:w w:val="105"/>
                <w:sz w:val="19"/>
              </w:rPr>
              <w:t>ou</w:t>
            </w:r>
          </w:p>
          <w:p>
            <w:pPr>
              <w:pStyle w:val="TableParagraph"/>
              <w:numPr>
                <w:ilvl w:val="0"/>
                <w:numId w:val="18"/>
              </w:numPr>
              <w:tabs>
                <w:tab w:pos="894" w:val="left" w:leader="none"/>
              </w:tabs>
              <w:spacing w:line="252" w:lineRule="auto" w:before="64" w:after="0"/>
              <w:ind w:left="894" w:right="22" w:hanging="360"/>
              <w:jc w:val="left"/>
              <w:rPr>
                <w:sz w:val="19"/>
              </w:rPr>
            </w:pPr>
            <w:r>
              <w:rPr>
                <w:w w:val="105"/>
                <w:sz w:val="19"/>
              </w:rPr>
              <w:t>exercício ilegal da profissão, concedendo prazo de 10 (dez) dias ao proprietário ou responsável para, quando for o caso, regularização dos serviços por meio de RRT de profissional legalmente</w:t>
            </w:r>
            <w:r>
              <w:rPr>
                <w:spacing w:val="6"/>
                <w:w w:val="105"/>
                <w:sz w:val="19"/>
              </w:rPr>
              <w:t> </w:t>
            </w:r>
            <w:r>
              <w:rPr>
                <w:w w:val="105"/>
                <w:sz w:val="19"/>
              </w:rPr>
              <w:t>habilitado.</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230"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spacing w:line="206" w:lineRule="exact" w:before="4"/>
              <w:ind w:left="142"/>
              <w:rPr>
                <w:sz w:val="16"/>
              </w:rPr>
            </w:pPr>
            <w:r>
              <w:rPr>
                <w:color w:val="FFFFFF"/>
                <w:sz w:val="19"/>
              </w:rPr>
              <w:t>17. P</w:t>
            </w:r>
            <w:r>
              <w:rPr>
                <w:color w:val="FFFFFF"/>
                <w:sz w:val="16"/>
              </w:rPr>
              <w:t>LANEJAMENTO </w:t>
            </w:r>
            <w:r>
              <w:rPr>
                <w:color w:val="FFFFFF"/>
                <w:sz w:val="19"/>
              </w:rPr>
              <w:t>U</w:t>
            </w:r>
            <w:r>
              <w:rPr>
                <w:color w:val="FFFFFF"/>
                <w:sz w:val="16"/>
              </w:rPr>
              <w:t>RBANO</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1497"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rPr>
                <w:sz w:val="22"/>
              </w:rPr>
            </w:pPr>
          </w:p>
          <w:p>
            <w:pPr>
              <w:pStyle w:val="TableParagraph"/>
              <w:spacing w:before="131"/>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line="252" w:lineRule="auto" w:before="66"/>
              <w:ind w:left="174" w:right="24"/>
              <w:jc w:val="both"/>
              <w:rPr>
                <w:sz w:val="19"/>
              </w:rPr>
            </w:pPr>
            <w:r>
              <w:rPr>
                <w:w w:val="105"/>
                <w:sz w:val="19"/>
              </w:rPr>
              <w:t>Método de atuação no ambiente urbano baseado em processos de produção, estruturação e apropriação do espaço urbano, sendo abrangido pelas atividades técnicas de levantamento ou inventário urbano; diagnóstico físico-territorial, socioeconômico e ambiental; planejamento setorial urbano; plano de intervenção local; planos diretores; plano de saneamento básico ambiental; plano diretor de drenagem pluvial; plano diretor de mobilidade e transporte; plano diretor de desenvolvimento integrado do turismo sustentável; plano de habitação de interesse social; plano de regularização fundiária; análise e aplicação dos instrumentos do estatuto das cidades; plano ou traçado de cidade; plano de requalificação urbana.</w:t>
            </w:r>
          </w:p>
        </w:tc>
      </w:tr>
      <w:tr>
        <w:trPr>
          <w:trHeight w:val="35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66"/>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before="66"/>
              <w:ind w:left="174"/>
              <w:rPr>
                <w:sz w:val="19"/>
              </w:rPr>
            </w:pPr>
            <w:r>
              <w:rPr>
                <w:w w:val="105"/>
                <w:sz w:val="19"/>
              </w:rPr>
              <w:t>Verificar a existência de responsável técnico pela autoria e/ou execução por meio do(s) RRT pertinente(s).</w:t>
            </w:r>
          </w:p>
        </w:tc>
      </w:tr>
      <w:tr>
        <w:trPr>
          <w:trHeight w:val="1391"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spacing w:before="2"/>
              <w:rPr>
                <w:sz w:val="19"/>
              </w:rPr>
            </w:pPr>
          </w:p>
          <w:p>
            <w:pPr>
              <w:pStyle w:val="TableParagraph"/>
              <w:spacing w:line="247" w:lineRule="auto" w:before="1"/>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before="66"/>
              <w:ind w:left="174"/>
              <w:rPr>
                <w:sz w:val="19"/>
              </w:rPr>
            </w:pPr>
            <w:r>
              <w:rPr>
                <w:w w:val="105"/>
                <w:sz w:val="19"/>
              </w:rPr>
              <w:t>Após elaboração do Relatório Digital de Fiscalização, caso constatada situação de irregularidade, lavrar Notificação por:</w:t>
            </w:r>
          </w:p>
          <w:p>
            <w:pPr>
              <w:pStyle w:val="TableParagraph"/>
              <w:numPr>
                <w:ilvl w:val="0"/>
                <w:numId w:val="19"/>
              </w:numPr>
              <w:tabs>
                <w:tab w:pos="894" w:val="left" w:leader="none"/>
              </w:tabs>
              <w:spacing w:line="252" w:lineRule="auto" w:before="70" w:after="0"/>
              <w:ind w:left="894" w:right="24" w:hanging="360"/>
              <w:jc w:val="left"/>
              <w:rPr>
                <w:sz w:val="19"/>
              </w:rPr>
            </w:pPr>
            <w:r>
              <w:rPr>
                <w:w w:val="105"/>
                <w:sz w:val="19"/>
              </w:rPr>
              <w:t>ausência de RRT, concedendo prazo de 10 (dez) dias ao arquiteto e urbanista para o efetivo registro do RRT ou abertura de processo de RRT Extemporâneo, conforme o caso;</w:t>
            </w:r>
            <w:r>
              <w:rPr>
                <w:spacing w:val="6"/>
                <w:w w:val="105"/>
                <w:sz w:val="19"/>
              </w:rPr>
              <w:t> </w:t>
            </w:r>
            <w:r>
              <w:rPr>
                <w:w w:val="105"/>
                <w:sz w:val="19"/>
              </w:rPr>
              <w:t>ou</w:t>
            </w:r>
          </w:p>
          <w:p>
            <w:pPr>
              <w:pStyle w:val="TableParagraph"/>
              <w:numPr>
                <w:ilvl w:val="0"/>
                <w:numId w:val="19"/>
              </w:numPr>
              <w:tabs>
                <w:tab w:pos="894" w:val="left" w:leader="none"/>
              </w:tabs>
              <w:spacing w:line="252" w:lineRule="auto" w:before="64" w:after="0"/>
              <w:ind w:left="894" w:right="23" w:hanging="360"/>
              <w:jc w:val="left"/>
              <w:rPr>
                <w:sz w:val="19"/>
              </w:rPr>
            </w:pPr>
            <w:r>
              <w:rPr>
                <w:w w:val="105"/>
                <w:sz w:val="19"/>
              </w:rPr>
              <w:t>exercício ilegal da profissão, concedendo prazo de 10 (dez) dias ao proprietário ou responsável para, quando for o caso, regularização dos serviços por meio de RRT de profissional legalmente</w:t>
            </w:r>
            <w:r>
              <w:rPr>
                <w:spacing w:val="6"/>
                <w:w w:val="105"/>
                <w:sz w:val="19"/>
              </w:rPr>
              <w:t> </w:t>
            </w:r>
            <w:r>
              <w:rPr>
                <w:w w:val="105"/>
                <w:sz w:val="19"/>
              </w:rPr>
              <w:t>habilitado.</w:t>
            </w:r>
          </w:p>
        </w:tc>
      </w:tr>
      <w:tr>
        <w:trPr>
          <w:trHeight w:val="1373" w:hRule="atLeast"/>
        </w:trPr>
        <w:tc>
          <w:tcPr>
            <w:tcW w:w="3162" w:type="dxa"/>
            <w:gridSpan w:val="3"/>
            <w:shd w:val="clear" w:color="auto" w:fill="00666D"/>
          </w:tcPr>
          <w:p>
            <w:pPr>
              <w:pStyle w:val="TableParagraph"/>
              <w:rPr>
                <w:sz w:val="22"/>
              </w:rPr>
            </w:pPr>
          </w:p>
          <w:p>
            <w:pPr>
              <w:pStyle w:val="TableParagraph"/>
              <w:rPr>
                <w:sz w:val="22"/>
              </w:rPr>
            </w:pPr>
          </w:p>
          <w:p>
            <w:pPr>
              <w:pStyle w:val="TableParagraph"/>
              <w:rPr>
                <w:sz w:val="22"/>
              </w:rPr>
            </w:pPr>
          </w:p>
          <w:p>
            <w:pPr>
              <w:pStyle w:val="TableParagraph"/>
              <w:spacing w:before="152"/>
              <w:ind w:left="1263" w:right="1393"/>
              <w:jc w:val="center"/>
              <w:rPr>
                <w:sz w:val="19"/>
              </w:rPr>
            </w:pPr>
            <w:r>
              <w:rPr>
                <w:color w:val="FFFFFF"/>
                <w:w w:val="105"/>
                <w:sz w:val="19"/>
              </w:rPr>
              <w:t>- 25 -</w:t>
            </w:r>
          </w:p>
        </w:tc>
        <w:tc>
          <w:tcPr>
            <w:tcW w:w="12393" w:type="dxa"/>
          </w:tcPr>
          <w:p>
            <w:pPr>
              <w:pStyle w:val="TableParagraph"/>
              <w:rPr>
                <w:rFonts w:ascii="Times New Roman"/>
                <w:sz w:val="18"/>
              </w:rPr>
            </w:pPr>
          </w:p>
        </w:tc>
      </w:tr>
    </w:tbl>
    <w:p>
      <w:pPr>
        <w:spacing w:after="0"/>
        <w:rPr>
          <w:rFonts w:ascii="Times New Roman"/>
          <w:sz w:val="18"/>
        </w:rPr>
        <w:sectPr>
          <w:pgSz w:w="16840" w:h="11900" w:orient="landscape"/>
          <w:pgMar w:top="240" w:bottom="0" w:left="140" w:right="860"/>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9"/>
        <w:gridCol w:w="81"/>
        <w:gridCol w:w="1622"/>
        <w:gridCol w:w="12393"/>
      </w:tblGrid>
      <w:tr>
        <w:trPr>
          <w:trHeight w:val="1175" w:hRule="atLeast"/>
        </w:trPr>
        <w:tc>
          <w:tcPr>
            <w:tcW w:w="1459" w:type="dxa"/>
            <w:vMerge w:val="restart"/>
            <w:shd w:val="clear" w:color="auto" w:fill="00666D"/>
          </w:tcPr>
          <w:p>
            <w:pPr>
              <w:pStyle w:val="TableParagraph"/>
              <w:rPr>
                <w:rFonts w:ascii="Times New Roman"/>
                <w:sz w:val="18"/>
              </w:rPr>
            </w:pPr>
          </w:p>
        </w:tc>
        <w:tc>
          <w:tcPr>
            <w:tcW w:w="1703" w:type="dxa"/>
            <w:gridSpan w:val="2"/>
            <w:tcBorders>
              <w:bottom w:val="single" w:sz="4" w:space="0" w:color="A6A6A6"/>
            </w:tcBorders>
            <w:shd w:val="clear" w:color="auto" w:fill="00666D"/>
          </w:tcPr>
          <w:p>
            <w:pPr>
              <w:pStyle w:val="TableParagraph"/>
              <w:rPr>
                <w:rFonts w:ascii="Times New Roman"/>
                <w:sz w:val="18"/>
              </w:rPr>
            </w:pPr>
          </w:p>
        </w:tc>
        <w:tc>
          <w:tcPr>
            <w:tcW w:w="12393" w:type="dxa"/>
            <w:tcBorders>
              <w:bottom w:val="single" w:sz="4" w:space="0" w:color="A6A6A6"/>
            </w:tcBorders>
          </w:tcPr>
          <w:p>
            <w:pPr>
              <w:pStyle w:val="TableParagraph"/>
              <w:rPr>
                <w:sz w:val="26"/>
              </w:rPr>
            </w:pPr>
          </w:p>
          <w:p>
            <w:pPr>
              <w:pStyle w:val="TableParagraph"/>
              <w:spacing w:before="183"/>
              <w:ind w:left="3853"/>
              <w:rPr>
                <w:rFonts w:ascii="DaxCondensed" w:hAnsi="DaxCondensed"/>
                <w:sz w:val="24"/>
              </w:rPr>
            </w:pPr>
            <w:r>
              <w:rPr>
                <w:rFonts w:ascii="DaxCondensed" w:hAnsi="DaxCondensed"/>
                <w:color w:val="00666D"/>
                <w:sz w:val="24"/>
              </w:rPr>
              <w:t>- Manual de Fiscalização do Exercício da Arquitetura e Urbanismo -</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Borders>
              <w:top w:val="single" w:sz="4" w:space="0" w:color="A6A6A6"/>
            </w:tcBorders>
          </w:tcPr>
          <w:p>
            <w:pPr>
              <w:pStyle w:val="TableParagraph"/>
              <w:rPr>
                <w:rFonts w:ascii="Times New Roman"/>
                <w:sz w:val="6"/>
              </w:rPr>
            </w:pPr>
          </w:p>
        </w:tc>
      </w:tr>
      <w:tr>
        <w:trPr>
          <w:trHeight w:val="230"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spacing w:line="206" w:lineRule="exact" w:before="4"/>
              <w:ind w:left="142"/>
              <w:rPr>
                <w:sz w:val="16"/>
              </w:rPr>
            </w:pPr>
            <w:r>
              <w:rPr>
                <w:color w:val="FFFFFF"/>
                <w:sz w:val="19"/>
              </w:rPr>
              <w:t>18. P</w:t>
            </w:r>
            <w:r>
              <w:rPr>
                <w:color w:val="FFFFFF"/>
                <w:sz w:val="16"/>
              </w:rPr>
              <w:t>LANEJAMENTO </w:t>
            </w:r>
            <w:r>
              <w:rPr>
                <w:color w:val="FFFFFF"/>
                <w:sz w:val="19"/>
              </w:rPr>
              <w:t>R</w:t>
            </w:r>
            <w:r>
              <w:rPr>
                <w:color w:val="FFFFFF"/>
                <w:sz w:val="16"/>
              </w:rPr>
              <w:t>EGIONAL</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81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4"/>
              <w:rPr>
                <w:sz w:val="25"/>
              </w:rPr>
            </w:pPr>
          </w:p>
          <w:p>
            <w:pPr>
              <w:pStyle w:val="TableParagraph"/>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line="252" w:lineRule="auto" w:before="66"/>
              <w:ind w:left="174" w:right="22"/>
              <w:jc w:val="both"/>
              <w:rPr>
                <w:sz w:val="19"/>
              </w:rPr>
            </w:pPr>
            <w:r>
              <w:rPr>
                <w:w w:val="105"/>
                <w:sz w:val="19"/>
              </w:rPr>
              <w:t>Levantamento físico-territorial, socioeconômico e ambiental; diagnóstico socioeconômico e ambiental; plano de desenvolvimento</w:t>
            </w:r>
            <w:r>
              <w:rPr>
                <w:spacing w:val="55"/>
                <w:w w:val="105"/>
                <w:sz w:val="19"/>
              </w:rPr>
              <w:t> </w:t>
            </w:r>
            <w:r>
              <w:rPr>
                <w:w w:val="105"/>
                <w:sz w:val="19"/>
              </w:rPr>
              <w:t>regional; plano de desenvolvimento metropolitano; plano de desenvolvimento integrado do turismo sustentável; plano</w:t>
            </w:r>
            <w:r>
              <w:rPr>
                <w:spacing w:val="55"/>
                <w:w w:val="105"/>
                <w:sz w:val="19"/>
              </w:rPr>
              <w:t> </w:t>
            </w:r>
            <w:r>
              <w:rPr>
                <w:w w:val="105"/>
                <w:sz w:val="19"/>
              </w:rPr>
              <w:t>de desenvolvimento de região integrada; plano diretor de mobilidade e</w:t>
            </w:r>
            <w:r>
              <w:rPr>
                <w:spacing w:val="6"/>
                <w:w w:val="105"/>
                <w:sz w:val="19"/>
              </w:rPr>
              <w:t> </w:t>
            </w:r>
            <w:r>
              <w:rPr>
                <w:w w:val="105"/>
                <w:sz w:val="19"/>
              </w:rPr>
              <w:t>transporte.</w:t>
            </w:r>
          </w:p>
        </w:tc>
      </w:tr>
      <w:tr>
        <w:trPr>
          <w:trHeight w:val="35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61"/>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before="61"/>
              <w:ind w:left="174"/>
              <w:rPr>
                <w:sz w:val="19"/>
              </w:rPr>
            </w:pPr>
            <w:r>
              <w:rPr>
                <w:w w:val="105"/>
                <w:sz w:val="19"/>
              </w:rPr>
              <w:t>Verificar a existência de responsável técnico pela autoria e/ou execução por meio do(s) RRT pertinente(s).</w:t>
            </w:r>
          </w:p>
        </w:tc>
      </w:tr>
      <w:tr>
        <w:trPr>
          <w:trHeight w:val="1391"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spacing w:before="2"/>
              <w:rPr>
                <w:sz w:val="19"/>
              </w:rPr>
            </w:pPr>
          </w:p>
          <w:p>
            <w:pPr>
              <w:pStyle w:val="TableParagraph"/>
              <w:spacing w:line="247" w:lineRule="auto" w:before="1"/>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before="61"/>
              <w:ind w:left="174"/>
              <w:rPr>
                <w:sz w:val="19"/>
              </w:rPr>
            </w:pPr>
            <w:r>
              <w:rPr>
                <w:w w:val="105"/>
                <w:sz w:val="19"/>
              </w:rPr>
              <w:t>Após elaboração do Relatório Digital de Fiscalização, caso constatada situação de irregularidade, lavrar Notificação por:</w:t>
            </w:r>
          </w:p>
          <w:p>
            <w:pPr>
              <w:pStyle w:val="TableParagraph"/>
              <w:numPr>
                <w:ilvl w:val="0"/>
                <w:numId w:val="20"/>
              </w:numPr>
              <w:tabs>
                <w:tab w:pos="894" w:val="left" w:leader="none"/>
              </w:tabs>
              <w:spacing w:line="252" w:lineRule="auto" w:before="75" w:after="0"/>
              <w:ind w:left="894" w:right="24" w:hanging="360"/>
              <w:jc w:val="left"/>
              <w:rPr>
                <w:sz w:val="19"/>
              </w:rPr>
            </w:pPr>
            <w:r>
              <w:rPr>
                <w:w w:val="105"/>
                <w:sz w:val="19"/>
              </w:rPr>
              <w:t>ausência de RRT, concedendo prazo de 10 (dez) dias ao arquiteto e urbanista para o efetivo registro do RRT ou abertura de processo de RRT Extemporâneo, conforme o caso;</w:t>
            </w:r>
            <w:r>
              <w:rPr>
                <w:spacing w:val="6"/>
                <w:w w:val="105"/>
                <w:sz w:val="19"/>
              </w:rPr>
              <w:t> </w:t>
            </w:r>
            <w:r>
              <w:rPr>
                <w:w w:val="105"/>
                <w:sz w:val="19"/>
              </w:rPr>
              <w:t>ou</w:t>
            </w:r>
          </w:p>
          <w:p>
            <w:pPr>
              <w:pStyle w:val="TableParagraph"/>
              <w:numPr>
                <w:ilvl w:val="0"/>
                <w:numId w:val="20"/>
              </w:numPr>
              <w:tabs>
                <w:tab w:pos="894" w:val="left" w:leader="none"/>
              </w:tabs>
              <w:spacing w:line="247" w:lineRule="auto" w:before="64" w:after="0"/>
              <w:ind w:left="894" w:right="23" w:hanging="360"/>
              <w:jc w:val="left"/>
              <w:rPr>
                <w:sz w:val="19"/>
              </w:rPr>
            </w:pPr>
            <w:r>
              <w:rPr>
                <w:w w:val="105"/>
                <w:sz w:val="19"/>
              </w:rPr>
              <w:t>exercício ilegal da profissão, concedendo prazo de 10 (dez) dias ao proprietário ou responsável para, quando for o caso, regularização dos serviços por meio de RRT de profissional legalmente</w:t>
            </w:r>
            <w:r>
              <w:rPr>
                <w:spacing w:val="6"/>
                <w:w w:val="105"/>
                <w:sz w:val="19"/>
              </w:rPr>
              <w:t> </w:t>
            </w:r>
            <w:r>
              <w:rPr>
                <w:w w:val="105"/>
                <w:sz w:val="19"/>
              </w:rPr>
              <w:t>habilitado.</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230"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spacing w:line="206" w:lineRule="exact" w:before="4"/>
              <w:ind w:left="142"/>
              <w:rPr>
                <w:sz w:val="16"/>
              </w:rPr>
            </w:pPr>
            <w:r>
              <w:rPr>
                <w:color w:val="FFFFFF"/>
                <w:sz w:val="19"/>
              </w:rPr>
              <w:t>19. A</w:t>
            </w:r>
            <w:r>
              <w:rPr>
                <w:color w:val="FFFFFF"/>
                <w:sz w:val="16"/>
              </w:rPr>
              <w:t>TIVIDADES </w:t>
            </w:r>
            <w:r>
              <w:rPr>
                <w:color w:val="FFFFFF"/>
                <w:sz w:val="19"/>
              </w:rPr>
              <w:t>E</w:t>
            </w:r>
            <w:r>
              <w:rPr>
                <w:color w:val="FFFFFF"/>
                <w:sz w:val="16"/>
              </w:rPr>
              <w:t>SPECIAIS EM </w:t>
            </w:r>
            <w:r>
              <w:rPr>
                <w:color w:val="FFFFFF"/>
                <w:sz w:val="19"/>
              </w:rPr>
              <w:t>A</w:t>
            </w:r>
            <w:r>
              <w:rPr>
                <w:color w:val="FFFFFF"/>
                <w:sz w:val="16"/>
              </w:rPr>
              <w:t>RQUITETURA E </w:t>
            </w:r>
            <w:r>
              <w:rPr>
                <w:color w:val="FFFFFF"/>
                <w:sz w:val="19"/>
              </w:rPr>
              <w:t>U</w:t>
            </w:r>
            <w:r>
              <w:rPr>
                <w:color w:val="FFFFFF"/>
                <w:sz w:val="16"/>
              </w:rPr>
              <w:t>RBANISMO</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58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176"/>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line="247" w:lineRule="auto" w:before="66"/>
              <w:ind w:left="174"/>
              <w:rPr>
                <w:sz w:val="19"/>
              </w:rPr>
            </w:pPr>
            <w:r>
              <w:rPr>
                <w:w w:val="105"/>
                <w:sz w:val="19"/>
              </w:rPr>
              <w:t>Assessoria; consultoria; assistência técnica; vistoria; perícia; avaliação; laudo técnico; parecer técnico; auditoria; arbitragem; e mensuração.</w:t>
            </w:r>
          </w:p>
        </w:tc>
      </w:tr>
      <w:tr>
        <w:trPr>
          <w:trHeight w:val="35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61"/>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before="61"/>
              <w:ind w:left="174"/>
              <w:rPr>
                <w:sz w:val="19"/>
              </w:rPr>
            </w:pPr>
            <w:r>
              <w:rPr>
                <w:w w:val="105"/>
                <w:sz w:val="19"/>
              </w:rPr>
              <w:t>Verificar a existência de responsável técnico pela autoria e/ou execução por meio do(s) RRT pertinente(s).</w:t>
            </w:r>
          </w:p>
        </w:tc>
      </w:tr>
      <w:tr>
        <w:trPr>
          <w:trHeight w:val="1386"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spacing w:before="9"/>
              <w:rPr>
                <w:sz w:val="18"/>
              </w:rPr>
            </w:pPr>
          </w:p>
          <w:p>
            <w:pPr>
              <w:pStyle w:val="TableParagraph"/>
              <w:spacing w:line="252" w:lineRule="auto"/>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before="61"/>
              <w:ind w:left="174"/>
              <w:rPr>
                <w:sz w:val="19"/>
              </w:rPr>
            </w:pPr>
            <w:r>
              <w:rPr>
                <w:w w:val="105"/>
                <w:sz w:val="19"/>
              </w:rPr>
              <w:t>Após elaboração do Relatório Digital de Fiscalização, caso constatada situação de irregularidade, lavrar Notificação por:</w:t>
            </w:r>
          </w:p>
          <w:p>
            <w:pPr>
              <w:pStyle w:val="TableParagraph"/>
              <w:numPr>
                <w:ilvl w:val="0"/>
                <w:numId w:val="21"/>
              </w:numPr>
              <w:tabs>
                <w:tab w:pos="894" w:val="left" w:leader="none"/>
              </w:tabs>
              <w:spacing w:line="252" w:lineRule="auto" w:before="75" w:after="0"/>
              <w:ind w:left="894" w:right="24" w:hanging="360"/>
              <w:jc w:val="left"/>
              <w:rPr>
                <w:sz w:val="19"/>
              </w:rPr>
            </w:pPr>
            <w:r>
              <w:rPr>
                <w:w w:val="105"/>
                <w:sz w:val="19"/>
              </w:rPr>
              <w:t>ausência de RRT, concedendo prazo de 10 (dez) dias ao arquiteto e urbanista para o efetivo registro do RRT ou abertura de processo de RRT Extemporâneo, conforme o caso;</w:t>
            </w:r>
            <w:r>
              <w:rPr>
                <w:spacing w:val="6"/>
                <w:w w:val="105"/>
                <w:sz w:val="19"/>
              </w:rPr>
              <w:t> </w:t>
            </w:r>
            <w:r>
              <w:rPr>
                <w:w w:val="105"/>
                <w:sz w:val="19"/>
              </w:rPr>
              <w:t>ou</w:t>
            </w:r>
          </w:p>
          <w:p>
            <w:pPr>
              <w:pStyle w:val="TableParagraph"/>
              <w:numPr>
                <w:ilvl w:val="0"/>
                <w:numId w:val="21"/>
              </w:numPr>
              <w:tabs>
                <w:tab w:pos="894" w:val="left" w:leader="none"/>
              </w:tabs>
              <w:spacing w:line="252" w:lineRule="auto" w:before="59" w:after="0"/>
              <w:ind w:left="894" w:right="22" w:hanging="360"/>
              <w:jc w:val="left"/>
              <w:rPr>
                <w:sz w:val="19"/>
              </w:rPr>
            </w:pPr>
            <w:r>
              <w:rPr>
                <w:w w:val="105"/>
                <w:sz w:val="19"/>
              </w:rPr>
              <w:t>exercício ilegal da profissão, concedendo prazo de 10 (dez) dias ao proprietário ou responsável para, quando for o caso, regularização dos serviços por meio de RRT de profissional legalmente</w:t>
            </w:r>
            <w:r>
              <w:rPr>
                <w:spacing w:val="6"/>
                <w:w w:val="105"/>
                <w:sz w:val="19"/>
              </w:rPr>
              <w:t> </w:t>
            </w:r>
            <w:r>
              <w:rPr>
                <w:w w:val="105"/>
                <w:sz w:val="19"/>
              </w:rPr>
              <w:t>habilitado.</w:t>
            </w:r>
          </w:p>
        </w:tc>
      </w:tr>
      <w:tr>
        <w:trPr>
          <w:trHeight w:val="124"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225"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spacing w:line="201" w:lineRule="exact" w:before="4"/>
              <w:ind w:left="142"/>
              <w:rPr>
                <w:sz w:val="16"/>
              </w:rPr>
            </w:pPr>
            <w:r>
              <w:rPr>
                <w:color w:val="FFFFFF"/>
                <w:sz w:val="19"/>
              </w:rPr>
              <w:t>20. E</w:t>
            </w:r>
            <w:r>
              <w:rPr>
                <w:color w:val="FFFFFF"/>
                <w:sz w:val="16"/>
              </w:rPr>
              <w:t>NGENHARIA DE </w:t>
            </w:r>
            <w:r>
              <w:rPr>
                <w:color w:val="FFFFFF"/>
                <w:sz w:val="19"/>
              </w:rPr>
              <w:t>S</w:t>
            </w:r>
            <w:r>
              <w:rPr>
                <w:color w:val="FFFFFF"/>
                <w:sz w:val="16"/>
              </w:rPr>
              <w:t>EGURANÇA DO </w:t>
            </w:r>
            <w:r>
              <w:rPr>
                <w:color w:val="FFFFFF"/>
                <w:sz w:val="19"/>
              </w:rPr>
              <w:t>T</w:t>
            </w:r>
            <w:r>
              <w:rPr>
                <w:color w:val="FFFFFF"/>
                <w:sz w:val="16"/>
              </w:rPr>
              <w:t>RABALHO</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58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176"/>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line="247" w:lineRule="auto" w:before="71"/>
              <w:ind w:left="174"/>
              <w:rPr>
                <w:sz w:val="19"/>
              </w:rPr>
            </w:pPr>
            <w:r>
              <w:rPr>
                <w:w w:val="105"/>
                <w:sz w:val="19"/>
              </w:rPr>
              <w:t>Planos, programas, avaliação de riscos, mapa de risco das condições e meio ambiente de trabalho, relatórios para fins judiciais, laudo de inspeção sobre atividades insalubres, laudo técnico de condições do trabalho, outras atividades referentes à segurança do trabalho.</w:t>
            </w:r>
          </w:p>
        </w:tc>
      </w:tr>
      <w:tr>
        <w:trPr>
          <w:trHeight w:val="35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61"/>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before="61"/>
              <w:ind w:left="174"/>
              <w:rPr>
                <w:sz w:val="19"/>
              </w:rPr>
            </w:pPr>
            <w:r>
              <w:rPr>
                <w:w w:val="105"/>
                <w:sz w:val="19"/>
              </w:rPr>
              <w:t>Verificar a existência de responsável técnico pela autoria e/ou execução por meio do(s) RRT pertinente(s)*.</w:t>
            </w:r>
          </w:p>
        </w:tc>
      </w:tr>
      <w:tr>
        <w:trPr>
          <w:trHeight w:val="190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rPr>
                <w:sz w:val="22"/>
              </w:rPr>
            </w:pPr>
          </w:p>
          <w:p>
            <w:pPr>
              <w:pStyle w:val="TableParagraph"/>
              <w:spacing w:before="9"/>
              <w:rPr>
                <w:sz w:val="19"/>
              </w:rPr>
            </w:pPr>
          </w:p>
          <w:p>
            <w:pPr>
              <w:pStyle w:val="TableParagraph"/>
              <w:spacing w:line="247" w:lineRule="auto"/>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before="61"/>
              <w:ind w:left="174"/>
              <w:rPr>
                <w:sz w:val="19"/>
              </w:rPr>
            </w:pPr>
            <w:r>
              <w:rPr>
                <w:w w:val="105"/>
                <w:sz w:val="19"/>
              </w:rPr>
              <w:t>Após elaboração do Relatório Digital de Fiscalização, caso constatada situação de irregularidade, lavrar Notificação por:</w:t>
            </w:r>
          </w:p>
          <w:p>
            <w:pPr>
              <w:pStyle w:val="TableParagraph"/>
              <w:numPr>
                <w:ilvl w:val="0"/>
                <w:numId w:val="22"/>
              </w:numPr>
              <w:tabs>
                <w:tab w:pos="894" w:val="left" w:leader="none"/>
              </w:tabs>
              <w:spacing w:line="252" w:lineRule="auto" w:before="75" w:after="0"/>
              <w:ind w:left="894" w:right="24" w:hanging="360"/>
              <w:jc w:val="left"/>
              <w:rPr>
                <w:sz w:val="19"/>
              </w:rPr>
            </w:pPr>
            <w:r>
              <w:rPr>
                <w:w w:val="105"/>
                <w:sz w:val="19"/>
              </w:rPr>
              <w:t>ausência de RRT, concedendo prazo de 10 (dez) dias ao arquiteto e urbanista para o efetivo registro do RRT ou abertura de processo de RRT Extemporâneo, conforme o caso;</w:t>
            </w:r>
            <w:r>
              <w:rPr>
                <w:spacing w:val="6"/>
                <w:w w:val="105"/>
                <w:sz w:val="19"/>
              </w:rPr>
              <w:t> </w:t>
            </w:r>
            <w:r>
              <w:rPr>
                <w:w w:val="105"/>
                <w:sz w:val="19"/>
              </w:rPr>
              <w:t>ou</w:t>
            </w:r>
          </w:p>
          <w:p>
            <w:pPr>
              <w:pStyle w:val="TableParagraph"/>
              <w:numPr>
                <w:ilvl w:val="0"/>
                <w:numId w:val="22"/>
              </w:numPr>
              <w:tabs>
                <w:tab w:pos="894" w:val="left" w:leader="none"/>
              </w:tabs>
              <w:spacing w:line="252" w:lineRule="auto" w:before="64" w:after="0"/>
              <w:ind w:left="894" w:right="28" w:hanging="360"/>
              <w:jc w:val="left"/>
              <w:rPr>
                <w:sz w:val="19"/>
              </w:rPr>
            </w:pPr>
            <w:r>
              <w:rPr>
                <w:w w:val="105"/>
                <w:sz w:val="19"/>
              </w:rPr>
              <w:t>exercício ilegal da profissão, concedendo prazo de 10 (dez) dias ao proprietário ou responsável para, quando for o caso, regularização dos serviços por meio de RRT de profissional legalmente</w:t>
            </w:r>
            <w:r>
              <w:rPr>
                <w:spacing w:val="6"/>
                <w:w w:val="105"/>
                <w:sz w:val="19"/>
              </w:rPr>
              <w:t> </w:t>
            </w:r>
            <w:r>
              <w:rPr>
                <w:w w:val="105"/>
                <w:sz w:val="19"/>
              </w:rPr>
              <w:t>habilitado.</w:t>
            </w:r>
          </w:p>
          <w:p>
            <w:pPr>
              <w:pStyle w:val="TableParagraph"/>
              <w:spacing w:line="252" w:lineRule="auto" w:before="60"/>
              <w:ind w:left="174" w:right="87"/>
              <w:rPr>
                <w:sz w:val="19"/>
              </w:rPr>
            </w:pPr>
            <w:r>
              <w:rPr>
                <w:w w:val="105"/>
                <w:sz w:val="19"/>
              </w:rPr>
              <w:t>* Deve ser considerado válido como documento de regularidade das atividades acima o registro de ART do CREA nos casos previstos</w:t>
            </w:r>
            <w:r>
              <w:rPr>
                <w:spacing w:val="55"/>
                <w:w w:val="105"/>
                <w:sz w:val="19"/>
              </w:rPr>
              <w:t> </w:t>
            </w:r>
            <w:r>
              <w:rPr>
                <w:w w:val="105"/>
                <w:sz w:val="19"/>
              </w:rPr>
              <w:t>na legislação</w:t>
            </w:r>
            <w:r>
              <w:rPr>
                <w:spacing w:val="2"/>
                <w:w w:val="105"/>
                <w:sz w:val="19"/>
              </w:rPr>
              <w:t> </w:t>
            </w:r>
            <w:r>
              <w:rPr>
                <w:w w:val="105"/>
                <w:sz w:val="19"/>
              </w:rPr>
              <w:t>vigente.</w:t>
            </w:r>
          </w:p>
        </w:tc>
      </w:tr>
      <w:tr>
        <w:trPr>
          <w:trHeight w:val="994" w:hRule="atLeast"/>
        </w:trPr>
        <w:tc>
          <w:tcPr>
            <w:tcW w:w="3162" w:type="dxa"/>
            <w:gridSpan w:val="3"/>
            <w:shd w:val="clear" w:color="auto" w:fill="00666D"/>
          </w:tcPr>
          <w:p>
            <w:pPr>
              <w:pStyle w:val="TableParagraph"/>
              <w:rPr>
                <w:sz w:val="22"/>
              </w:rPr>
            </w:pPr>
          </w:p>
          <w:p>
            <w:pPr>
              <w:pStyle w:val="TableParagraph"/>
              <w:spacing w:before="3"/>
              <w:rPr>
                <w:sz w:val="24"/>
              </w:rPr>
            </w:pPr>
          </w:p>
          <w:p>
            <w:pPr>
              <w:pStyle w:val="TableParagraph"/>
              <w:ind w:left="1263" w:right="1393"/>
              <w:jc w:val="center"/>
              <w:rPr>
                <w:sz w:val="19"/>
              </w:rPr>
            </w:pPr>
            <w:r>
              <w:rPr>
                <w:color w:val="FFFFFF"/>
                <w:w w:val="105"/>
                <w:sz w:val="19"/>
              </w:rPr>
              <w:t>- 26 -</w:t>
            </w:r>
          </w:p>
        </w:tc>
        <w:tc>
          <w:tcPr>
            <w:tcW w:w="12393" w:type="dxa"/>
          </w:tcPr>
          <w:p>
            <w:pPr>
              <w:pStyle w:val="TableParagraph"/>
              <w:rPr>
                <w:rFonts w:ascii="Times New Roman"/>
                <w:sz w:val="18"/>
              </w:rPr>
            </w:pPr>
          </w:p>
        </w:tc>
      </w:tr>
    </w:tbl>
    <w:p>
      <w:pPr>
        <w:spacing w:after="0"/>
        <w:rPr>
          <w:rFonts w:ascii="Times New Roman"/>
          <w:sz w:val="18"/>
        </w:rPr>
        <w:sectPr>
          <w:pgSz w:w="16840" w:h="11900" w:orient="landscape"/>
          <w:pgMar w:top="240" w:bottom="0" w:left="140" w:right="860"/>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9"/>
        <w:gridCol w:w="81"/>
        <w:gridCol w:w="1622"/>
        <w:gridCol w:w="12393"/>
      </w:tblGrid>
      <w:tr>
        <w:trPr>
          <w:trHeight w:val="1175" w:hRule="atLeast"/>
        </w:trPr>
        <w:tc>
          <w:tcPr>
            <w:tcW w:w="1459" w:type="dxa"/>
            <w:vMerge w:val="restart"/>
            <w:shd w:val="clear" w:color="auto" w:fill="00666D"/>
          </w:tcPr>
          <w:p>
            <w:pPr>
              <w:pStyle w:val="TableParagraph"/>
              <w:rPr>
                <w:rFonts w:ascii="Times New Roman"/>
                <w:sz w:val="18"/>
              </w:rPr>
            </w:pPr>
          </w:p>
        </w:tc>
        <w:tc>
          <w:tcPr>
            <w:tcW w:w="1703" w:type="dxa"/>
            <w:gridSpan w:val="2"/>
            <w:tcBorders>
              <w:bottom w:val="single" w:sz="4" w:space="0" w:color="A6A6A6"/>
            </w:tcBorders>
            <w:shd w:val="clear" w:color="auto" w:fill="00666D"/>
          </w:tcPr>
          <w:p>
            <w:pPr>
              <w:pStyle w:val="TableParagraph"/>
              <w:rPr>
                <w:rFonts w:ascii="Times New Roman"/>
                <w:sz w:val="18"/>
              </w:rPr>
            </w:pPr>
          </w:p>
        </w:tc>
        <w:tc>
          <w:tcPr>
            <w:tcW w:w="12393" w:type="dxa"/>
            <w:tcBorders>
              <w:bottom w:val="single" w:sz="4" w:space="0" w:color="A6A6A6"/>
            </w:tcBorders>
          </w:tcPr>
          <w:p>
            <w:pPr>
              <w:pStyle w:val="TableParagraph"/>
              <w:rPr>
                <w:sz w:val="26"/>
              </w:rPr>
            </w:pPr>
          </w:p>
          <w:p>
            <w:pPr>
              <w:pStyle w:val="TableParagraph"/>
              <w:spacing w:before="183"/>
              <w:ind w:left="3853"/>
              <w:rPr>
                <w:rFonts w:ascii="DaxCondensed" w:hAnsi="DaxCondensed"/>
                <w:sz w:val="24"/>
              </w:rPr>
            </w:pPr>
            <w:r>
              <w:rPr>
                <w:rFonts w:ascii="DaxCondensed" w:hAnsi="DaxCondensed"/>
                <w:color w:val="00666D"/>
                <w:sz w:val="24"/>
              </w:rPr>
              <w:t>- Manual de Fiscalização do Exercício da Arquitetura e Urbanismo -</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Borders>
              <w:top w:val="single" w:sz="4" w:space="0" w:color="A6A6A6"/>
            </w:tcBorders>
          </w:tcPr>
          <w:p>
            <w:pPr>
              <w:pStyle w:val="TableParagraph"/>
              <w:rPr>
                <w:rFonts w:ascii="Times New Roman"/>
                <w:sz w:val="6"/>
              </w:rPr>
            </w:pPr>
          </w:p>
        </w:tc>
      </w:tr>
      <w:tr>
        <w:trPr>
          <w:trHeight w:val="230"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spacing w:line="206" w:lineRule="exact" w:before="4"/>
              <w:ind w:left="142"/>
              <w:rPr>
                <w:sz w:val="16"/>
              </w:rPr>
            </w:pPr>
            <w:r>
              <w:rPr>
                <w:color w:val="FFFFFF"/>
                <w:sz w:val="19"/>
              </w:rPr>
              <w:t>21. E</w:t>
            </w:r>
            <w:r>
              <w:rPr>
                <w:color w:val="FFFFFF"/>
                <w:sz w:val="16"/>
              </w:rPr>
              <w:t>NSINO E </w:t>
            </w:r>
            <w:r>
              <w:rPr>
                <w:color w:val="FFFFFF"/>
                <w:sz w:val="19"/>
              </w:rPr>
              <w:t>P</w:t>
            </w:r>
            <w:r>
              <w:rPr>
                <w:color w:val="FFFFFF"/>
                <w:sz w:val="16"/>
              </w:rPr>
              <w:t>ESQUISA </w:t>
            </w:r>
            <w:r>
              <w:rPr>
                <w:color w:val="FFFFFF"/>
                <w:sz w:val="19"/>
              </w:rPr>
              <w:t>- T</w:t>
            </w:r>
            <w:r>
              <w:rPr>
                <w:color w:val="FFFFFF"/>
                <w:sz w:val="16"/>
              </w:rPr>
              <w:t>ECNOLOGIA DA </w:t>
            </w:r>
            <w:r>
              <w:rPr>
                <w:color w:val="FFFFFF"/>
                <w:sz w:val="19"/>
              </w:rPr>
              <w:t>C</w:t>
            </w:r>
            <w:r>
              <w:rPr>
                <w:color w:val="FFFFFF"/>
                <w:sz w:val="16"/>
              </w:rPr>
              <w:t>ONSTRUÇÃO E </w:t>
            </w:r>
            <w:r>
              <w:rPr>
                <w:color w:val="FFFFFF"/>
                <w:sz w:val="19"/>
              </w:rPr>
              <w:t>C</w:t>
            </w:r>
            <w:r>
              <w:rPr>
                <w:color w:val="FFFFFF"/>
                <w:sz w:val="16"/>
              </w:rPr>
              <w:t>ONTROLE DE </w:t>
            </w:r>
            <w:r>
              <w:rPr>
                <w:color w:val="FFFFFF"/>
                <w:sz w:val="19"/>
              </w:rPr>
              <w:t>Q</w:t>
            </w:r>
            <w:r>
              <w:rPr>
                <w:color w:val="FFFFFF"/>
                <w:sz w:val="16"/>
              </w:rPr>
              <w:t>UALIDADE</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1103"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spacing w:before="188"/>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before="61"/>
              <w:ind w:left="174"/>
              <w:rPr>
                <w:sz w:val="19"/>
              </w:rPr>
            </w:pPr>
            <w:r>
              <w:rPr>
                <w:w w:val="105"/>
                <w:sz w:val="19"/>
              </w:rPr>
              <w:t>Ensino de graduação e/ou pós-graduação; extensão; educação continuada; treinamento; ensino técnico profissionalizante.</w:t>
            </w:r>
          </w:p>
          <w:p>
            <w:pPr>
              <w:pStyle w:val="TableParagraph"/>
              <w:spacing w:line="252" w:lineRule="auto" w:before="75"/>
              <w:ind w:left="174" w:right="23"/>
              <w:jc w:val="both"/>
              <w:rPr>
                <w:sz w:val="19"/>
              </w:rPr>
            </w:pPr>
            <w:r>
              <w:rPr>
                <w:w w:val="105"/>
                <w:sz w:val="19"/>
              </w:rPr>
              <w:t>Pesquisa e inovação tecnológica; pesquisa aplicada em tecnologia da construção; pesquisa de elemento ou produto para a construção; estudo ou pesquisa de resistência dos materiais; estudo e correção de patologias da construção; padronização de produto para a construção; ensaio de materiais; controle de qualidade de construção ou produto.</w:t>
            </w:r>
          </w:p>
        </w:tc>
      </w:tr>
      <w:tr>
        <w:trPr>
          <w:trHeight w:val="144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spacing w:before="10"/>
              <w:rPr>
                <w:sz w:val="30"/>
              </w:rPr>
            </w:pPr>
          </w:p>
          <w:p>
            <w:pPr>
              <w:pStyle w:val="TableParagraph"/>
              <w:spacing w:before="1"/>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before="61"/>
              <w:ind w:left="174"/>
              <w:rPr>
                <w:sz w:val="19"/>
              </w:rPr>
            </w:pPr>
            <w:r>
              <w:rPr>
                <w:w w:val="105"/>
                <w:sz w:val="19"/>
              </w:rPr>
              <w:t>Realizar reuniões orientativas com o corpo docente das Instituições de Ensino Superior de Arquitetura e Urbanismo;</w:t>
            </w:r>
          </w:p>
          <w:p>
            <w:pPr>
              <w:pStyle w:val="TableParagraph"/>
              <w:spacing w:line="316" w:lineRule="auto" w:before="75"/>
              <w:ind w:left="174"/>
              <w:rPr>
                <w:sz w:val="19"/>
              </w:rPr>
            </w:pPr>
            <w:r>
              <w:rPr>
                <w:w w:val="105"/>
                <w:sz w:val="19"/>
              </w:rPr>
              <w:t>Realizar palestras sobre Ética e Prática Profissional, direitos e deveres do arquiteto e urbanista em relação à profissão e à sociedade; Verificar existência de RRT de cargo ou função do corpo docente;</w:t>
            </w:r>
          </w:p>
          <w:p>
            <w:pPr>
              <w:pStyle w:val="TableParagraph"/>
              <w:spacing w:line="252" w:lineRule="auto"/>
              <w:ind w:left="174"/>
              <w:rPr>
                <w:sz w:val="19"/>
              </w:rPr>
            </w:pPr>
            <w:r>
              <w:rPr>
                <w:w w:val="105"/>
                <w:sz w:val="19"/>
              </w:rPr>
              <w:t>Verificar a existência de responsável técnico pela autoria e/ou execução das atividades de tecnologia da construção e controle de qualidade, por meio do(s) RRT pertinente(s).</w:t>
            </w:r>
          </w:p>
        </w:tc>
      </w:tr>
      <w:tr>
        <w:trPr>
          <w:trHeight w:val="1386"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spacing w:before="9"/>
              <w:rPr>
                <w:sz w:val="18"/>
              </w:rPr>
            </w:pPr>
          </w:p>
          <w:p>
            <w:pPr>
              <w:pStyle w:val="TableParagraph"/>
              <w:spacing w:line="252" w:lineRule="auto"/>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before="61"/>
              <w:ind w:left="174"/>
              <w:rPr>
                <w:sz w:val="19"/>
              </w:rPr>
            </w:pPr>
            <w:r>
              <w:rPr>
                <w:w w:val="105"/>
                <w:sz w:val="19"/>
              </w:rPr>
              <w:t>Após elaboração do Relatório Digital de Fiscalização, caso constatada situação de irregularidade, lavrar Notificação por:</w:t>
            </w:r>
          </w:p>
          <w:p>
            <w:pPr>
              <w:pStyle w:val="TableParagraph"/>
              <w:numPr>
                <w:ilvl w:val="0"/>
                <w:numId w:val="23"/>
              </w:numPr>
              <w:tabs>
                <w:tab w:pos="894" w:val="left" w:leader="none"/>
              </w:tabs>
              <w:spacing w:line="252" w:lineRule="auto" w:before="75" w:after="0"/>
              <w:ind w:left="894" w:right="24" w:hanging="360"/>
              <w:jc w:val="left"/>
              <w:rPr>
                <w:sz w:val="19"/>
              </w:rPr>
            </w:pPr>
            <w:r>
              <w:rPr>
                <w:w w:val="105"/>
                <w:sz w:val="19"/>
              </w:rPr>
              <w:t>ausência de RRT, concedendo prazo de 10 (dez) dias ao arquiteto e urbanista para o efetivo registro do RRT ou abertura de processo de RRT Extemporâneo, conforme o caso;</w:t>
            </w:r>
            <w:r>
              <w:rPr>
                <w:spacing w:val="6"/>
                <w:w w:val="105"/>
                <w:sz w:val="19"/>
              </w:rPr>
              <w:t> </w:t>
            </w:r>
            <w:r>
              <w:rPr>
                <w:w w:val="105"/>
                <w:sz w:val="19"/>
              </w:rPr>
              <w:t>ou</w:t>
            </w:r>
          </w:p>
          <w:p>
            <w:pPr>
              <w:pStyle w:val="TableParagraph"/>
              <w:numPr>
                <w:ilvl w:val="0"/>
                <w:numId w:val="23"/>
              </w:numPr>
              <w:tabs>
                <w:tab w:pos="894" w:val="left" w:leader="none"/>
              </w:tabs>
              <w:spacing w:line="252" w:lineRule="auto" w:before="59" w:after="0"/>
              <w:ind w:left="894" w:right="25" w:hanging="360"/>
              <w:jc w:val="left"/>
              <w:rPr>
                <w:sz w:val="19"/>
              </w:rPr>
            </w:pPr>
            <w:r>
              <w:rPr>
                <w:w w:val="105"/>
                <w:sz w:val="19"/>
              </w:rPr>
              <w:t>exercício ilegal da profissão, concedendo prazo de 10 (dez) dias para contratação de profissional legalmente habilitado para regularização dos serviços, por meio de RRT, quando for o</w:t>
            </w:r>
            <w:r>
              <w:rPr>
                <w:spacing w:val="6"/>
                <w:w w:val="105"/>
                <w:sz w:val="19"/>
              </w:rPr>
              <w:t> </w:t>
            </w:r>
            <w:r>
              <w:rPr>
                <w:w w:val="105"/>
                <w:sz w:val="19"/>
              </w:rPr>
              <w:t>caso.</w:t>
            </w:r>
          </w:p>
        </w:tc>
      </w:tr>
      <w:tr>
        <w:trPr>
          <w:trHeight w:val="124"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225"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spacing w:line="201" w:lineRule="exact" w:before="4"/>
              <w:ind w:left="142"/>
              <w:rPr>
                <w:sz w:val="16"/>
              </w:rPr>
            </w:pPr>
            <w:r>
              <w:rPr>
                <w:color w:val="FFFFFF"/>
                <w:sz w:val="19"/>
              </w:rPr>
              <w:t>22. S</w:t>
            </w:r>
            <w:r>
              <w:rPr>
                <w:color w:val="FFFFFF"/>
                <w:sz w:val="16"/>
              </w:rPr>
              <w:t>ALÁRIO </w:t>
            </w:r>
            <w:r>
              <w:rPr>
                <w:color w:val="FFFFFF"/>
                <w:sz w:val="19"/>
              </w:rPr>
              <w:t>M</w:t>
            </w:r>
            <w:r>
              <w:rPr>
                <w:color w:val="FFFFFF"/>
                <w:sz w:val="16"/>
              </w:rPr>
              <w:t>ÍNIMO </w:t>
            </w:r>
            <w:r>
              <w:rPr>
                <w:color w:val="FFFFFF"/>
                <w:sz w:val="19"/>
              </w:rPr>
              <w:t>P</w:t>
            </w:r>
            <w:r>
              <w:rPr>
                <w:color w:val="FFFFFF"/>
                <w:sz w:val="16"/>
              </w:rPr>
              <w:t>ROFISSIONAL</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58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176"/>
              <w:ind w:left="110"/>
              <w:rPr>
                <w:sz w:val="19"/>
              </w:rPr>
            </w:pPr>
            <w:r>
              <w:rPr>
                <w:color w:val="FFFFFF"/>
                <w:sz w:val="19"/>
              </w:rPr>
              <w:t>D</w:t>
            </w:r>
            <w:r>
              <w:rPr>
                <w:color w:val="FFFFFF"/>
                <w:sz w:val="16"/>
              </w:rPr>
              <w:t>EFINIÇÃO</w:t>
            </w:r>
            <w:r>
              <w:rPr>
                <w:color w:val="FFFFFF"/>
                <w:sz w:val="19"/>
              </w:rPr>
              <w:t>:</w:t>
            </w:r>
          </w:p>
        </w:tc>
        <w:tc>
          <w:tcPr>
            <w:tcW w:w="12393" w:type="dxa"/>
          </w:tcPr>
          <w:p>
            <w:pPr>
              <w:pStyle w:val="TableParagraph"/>
              <w:spacing w:line="247" w:lineRule="auto" w:before="71"/>
              <w:ind w:left="174"/>
              <w:rPr>
                <w:sz w:val="19"/>
              </w:rPr>
            </w:pPr>
            <w:r>
              <w:rPr>
                <w:w w:val="105"/>
                <w:sz w:val="19"/>
              </w:rPr>
              <w:t>Remuneração mínima devida, por força de contrato de trabalho, aos arquitetos e urbanistas com relação a empregos, cargos, funções e desempenho de atividades técnicas relacionadas ao exercício da Arquitetura e Urbanismo.</w:t>
            </w:r>
          </w:p>
        </w:tc>
      </w:tr>
      <w:tr>
        <w:trPr>
          <w:trHeight w:val="825"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2"/>
              <w:rPr>
                <w:sz w:val="26"/>
              </w:rPr>
            </w:pPr>
          </w:p>
          <w:p>
            <w:pPr>
              <w:pStyle w:val="TableParagraph"/>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line="254" w:lineRule="auto" w:before="69"/>
              <w:ind w:left="174" w:right="24"/>
              <w:jc w:val="both"/>
              <w:rPr>
                <w:rFonts w:ascii="Cambria" w:hAnsi="Cambria"/>
                <w:sz w:val="19"/>
              </w:rPr>
            </w:pPr>
            <w:r>
              <w:rPr>
                <w:rFonts w:ascii="Cambria" w:hAnsi="Cambria"/>
                <w:w w:val="105"/>
                <w:sz w:val="19"/>
              </w:rPr>
              <w:t>Verificar o cumprimento do pagamento do salário mínimo profissional, conforme a jornada de trabalho: até 6 (seis) horas diárias de serviço valor correspondente a 6 (seis) vezes o salário mínimo nacional; além de 6 (seis) horas diárias de serviço, acrescer 25% (vinte e cinco por cento) às horas excedentes das 6 (seis) horas diárias de serviço.</w:t>
            </w:r>
          </w:p>
        </w:tc>
      </w:tr>
      <w:tr>
        <w:trPr>
          <w:trHeight w:val="58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line="247" w:lineRule="auto" w:before="66"/>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line="247" w:lineRule="auto" w:before="66"/>
              <w:ind w:left="174"/>
              <w:rPr>
                <w:sz w:val="19"/>
              </w:rPr>
            </w:pPr>
            <w:r>
              <w:rPr>
                <w:w w:val="105"/>
                <w:sz w:val="19"/>
              </w:rPr>
              <w:t>Após elaboração do Relatório Digital de Fiscalização, caso constatada situação de irregularidade, lavrar Notificação, em desfavor de pessoa física ou jurídica, por descumprimento do salário mínimo profissional, concedendo prazo de 10 (dez) dias para regularização.</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230"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spacing w:line="206" w:lineRule="exact" w:before="4"/>
              <w:ind w:left="142"/>
              <w:rPr>
                <w:sz w:val="16"/>
              </w:rPr>
            </w:pPr>
            <w:r>
              <w:rPr>
                <w:color w:val="FFFFFF"/>
                <w:sz w:val="19"/>
              </w:rPr>
              <w:t>23. P</w:t>
            </w:r>
            <w:r>
              <w:rPr>
                <w:color w:val="FFFFFF"/>
                <w:sz w:val="16"/>
              </w:rPr>
              <w:t>ESSOA </w:t>
            </w:r>
            <w:r>
              <w:rPr>
                <w:color w:val="FFFFFF"/>
                <w:sz w:val="19"/>
              </w:rPr>
              <w:t>J</w:t>
            </w:r>
            <w:r>
              <w:rPr>
                <w:color w:val="FFFFFF"/>
                <w:sz w:val="16"/>
              </w:rPr>
              <w:t>URÍDICA DE </w:t>
            </w:r>
            <w:r>
              <w:rPr>
                <w:color w:val="FFFFFF"/>
                <w:sz w:val="19"/>
              </w:rPr>
              <w:t>A</w:t>
            </w:r>
            <w:r>
              <w:rPr>
                <w:color w:val="FFFFFF"/>
                <w:sz w:val="16"/>
              </w:rPr>
              <w:t>RQUITETURA E </w:t>
            </w:r>
            <w:r>
              <w:rPr>
                <w:color w:val="FFFFFF"/>
                <w:sz w:val="19"/>
              </w:rPr>
              <w:t>U</w:t>
            </w:r>
            <w:r>
              <w:rPr>
                <w:color w:val="FFFFFF"/>
                <w:sz w:val="16"/>
              </w:rPr>
              <w:t>RBANISMO</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58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176"/>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line="247" w:lineRule="auto" w:before="66"/>
              <w:ind w:left="174"/>
              <w:rPr>
                <w:sz w:val="19"/>
              </w:rPr>
            </w:pPr>
            <w:r>
              <w:rPr>
                <w:w w:val="105"/>
                <w:sz w:val="19"/>
              </w:rPr>
              <w:t>Pessoa jurídica constituída para exercer atividades privativas ou compartilhadas de arquiteto e urbanista; independente de sua forma de constituição: pessoa jurídica individual, sede de PJ, filial de PJ, sociedades de PJ (personificadas ou não) e seções técnicas.</w:t>
            </w:r>
          </w:p>
        </w:tc>
      </w:tr>
      <w:tr>
        <w:trPr>
          <w:trHeight w:val="1218"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spacing w:before="10"/>
              <w:rPr>
                <w:sz w:val="20"/>
              </w:rPr>
            </w:pPr>
          </w:p>
          <w:p>
            <w:pPr>
              <w:pStyle w:val="TableParagraph"/>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before="61"/>
              <w:ind w:left="174"/>
              <w:rPr>
                <w:sz w:val="19"/>
              </w:rPr>
            </w:pPr>
            <w:r>
              <w:rPr>
                <w:w w:val="105"/>
                <w:sz w:val="19"/>
              </w:rPr>
              <w:t>Verificar registro da pessoa jurídica junto ao CAU/UF da localidade de sua sede;</w:t>
            </w:r>
          </w:p>
          <w:p>
            <w:pPr>
              <w:pStyle w:val="TableParagraph"/>
              <w:spacing w:line="316" w:lineRule="auto" w:before="75"/>
              <w:ind w:left="174" w:right="1571"/>
              <w:rPr>
                <w:sz w:val="19"/>
              </w:rPr>
            </w:pPr>
            <w:r>
              <w:rPr>
                <w:w w:val="105"/>
                <w:sz w:val="19"/>
              </w:rPr>
              <w:t>Verificar se os arquitetos e urbanistas que nela trabalham encontram-se em situação regular perante o CAU/UF; Verificar existência de RRT de cargo ou função de arquiteto e urbanista responsável técnico pela pessoa jurídica;</w:t>
            </w:r>
          </w:p>
          <w:p>
            <w:pPr>
              <w:pStyle w:val="TableParagraph"/>
              <w:spacing w:before="4"/>
              <w:ind w:left="174"/>
              <w:rPr>
                <w:sz w:val="19"/>
              </w:rPr>
            </w:pPr>
            <w:r>
              <w:rPr>
                <w:w w:val="105"/>
                <w:sz w:val="19"/>
              </w:rPr>
              <w:t>Verificar cumprimento do pagamento do salário mínimo profissional.</w:t>
            </w:r>
          </w:p>
        </w:tc>
      </w:tr>
      <w:tr>
        <w:trPr>
          <w:trHeight w:val="989" w:hRule="atLeast"/>
        </w:trPr>
        <w:tc>
          <w:tcPr>
            <w:tcW w:w="3162" w:type="dxa"/>
            <w:gridSpan w:val="3"/>
            <w:shd w:val="clear" w:color="auto" w:fill="00666D"/>
          </w:tcPr>
          <w:p>
            <w:pPr>
              <w:pStyle w:val="TableParagraph"/>
              <w:rPr>
                <w:sz w:val="22"/>
              </w:rPr>
            </w:pPr>
          </w:p>
          <w:p>
            <w:pPr>
              <w:pStyle w:val="TableParagraph"/>
              <w:spacing w:before="9"/>
              <w:rPr>
                <w:sz w:val="23"/>
              </w:rPr>
            </w:pPr>
          </w:p>
          <w:p>
            <w:pPr>
              <w:pStyle w:val="TableParagraph"/>
              <w:ind w:left="1263" w:right="1393"/>
              <w:jc w:val="center"/>
              <w:rPr>
                <w:sz w:val="19"/>
              </w:rPr>
            </w:pPr>
            <w:r>
              <w:rPr>
                <w:color w:val="FFFFFF"/>
                <w:w w:val="105"/>
                <w:sz w:val="19"/>
              </w:rPr>
              <w:t>- 27 -</w:t>
            </w:r>
          </w:p>
        </w:tc>
        <w:tc>
          <w:tcPr>
            <w:tcW w:w="12393" w:type="dxa"/>
          </w:tcPr>
          <w:p>
            <w:pPr>
              <w:pStyle w:val="TableParagraph"/>
              <w:rPr>
                <w:rFonts w:ascii="Times New Roman"/>
                <w:sz w:val="18"/>
              </w:rPr>
            </w:pPr>
          </w:p>
        </w:tc>
      </w:tr>
    </w:tbl>
    <w:p>
      <w:pPr>
        <w:spacing w:after="0"/>
        <w:rPr>
          <w:rFonts w:ascii="Times New Roman"/>
          <w:sz w:val="18"/>
        </w:rPr>
        <w:sectPr>
          <w:pgSz w:w="16840" w:h="11900" w:orient="landscape"/>
          <w:pgMar w:top="240" w:bottom="0" w:left="140" w:right="860"/>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9"/>
        <w:gridCol w:w="81"/>
        <w:gridCol w:w="1622"/>
        <w:gridCol w:w="12393"/>
      </w:tblGrid>
      <w:tr>
        <w:trPr>
          <w:trHeight w:val="1175" w:hRule="atLeast"/>
        </w:trPr>
        <w:tc>
          <w:tcPr>
            <w:tcW w:w="1459" w:type="dxa"/>
            <w:vMerge w:val="restart"/>
            <w:shd w:val="clear" w:color="auto" w:fill="00666D"/>
          </w:tcPr>
          <w:p>
            <w:pPr>
              <w:pStyle w:val="TableParagraph"/>
              <w:rPr>
                <w:rFonts w:ascii="Times New Roman"/>
                <w:sz w:val="18"/>
              </w:rPr>
            </w:pPr>
          </w:p>
        </w:tc>
        <w:tc>
          <w:tcPr>
            <w:tcW w:w="1703" w:type="dxa"/>
            <w:gridSpan w:val="2"/>
            <w:tcBorders>
              <w:bottom w:val="single" w:sz="4" w:space="0" w:color="A6A6A6"/>
            </w:tcBorders>
            <w:shd w:val="clear" w:color="auto" w:fill="00666D"/>
          </w:tcPr>
          <w:p>
            <w:pPr>
              <w:pStyle w:val="TableParagraph"/>
              <w:rPr>
                <w:rFonts w:ascii="Times New Roman"/>
                <w:sz w:val="18"/>
              </w:rPr>
            </w:pPr>
          </w:p>
        </w:tc>
        <w:tc>
          <w:tcPr>
            <w:tcW w:w="12393" w:type="dxa"/>
          </w:tcPr>
          <w:p>
            <w:pPr>
              <w:pStyle w:val="TableParagraph"/>
              <w:rPr>
                <w:sz w:val="26"/>
              </w:rPr>
            </w:pPr>
          </w:p>
          <w:p>
            <w:pPr>
              <w:pStyle w:val="TableParagraph"/>
              <w:spacing w:before="183"/>
              <w:ind w:left="3853"/>
              <w:rPr>
                <w:rFonts w:ascii="DaxCondensed" w:hAnsi="DaxCondensed"/>
                <w:sz w:val="24"/>
              </w:rPr>
            </w:pPr>
            <w:r>
              <w:rPr>
                <w:rFonts w:ascii="DaxCondensed" w:hAnsi="DaxCondensed"/>
                <w:color w:val="00666D"/>
                <w:sz w:val="24"/>
              </w:rPr>
              <w:t>- Manual de Fiscalização do Exercício da Arquitetura e Urbanismo -</w:t>
            </w:r>
          </w:p>
        </w:tc>
      </w:tr>
      <w:tr>
        <w:trPr>
          <w:trHeight w:val="58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line="252" w:lineRule="auto" w:before="66"/>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line="252" w:lineRule="auto" w:before="66"/>
              <w:ind w:left="174"/>
              <w:rPr>
                <w:sz w:val="19"/>
              </w:rPr>
            </w:pPr>
            <w:r>
              <w:rPr>
                <w:w w:val="105"/>
                <w:sz w:val="19"/>
              </w:rPr>
              <w:t>Após elaboração do Relatório Digital de Fiscalização, caso constatada situação de irregularidade, lavrar Notificação, em desfavor de pessoa jurídica, por ausência de registro, ou irregularidades no registro, concedendo prazo de 10 (dez) dias para regularização.</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230"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spacing w:line="206" w:lineRule="exact" w:before="4"/>
              <w:ind w:left="142"/>
              <w:rPr>
                <w:sz w:val="16"/>
              </w:rPr>
            </w:pPr>
            <w:r>
              <w:rPr>
                <w:color w:val="FFFFFF"/>
                <w:sz w:val="19"/>
              </w:rPr>
              <w:t>24. Ó</w:t>
            </w:r>
            <w:r>
              <w:rPr>
                <w:color w:val="FFFFFF"/>
                <w:sz w:val="16"/>
              </w:rPr>
              <w:t>RGÃOS </w:t>
            </w:r>
            <w:r>
              <w:rPr>
                <w:color w:val="FFFFFF"/>
                <w:sz w:val="19"/>
              </w:rPr>
              <w:t>P</w:t>
            </w:r>
            <w:r>
              <w:rPr>
                <w:color w:val="FFFFFF"/>
                <w:sz w:val="16"/>
              </w:rPr>
              <w:t>ÚBLICOS</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1041"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spacing w:before="154"/>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line="252" w:lineRule="auto" w:before="66"/>
              <w:ind w:left="174" w:right="23"/>
              <w:jc w:val="both"/>
              <w:rPr>
                <w:sz w:val="19"/>
              </w:rPr>
            </w:pPr>
            <w:r>
              <w:rPr>
                <w:w w:val="105"/>
                <w:sz w:val="19"/>
              </w:rPr>
              <w:t>Pessoa jurídica de direito público, órgãos da administração direta, autarquias e fundações que mantenham seção técnica por meio da qual preste ou execute, para si ou para terceiros, obras ou serviços técnicos que desenvolvam atividades privativas de arquitetos e urbanistas, ou compartilhadas entre estes e outras profissões regulamentadas, no caso de terem entre seus responsáveis técnicos arquitetos e urbanistas.</w:t>
            </w:r>
          </w:p>
        </w:tc>
      </w:tr>
      <w:tr>
        <w:trPr>
          <w:trHeight w:val="1218"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spacing w:before="3"/>
              <w:rPr>
                <w:sz w:val="21"/>
              </w:rPr>
            </w:pPr>
          </w:p>
          <w:p>
            <w:pPr>
              <w:pStyle w:val="TableParagraph"/>
              <w:spacing w:before="1"/>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line="321" w:lineRule="auto" w:before="61"/>
              <w:ind w:left="174" w:right="5146"/>
              <w:rPr>
                <w:sz w:val="19"/>
              </w:rPr>
            </w:pPr>
            <w:r>
              <w:rPr>
                <w:w w:val="105"/>
                <w:sz w:val="19"/>
              </w:rPr>
              <w:t>Realizar reuniões orientativas, convênios e parcerias junto aos órgãos públicos; Verificar registro da seção técnica no CAU/UF da localidade de sua sede;</w:t>
            </w:r>
          </w:p>
          <w:p>
            <w:pPr>
              <w:pStyle w:val="TableParagraph"/>
              <w:spacing w:line="214" w:lineRule="exact"/>
              <w:ind w:left="174"/>
              <w:rPr>
                <w:sz w:val="19"/>
              </w:rPr>
            </w:pPr>
            <w:r>
              <w:rPr>
                <w:w w:val="105"/>
                <w:sz w:val="19"/>
              </w:rPr>
              <w:t>Verificar existência de RRT de cargo ou função de arquiteto e urbanista responsável técnico pela seção técnica;</w:t>
            </w:r>
          </w:p>
          <w:p>
            <w:pPr>
              <w:pStyle w:val="TableParagraph"/>
              <w:spacing w:before="75"/>
              <w:ind w:left="174"/>
              <w:rPr>
                <w:sz w:val="19"/>
              </w:rPr>
            </w:pPr>
            <w:r>
              <w:rPr>
                <w:w w:val="105"/>
                <w:sz w:val="19"/>
              </w:rPr>
              <w:t>Verificar cumprimento do pagamento do salário mínimo profissional, quando for o caso.</w:t>
            </w:r>
          </w:p>
        </w:tc>
      </w:tr>
      <w:tr>
        <w:trPr>
          <w:trHeight w:val="580"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line="252" w:lineRule="auto" w:before="66"/>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line="252" w:lineRule="auto" w:before="66"/>
              <w:ind w:left="174"/>
              <w:rPr>
                <w:sz w:val="19"/>
              </w:rPr>
            </w:pPr>
            <w:r>
              <w:rPr>
                <w:w w:val="105"/>
                <w:sz w:val="19"/>
              </w:rPr>
              <w:t>Após elaboração do Relatório Digital de Fiscalização, caso constatada situação de irregularidade, lavrar Notificação, em desfavor do órgão, por ausência de registro, ou irregularidades no registro da seção técnica, concedendo prazo de 10 (dez) dias para regularização.</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230" w:hRule="atLeast"/>
        </w:trPr>
        <w:tc>
          <w:tcPr>
            <w:tcW w:w="1459" w:type="dxa"/>
            <w:vMerge/>
            <w:tcBorders>
              <w:top w:val="nil"/>
            </w:tcBorders>
            <w:shd w:val="clear" w:color="auto" w:fill="00666D"/>
          </w:tcPr>
          <w:p>
            <w:pPr>
              <w:rPr>
                <w:sz w:val="2"/>
                <w:szCs w:val="2"/>
              </w:rPr>
            </w:pPr>
          </w:p>
        </w:tc>
        <w:tc>
          <w:tcPr>
            <w:tcW w:w="81" w:type="dxa"/>
            <w:shd w:val="clear" w:color="auto" w:fill="32666D"/>
          </w:tcPr>
          <w:p>
            <w:pPr>
              <w:pStyle w:val="TableParagraph"/>
              <w:rPr>
                <w:rFonts w:ascii="Times New Roman"/>
                <w:sz w:val="16"/>
              </w:rPr>
            </w:pPr>
          </w:p>
        </w:tc>
        <w:tc>
          <w:tcPr>
            <w:tcW w:w="1622" w:type="dxa"/>
            <w:shd w:val="clear" w:color="auto" w:fill="32666D"/>
          </w:tcPr>
          <w:p>
            <w:pPr>
              <w:pStyle w:val="TableParagraph"/>
              <w:rPr>
                <w:rFonts w:ascii="Times New Roman"/>
                <w:sz w:val="16"/>
              </w:rPr>
            </w:pPr>
          </w:p>
        </w:tc>
        <w:tc>
          <w:tcPr>
            <w:tcW w:w="12393" w:type="dxa"/>
            <w:shd w:val="clear" w:color="auto" w:fill="32666D"/>
          </w:tcPr>
          <w:p>
            <w:pPr>
              <w:pStyle w:val="TableParagraph"/>
              <w:spacing w:line="206" w:lineRule="exact" w:before="4"/>
              <w:ind w:left="142"/>
              <w:rPr>
                <w:sz w:val="16"/>
              </w:rPr>
            </w:pPr>
            <w:r>
              <w:rPr>
                <w:color w:val="FFFFFF"/>
                <w:sz w:val="19"/>
              </w:rPr>
              <w:t>25. C</w:t>
            </w:r>
            <w:r>
              <w:rPr>
                <w:color w:val="FFFFFF"/>
                <w:sz w:val="16"/>
              </w:rPr>
              <w:t>ARGOS </w:t>
            </w:r>
            <w:r>
              <w:rPr>
                <w:color w:val="FFFFFF"/>
                <w:sz w:val="19"/>
              </w:rPr>
              <w:t>T</w:t>
            </w:r>
            <w:r>
              <w:rPr>
                <w:color w:val="FFFFFF"/>
                <w:sz w:val="16"/>
              </w:rPr>
              <w:t>ÉCNICOS EM </w:t>
            </w:r>
            <w:r>
              <w:rPr>
                <w:color w:val="FFFFFF"/>
                <w:sz w:val="19"/>
              </w:rPr>
              <w:t>Ó</w:t>
            </w:r>
            <w:r>
              <w:rPr>
                <w:color w:val="FFFFFF"/>
                <w:sz w:val="16"/>
              </w:rPr>
              <w:t>RGÃOS </w:t>
            </w:r>
            <w:r>
              <w:rPr>
                <w:color w:val="FFFFFF"/>
                <w:sz w:val="19"/>
              </w:rPr>
              <w:t>P</w:t>
            </w:r>
            <w:r>
              <w:rPr>
                <w:color w:val="FFFFFF"/>
                <w:sz w:val="16"/>
              </w:rPr>
              <w:t>ÚBLICOS</w:t>
            </w:r>
          </w:p>
        </w:tc>
      </w:tr>
      <w:tr>
        <w:trPr>
          <w:trHeight w:val="119" w:hRule="atLeast"/>
        </w:trPr>
        <w:tc>
          <w:tcPr>
            <w:tcW w:w="1459" w:type="dxa"/>
            <w:vMerge/>
            <w:tcBorders>
              <w:top w:val="nil"/>
            </w:tcBorders>
            <w:shd w:val="clear" w:color="auto" w:fill="00666D"/>
          </w:tcPr>
          <w:p>
            <w:pPr>
              <w:rPr>
                <w:sz w:val="2"/>
                <w:szCs w:val="2"/>
              </w:rPr>
            </w:pPr>
          </w:p>
        </w:tc>
        <w:tc>
          <w:tcPr>
            <w:tcW w:w="1703" w:type="dxa"/>
            <w:gridSpan w:val="2"/>
            <w:tcBorders>
              <w:bottom w:val="single" w:sz="4" w:space="0" w:color="A6A6A6"/>
            </w:tcBorders>
            <w:shd w:val="clear" w:color="auto" w:fill="00666D"/>
          </w:tcPr>
          <w:p>
            <w:pPr>
              <w:pStyle w:val="TableParagraph"/>
              <w:rPr>
                <w:rFonts w:ascii="Times New Roman"/>
                <w:sz w:val="6"/>
              </w:rPr>
            </w:pPr>
          </w:p>
        </w:tc>
        <w:tc>
          <w:tcPr>
            <w:tcW w:w="12393" w:type="dxa"/>
          </w:tcPr>
          <w:p>
            <w:pPr>
              <w:pStyle w:val="TableParagraph"/>
              <w:rPr>
                <w:rFonts w:ascii="Times New Roman"/>
                <w:sz w:val="6"/>
              </w:rPr>
            </w:pPr>
          </w:p>
        </w:tc>
      </w:tr>
      <w:tr>
        <w:trPr>
          <w:trHeight w:val="155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rPr>
                <w:sz w:val="22"/>
              </w:rPr>
            </w:pPr>
          </w:p>
          <w:p>
            <w:pPr>
              <w:pStyle w:val="TableParagraph"/>
              <w:spacing w:before="160"/>
              <w:ind w:left="110"/>
              <w:rPr>
                <w:sz w:val="19"/>
              </w:rPr>
            </w:pPr>
            <w:r>
              <w:rPr>
                <w:color w:val="FFFFFF"/>
                <w:sz w:val="19"/>
              </w:rPr>
              <w:t>C</w:t>
            </w:r>
            <w:r>
              <w:rPr>
                <w:color w:val="FFFFFF"/>
                <w:sz w:val="16"/>
              </w:rPr>
              <w:t>IRCUNSCRIÇÃO</w:t>
            </w:r>
            <w:r>
              <w:rPr>
                <w:color w:val="FFFFFF"/>
                <w:sz w:val="19"/>
              </w:rPr>
              <w:t>:</w:t>
            </w:r>
          </w:p>
        </w:tc>
        <w:tc>
          <w:tcPr>
            <w:tcW w:w="12393" w:type="dxa"/>
          </w:tcPr>
          <w:p>
            <w:pPr>
              <w:pStyle w:val="TableParagraph"/>
              <w:spacing w:line="252" w:lineRule="auto" w:before="66"/>
              <w:ind w:left="174" w:right="24"/>
              <w:jc w:val="both"/>
              <w:rPr>
                <w:sz w:val="19"/>
              </w:rPr>
            </w:pPr>
            <w:r>
              <w:rPr>
                <w:w w:val="105"/>
                <w:sz w:val="19"/>
              </w:rPr>
              <w:t>Os cargos técnicos são aqueles cujo desempenho consiste no desenvolvimento de quaisquer das atividades, atribuições e campos de atuação privativos de arquitetos e urbanistas, ou compartilhados entre estes e outras profissões regulamentadas, que dependem de habilitação legal e conhecimento técnico*.</w:t>
            </w:r>
          </w:p>
          <w:p>
            <w:pPr>
              <w:pStyle w:val="TableParagraph"/>
              <w:spacing w:line="252" w:lineRule="auto" w:before="61"/>
              <w:ind w:left="174" w:right="24"/>
              <w:jc w:val="both"/>
              <w:rPr>
                <w:sz w:val="19"/>
              </w:rPr>
            </w:pPr>
            <w:r>
              <w:rPr>
                <w:w w:val="105"/>
                <w:sz w:val="19"/>
              </w:rPr>
              <w:t>Cargos técnicos existentes nas secretarias municipais e estaduais de cultura e de obras, em especial, os setores de patrimônio histórico- cultural, planejamento urbano e meio-ambiente, obras e aprovação de projetos. Cargos técnicos existentes em órgãos de financiamento, como a Caixa Econômica Federal, bem como em outros órgãos de infraestrutura urbana.</w:t>
            </w:r>
          </w:p>
        </w:tc>
      </w:tr>
      <w:tr>
        <w:trPr>
          <w:trHeight w:val="1449"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rPr>
                <w:sz w:val="22"/>
              </w:rPr>
            </w:pPr>
          </w:p>
          <w:p>
            <w:pPr>
              <w:pStyle w:val="TableParagraph"/>
              <w:spacing w:before="4"/>
              <w:rPr>
                <w:sz w:val="31"/>
              </w:rPr>
            </w:pPr>
          </w:p>
          <w:p>
            <w:pPr>
              <w:pStyle w:val="TableParagraph"/>
              <w:ind w:left="110"/>
              <w:rPr>
                <w:sz w:val="19"/>
              </w:rPr>
            </w:pPr>
            <w:r>
              <w:rPr>
                <w:color w:val="FFFFFF"/>
                <w:sz w:val="19"/>
              </w:rPr>
              <w:t>F</w:t>
            </w:r>
            <w:r>
              <w:rPr>
                <w:color w:val="FFFFFF"/>
                <w:sz w:val="16"/>
              </w:rPr>
              <w:t>ISCALIZAÇÃO</w:t>
            </w:r>
            <w:r>
              <w:rPr>
                <w:color w:val="FFFFFF"/>
                <w:sz w:val="19"/>
              </w:rPr>
              <w:t>:</w:t>
            </w:r>
          </w:p>
        </w:tc>
        <w:tc>
          <w:tcPr>
            <w:tcW w:w="12393" w:type="dxa"/>
          </w:tcPr>
          <w:p>
            <w:pPr>
              <w:pStyle w:val="TableParagraph"/>
              <w:spacing w:before="61"/>
              <w:ind w:left="174"/>
              <w:rPr>
                <w:sz w:val="19"/>
              </w:rPr>
            </w:pPr>
            <w:r>
              <w:rPr>
                <w:w w:val="105"/>
                <w:sz w:val="19"/>
              </w:rPr>
              <w:t>Realizar reuniões orientativas junto aos órgãos públicos;</w:t>
            </w:r>
          </w:p>
          <w:p>
            <w:pPr>
              <w:pStyle w:val="TableParagraph"/>
              <w:spacing w:line="252" w:lineRule="auto" w:before="75"/>
              <w:ind w:left="174"/>
              <w:rPr>
                <w:sz w:val="19"/>
              </w:rPr>
            </w:pPr>
            <w:r>
              <w:rPr>
                <w:w w:val="105"/>
                <w:sz w:val="19"/>
              </w:rPr>
              <w:t>Verificar junto aos órgãos públicos os cargos técnicos cujo desempenho necessite de habilitação legal e conhecimento técnico em Arquitetura e Urbanismo;</w:t>
            </w:r>
          </w:p>
          <w:p>
            <w:pPr>
              <w:pStyle w:val="TableParagraph"/>
              <w:spacing w:line="288" w:lineRule="exact" w:before="12"/>
              <w:ind w:left="174" w:right="1571"/>
              <w:rPr>
                <w:sz w:val="19"/>
              </w:rPr>
            </w:pPr>
            <w:r>
              <w:rPr>
                <w:w w:val="105"/>
                <w:sz w:val="19"/>
              </w:rPr>
              <w:t>Verificar existência de RRT de cargo ou função do arquiteto e urbanista ocupante do cargo técnico no órgão público; Verificar cumprimento do pagamento do salário mínimo profissional, quando for o caso.</w:t>
            </w:r>
          </w:p>
        </w:tc>
      </w:tr>
      <w:tr>
        <w:trPr>
          <w:trHeight w:val="1103" w:hRule="atLeast"/>
        </w:trPr>
        <w:tc>
          <w:tcPr>
            <w:tcW w:w="1459" w:type="dxa"/>
            <w:vMerge/>
            <w:tcBorders>
              <w:top w:val="nil"/>
            </w:tcBorders>
            <w:shd w:val="clear" w:color="auto" w:fill="00666D"/>
          </w:tcPr>
          <w:p>
            <w:pPr>
              <w:rPr>
                <w:sz w:val="2"/>
                <w:szCs w:val="2"/>
              </w:rPr>
            </w:pPr>
          </w:p>
        </w:tc>
        <w:tc>
          <w:tcPr>
            <w:tcW w:w="1703" w:type="dxa"/>
            <w:gridSpan w:val="2"/>
            <w:tcBorders>
              <w:top w:val="single" w:sz="4" w:space="0" w:color="A6A6A6"/>
              <w:bottom w:val="single" w:sz="4" w:space="0" w:color="A6A6A6"/>
            </w:tcBorders>
            <w:shd w:val="clear" w:color="auto" w:fill="00666D"/>
          </w:tcPr>
          <w:p>
            <w:pPr>
              <w:pStyle w:val="TableParagraph"/>
              <w:spacing w:before="8"/>
              <w:rPr>
                <w:sz w:val="28"/>
              </w:rPr>
            </w:pPr>
          </w:p>
          <w:p>
            <w:pPr>
              <w:pStyle w:val="TableParagraph"/>
              <w:spacing w:line="247" w:lineRule="auto"/>
              <w:ind w:left="110" w:right="33"/>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tc>
        <w:tc>
          <w:tcPr>
            <w:tcW w:w="12393" w:type="dxa"/>
          </w:tcPr>
          <w:p>
            <w:pPr>
              <w:pStyle w:val="TableParagraph"/>
              <w:spacing w:line="252" w:lineRule="auto" w:before="66"/>
              <w:ind w:left="174" w:right="87"/>
              <w:rPr>
                <w:sz w:val="19"/>
              </w:rPr>
            </w:pPr>
            <w:r>
              <w:rPr>
                <w:w w:val="105"/>
                <w:sz w:val="19"/>
              </w:rPr>
              <w:t>Após elaboração do Relatório Digital de Fiscalização, caso constatada situação de irregularidade, lavrar Notificação, em desfavor do órgão público, concedendo o prazo de 10 (dez) dias para regularização.</w:t>
            </w:r>
          </w:p>
          <w:p>
            <w:pPr>
              <w:pStyle w:val="TableParagraph"/>
              <w:spacing w:line="252" w:lineRule="auto" w:before="60"/>
              <w:ind w:left="174"/>
              <w:rPr>
                <w:sz w:val="19"/>
              </w:rPr>
            </w:pPr>
            <w:r>
              <w:rPr>
                <w:w w:val="105"/>
                <w:sz w:val="19"/>
              </w:rPr>
              <w:t>*Deve ser considerado como profissional legalmente habilitado o engenheiro civil, investido em cargo técnico em setor de aprovação de projetos, obras e infraestrutura urbana.</w:t>
            </w:r>
          </w:p>
        </w:tc>
      </w:tr>
      <w:tr>
        <w:trPr>
          <w:trHeight w:val="1671" w:hRule="atLeast"/>
        </w:trPr>
        <w:tc>
          <w:tcPr>
            <w:tcW w:w="3162" w:type="dxa"/>
            <w:gridSpan w:val="3"/>
            <w:shd w:val="clear" w:color="auto" w:fill="00666D"/>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97"/>
              <w:ind w:left="1263" w:right="1393"/>
              <w:jc w:val="center"/>
              <w:rPr>
                <w:sz w:val="19"/>
              </w:rPr>
            </w:pPr>
            <w:r>
              <w:rPr>
                <w:color w:val="FFFFFF"/>
                <w:w w:val="105"/>
                <w:sz w:val="19"/>
              </w:rPr>
              <w:t>- 28 -</w:t>
            </w:r>
          </w:p>
        </w:tc>
        <w:tc>
          <w:tcPr>
            <w:tcW w:w="12393" w:type="dxa"/>
          </w:tcPr>
          <w:p>
            <w:pPr>
              <w:pStyle w:val="TableParagraph"/>
              <w:rPr>
                <w:rFonts w:ascii="Times New Roman"/>
                <w:sz w:val="18"/>
              </w:rPr>
            </w:pPr>
          </w:p>
        </w:tc>
      </w:tr>
    </w:tbl>
    <w:p>
      <w:pPr>
        <w:spacing w:after="0"/>
        <w:rPr>
          <w:rFonts w:ascii="Times New Roman"/>
          <w:sz w:val="18"/>
        </w:rPr>
        <w:sectPr>
          <w:pgSz w:w="16840" w:h="11900" w:orient="landscape"/>
          <w:pgMar w:top="240" w:bottom="0" w:left="140" w:right="860"/>
        </w:sectPr>
      </w:pPr>
    </w:p>
    <w:p>
      <w:pPr>
        <w:pStyle w:val="Heading4"/>
        <w:spacing w:before="82"/>
      </w:pPr>
      <w:r>
        <w:rPr>
          <w:color w:val="00666D"/>
        </w:rPr>
        <w:t>- Manual de Fiscalização do Exercício da Arquitetura e Urbanismo -</w:t>
      </w:r>
    </w:p>
    <w:p>
      <w:pPr>
        <w:pStyle w:val="BodyText"/>
        <w:rPr>
          <w:rFonts w:ascii="DaxCondensed"/>
          <w:sz w:val="20"/>
        </w:rPr>
      </w:pPr>
    </w:p>
    <w:p>
      <w:pPr>
        <w:pStyle w:val="BodyText"/>
        <w:rPr>
          <w:rFonts w:ascii="DaxCondensed"/>
          <w:sz w:val="21"/>
        </w:rPr>
      </w:pPr>
    </w:p>
    <w:p>
      <w:pPr>
        <w:spacing w:after="0"/>
        <w:rPr>
          <w:rFonts w:ascii="DaxCondensed"/>
          <w:sz w:val="21"/>
        </w:rPr>
        <w:sectPr>
          <w:pgSz w:w="16840" w:h="11900" w:orient="landscape"/>
          <w:pgMar w:top="640" w:bottom="280" w:left="140" w:right="860"/>
        </w:sectPr>
      </w:pPr>
    </w:p>
    <w:p>
      <w:pPr>
        <w:pStyle w:val="BodyText"/>
        <w:rPr>
          <w:rFonts w:ascii="DaxCondensed"/>
          <w:sz w:val="22"/>
        </w:rPr>
      </w:pPr>
    </w:p>
    <w:p>
      <w:pPr>
        <w:pStyle w:val="BodyText"/>
        <w:rPr>
          <w:rFonts w:ascii="DaxCondensed"/>
          <w:sz w:val="22"/>
        </w:rPr>
      </w:pPr>
    </w:p>
    <w:p>
      <w:pPr>
        <w:spacing w:before="174"/>
        <w:ind w:left="1669" w:right="0" w:firstLine="0"/>
        <w:jc w:val="left"/>
        <w:rPr>
          <w:sz w:val="19"/>
        </w:rPr>
      </w:pPr>
      <w:r>
        <w:rPr>
          <w:color w:val="FFFFFF"/>
          <w:sz w:val="19"/>
        </w:rPr>
        <w:t>C</w:t>
      </w:r>
      <w:r>
        <w:rPr>
          <w:color w:val="FFFFFF"/>
          <w:sz w:val="16"/>
        </w:rPr>
        <w:t>IRCUNSCRIÇÃO</w:t>
      </w:r>
      <w:r>
        <w:rPr>
          <w:color w:val="FFFFFF"/>
          <w:sz w:val="19"/>
        </w:rPr>
        <w:t>:</w:t>
      </w:r>
    </w:p>
    <w:p>
      <w:pPr>
        <w:pStyle w:val="BodyText"/>
        <w:rPr>
          <w:sz w:val="22"/>
        </w:rPr>
      </w:pPr>
    </w:p>
    <w:p>
      <w:pPr>
        <w:pStyle w:val="BodyText"/>
        <w:rPr>
          <w:sz w:val="22"/>
        </w:rPr>
      </w:pPr>
    </w:p>
    <w:p>
      <w:pPr>
        <w:pStyle w:val="BodyText"/>
        <w:spacing w:before="5"/>
        <w:rPr>
          <w:sz w:val="23"/>
        </w:rPr>
      </w:pPr>
    </w:p>
    <w:p>
      <w:pPr>
        <w:spacing w:before="0"/>
        <w:ind w:left="1669" w:right="0" w:firstLine="0"/>
        <w:jc w:val="left"/>
        <w:rPr>
          <w:sz w:val="19"/>
        </w:rPr>
      </w:pPr>
      <w:r>
        <w:rPr>
          <w:color w:val="FFFFFF"/>
          <w:sz w:val="19"/>
        </w:rPr>
        <w:t>F</w:t>
      </w:r>
      <w:r>
        <w:rPr>
          <w:color w:val="FFFFFF"/>
          <w:sz w:val="16"/>
        </w:rPr>
        <w:t>ISCALIZAÇÃO</w:t>
      </w:r>
      <w:r>
        <w:rPr>
          <w:color w:val="FFFFFF"/>
          <w:sz w:val="19"/>
        </w:rPr>
        <w:t>:</w:t>
      </w:r>
    </w:p>
    <w:p>
      <w:pPr>
        <w:pStyle w:val="BodyText"/>
        <w:rPr>
          <w:sz w:val="22"/>
        </w:rPr>
      </w:pPr>
    </w:p>
    <w:p>
      <w:pPr>
        <w:pStyle w:val="BodyText"/>
        <w:rPr>
          <w:sz w:val="22"/>
        </w:rPr>
      </w:pPr>
    </w:p>
    <w:p>
      <w:pPr>
        <w:pStyle w:val="BodyText"/>
        <w:rPr>
          <w:sz w:val="22"/>
        </w:rPr>
      </w:pPr>
    </w:p>
    <w:p>
      <w:pPr>
        <w:spacing w:line="252" w:lineRule="auto" w:before="136"/>
        <w:ind w:left="1669" w:right="-11" w:firstLine="0"/>
        <w:jc w:val="left"/>
        <w:rPr>
          <w:sz w:val="19"/>
        </w:rPr>
      </w:pPr>
      <w:r>
        <w:rPr>
          <w:color w:val="FFFFFF"/>
          <w:sz w:val="19"/>
        </w:rPr>
        <w:t>P</w:t>
      </w:r>
      <w:r>
        <w:rPr>
          <w:color w:val="FFFFFF"/>
          <w:sz w:val="16"/>
        </w:rPr>
        <w:t>ROCEDIMENTOS </w:t>
      </w:r>
      <w:r>
        <w:rPr>
          <w:color w:val="FFFFFF"/>
          <w:sz w:val="19"/>
        </w:rPr>
        <w:t>A</w:t>
      </w:r>
      <w:r>
        <w:rPr>
          <w:color w:val="FFFFFF"/>
          <w:sz w:val="16"/>
        </w:rPr>
        <w:t>DMINISTRATIVOS</w:t>
      </w:r>
      <w:r>
        <w:rPr>
          <w:color w:val="FFFFFF"/>
          <w:sz w:val="19"/>
        </w:rPr>
        <w:t>:</w:t>
      </w:r>
    </w:p>
    <w:p>
      <w:pPr>
        <w:pStyle w:val="ListParagraph"/>
        <w:numPr>
          <w:ilvl w:val="0"/>
          <w:numId w:val="24"/>
        </w:numPr>
        <w:tabs>
          <w:tab w:pos="572" w:val="left" w:leader="none"/>
        </w:tabs>
        <w:spacing w:line="240" w:lineRule="auto" w:before="100" w:after="0"/>
        <w:ind w:left="571" w:right="0" w:hanging="425"/>
        <w:jc w:val="left"/>
        <w:rPr>
          <w:sz w:val="16"/>
        </w:rPr>
      </w:pPr>
      <w:r>
        <w:rPr>
          <w:color w:val="FFFFFF"/>
          <w:spacing w:val="1"/>
          <w:w w:val="103"/>
          <w:sz w:val="19"/>
        </w:rPr>
        <w:br w:type="column"/>
      </w:r>
      <w:r>
        <w:rPr>
          <w:color w:val="FFFFFF"/>
          <w:sz w:val="19"/>
        </w:rPr>
        <w:t>L</w:t>
      </w:r>
      <w:r>
        <w:rPr>
          <w:color w:val="FFFFFF"/>
          <w:sz w:val="16"/>
        </w:rPr>
        <w:t>ICITAÇÕES</w:t>
      </w:r>
      <w:r>
        <w:rPr>
          <w:color w:val="FFFFFF"/>
          <w:spacing w:val="1"/>
          <w:sz w:val="16"/>
        </w:rPr>
        <w:t> </w:t>
      </w:r>
      <w:r>
        <w:rPr>
          <w:color w:val="FFFFFF"/>
          <w:sz w:val="19"/>
        </w:rPr>
        <w:t>P</w:t>
      </w:r>
      <w:r>
        <w:rPr>
          <w:color w:val="FFFFFF"/>
          <w:sz w:val="16"/>
        </w:rPr>
        <w:t>ÚBLICAS</w:t>
      </w:r>
    </w:p>
    <w:p>
      <w:pPr>
        <w:pStyle w:val="BodyText"/>
        <w:spacing w:before="4"/>
        <w:rPr>
          <w:sz w:val="17"/>
        </w:rPr>
      </w:pPr>
    </w:p>
    <w:p>
      <w:pPr>
        <w:pStyle w:val="BodyText"/>
        <w:spacing w:line="321" w:lineRule="auto"/>
        <w:ind w:left="178" w:right="5020"/>
      </w:pPr>
      <w:r>
        <w:rPr>
          <w:w w:val="105"/>
        </w:rPr>
        <w:t>Editais de licitação de contratação de obras e serviços de Arquitetura e Urbanismo; Editais de concurso público de contratação de arquitetos e urbanistas;</w:t>
      </w:r>
    </w:p>
    <w:p>
      <w:pPr>
        <w:pStyle w:val="BodyText"/>
        <w:spacing w:line="249" w:lineRule="auto" w:before="72"/>
        <w:ind w:left="178" w:right="210"/>
        <w:jc w:val="both"/>
      </w:pPr>
      <w:r>
        <w:rPr>
          <w:w w:val="105"/>
        </w:rPr>
        <w:t>Verificar a existência de RRT para a realização das atividades técnicas elencadas nos editais de licitação de obras e serviços de Arquitetura e Urbanismo, tais como estudo preliminar, projeto arquitetônico (básico e executivo), laudos, orçamentos, planos de manutenção, entre outras;</w:t>
      </w:r>
    </w:p>
    <w:p>
      <w:pPr>
        <w:pStyle w:val="BodyText"/>
        <w:spacing w:line="252" w:lineRule="auto" w:before="67"/>
        <w:ind w:left="178" w:right="272"/>
      </w:pPr>
      <w:r>
        <w:rPr>
          <w:w w:val="105"/>
        </w:rPr>
        <w:t>Verificar, quando o caso, o cumprimento do salário mínimo profissional nos editais de concurso público para contratação de arquitetos e urbanistas.</w:t>
      </w:r>
    </w:p>
    <w:p>
      <w:pPr>
        <w:pStyle w:val="BodyText"/>
        <w:spacing w:line="247" w:lineRule="auto" w:before="132"/>
        <w:ind w:left="178" w:right="272"/>
      </w:pPr>
      <w:r>
        <w:rPr>
          <w:w w:val="105"/>
        </w:rPr>
        <w:t>Após elaboração do Relatório Digital de Fiscalização, caso constatada situação de irregularidade, lavrar Notificação, em desfavor do órgão público, concedendo o prazo de 10 (dez) dias para regularização.</w:t>
      </w:r>
    </w:p>
    <w:p>
      <w:pPr>
        <w:pStyle w:val="BodyText"/>
        <w:spacing w:line="252" w:lineRule="auto" w:before="68"/>
        <w:ind w:left="178" w:right="272"/>
      </w:pPr>
      <w:r>
        <w:rPr>
          <w:w w:val="105"/>
        </w:rPr>
        <w:t>* Deve ser considerado válido como documento de regularidade das atividades acima o registro de ART do CREA nos casos previstos</w:t>
      </w:r>
      <w:r>
        <w:rPr>
          <w:spacing w:val="55"/>
          <w:w w:val="105"/>
        </w:rPr>
        <w:t> </w:t>
      </w:r>
      <w:r>
        <w:rPr>
          <w:w w:val="105"/>
        </w:rPr>
        <w:t>na legislação</w:t>
      </w:r>
      <w:r>
        <w:rPr>
          <w:spacing w:val="2"/>
          <w:w w:val="105"/>
        </w:rPr>
        <w:t> </w:t>
      </w:r>
      <w:r>
        <w:rPr>
          <w:w w:val="105"/>
        </w:rPr>
        <w:t>vigente.</w:t>
      </w:r>
    </w:p>
    <w:p>
      <w:pPr>
        <w:spacing w:after="0" w:line="252" w:lineRule="auto"/>
        <w:sectPr>
          <w:type w:val="continuous"/>
          <w:pgSz w:w="16840" w:h="11900" w:orient="landscape"/>
          <w:pgMar w:top="1100" w:bottom="280" w:left="140" w:right="860"/>
          <w:cols w:num="2" w:equalWidth="0">
            <w:col w:w="3218" w:space="40"/>
            <w:col w:w="12582"/>
          </w:cols>
        </w:sectPr>
      </w:pPr>
    </w:p>
    <w:p>
      <w:pPr>
        <w:pStyle w:val="BodyText"/>
        <w:rPr>
          <w:sz w:val="20"/>
        </w:rPr>
      </w:pPr>
    </w:p>
    <w:p>
      <w:pPr>
        <w:spacing w:before="210"/>
        <w:ind w:left="283" w:right="0" w:firstLine="0"/>
        <w:jc w:val="left"/>
        <w:rPr>
          <w:b/>
          <w:sz w:val="18"/>
        </w:rPr>
      </w:pPr>
      <w:r>
        <w:rPr>
          <w:b/>
          <w:color w:val="FFFFFF"/>
          <w:sz w:val="24"/>
        </w:rPr>
        <w:t>T</w:t>
      </w:r>
      <w:r>
        <w:rPr>
          <w:b/>
          <w:color w:val="FFFFFF"/>
          <w:sz w:val="18"/>
        </w:rPr>
        <w:t>ABELA DE </w:t>
      </w:r>
      <w:r>
        <w:rPr>
          <w:b/>
          <w:color w:val="FFFFFF"/>
          <w:sz w:val="24"/>
        </w:rPr>
        <w:t>C</w:t>
      </w:r>
      <w:r>
        <w:rPr>
          <w:b/>
          <w:color w:val="FFFFFF"/>
          <w:sz w:val="18"/>
        </w:rPr>
        <w:t>APITULAÇÕES </w:t>
      </w:r>
    </w:p>
    <w:p>
      <w:pPr>
        <w:spacing w:before="60"/>
        <w:ind w:left="283" w:right="0" w:firstLine="0"/>
        <w:jc w:val="left"/>
        <w:rPr>
          <w:b/>
          <w:sz w:val="18"/>
        </w:rPr>
      </w:pPr>
      <w:r>
        <w:rPr>
          <w:b/>
          <w:color w:val="FFFFFF"/>
          <w:spacing w:val="15"/>
          <w:w w:val="105"/>
          <w:sz w:val="24"/>
        </w:rPr>
        <w:t>I</w:t>
      </w:r>
      <w:r>
        <w:rPr>
          <w:b/>
          <w:color w:val="FFFFFF"/>
          <w:spacing w:val="15"/>
          <w:w w:val="105"/>
          <w:sz w:val="18"/>
        </w:rPr>
        <w:t>NFRAÇÕES </w:t>
      </w:r>
      <w:r>
        <w:rPr>
          <w:b/>
          <w:color w:val="FFFFFF"/>
          <w:w w:val="105"/>
          <w:sz w:val="18"/>
        </w:rPr>
        <w:t>E</w:t>
      </w:r>
      <w:r>
        <w:rPr>
          <w:b/>
          <w:color w:val="FFFFFF"/>
          <w:spacing w:val="51"/>
          <w:w w:val="105"/>
          <w:sz w:val="18"/>
        </w:rPr>
        <w:t> </w:t>
      </w:r>
      <w:r>
        <w:rPr>
          <w:b/>
          <w:color w:val="FFFFFF"/>
          <w:spacing w:val="15"/>
          <w:w w:val="105"/>
          <w:sz w:val="24"/>
        </w:rPr>
        <w:t>P</w:t>
      </w:r>
      <w:r>
        <w:rPr>
          <w:b/>
          <w:color w:val="FFFFFF"/>
          <w:spacing w:val="15"/>
          <w:w w:val="105"/>
          <w:sz w:val="18"/>
        </w:rPr>
        <w:t>ENALIDADES</w:t>
      </w:r>
      <w:r>
        <w:rPr>
          <w:b/>
          <w:color w:val="FFFFFF"/>
          <w:spacing w:val="-33"/>
          <w:sz w:val="18"/>
        </w:rPr>
        <w:t> </w:t>
      </w:r>
    </w:p>
    <w:p>
      <w:pPr>
        <w:pStyle w:val="BodyText"/>
        <w:rPr>
          <w:b/>
          <w:sz w:val="20"/>
        </w:rPr>
      </w:pPr>
    </w:p>
    <w:p>
      <w:pPr>
        <w:pStyle w:val="BodyText"/>
        <w:spacing w:before="7"/>
        <w:rPr>
          <w:b/>
          <w:sz w:val="23"/>
        </w:rPr>
      </w:pPr>
    </w:p>
    <w:p>
      <w:pPr>
        <w:tabs>
          <w:tab w:pos="14358" w:val="left" w:leader="none"/>
        </w:tabs>
        <w:spacing w:before="100"/>
        <w:ind w:left="364" w:right="0" w:firstLine="0"/>
        <w:jc w:val="left"/>
        <w:rPr>
          <w:sz w:val="16"/>
        </w:rPr>
      </w:pPr>
      <w:r>
        <w:rPr>
          <w:color w:val="FFFFFF"/>
          <w:w w:val="103"/>
          <w:sz w:val="19"/>
          <w:shd w:fill="00666D" w:color="auto" w:val="clear"/>
        </w:rPr>
        <w:t> </w:t>
      </w:r>
      <w:r>
        <w:rPr>
          <w:color w:val="FFFFFF"/>
          <w:sz w:val="19"/>
          <w:shd w:fill="00666D" w:color="auto" w:val="clear"/>
        </w:rPr>
        <w:tab/>
        <w:t>P</w:t>
      </w:r>
      <w:r>
        <w:rPr>
          <w:color w:val="FFFFFF"/>
          <w:sz w:val="16"/>
          <w:shd w:fill="00666D" w:color="auto" w:val="clear"/>
        </w:rPr>
        <w:t>ESSOA</w:t>
      </w:r>
      <w:r>
        <w:rPr>
          <w:color w:val="FFFFFF"/>
          <w:spacing w:val="2"/>
          <w:sz w:val="16"/>
          <w:shd w:fill="00666D" w:color="auto" w:val="clear"/>
        </w:rPr>
        <w:t> </w:t>
      </w:r>
      <w:r>
        <w:rPr>
          <w:color w:val="FFFFFF"/>
          <w:sz w:val="19"/>
          <w:shd w:fill="00666D" w:color="auto" w:val="clear"/>
        </w:rPr>
        <w:t>F</w:t>
      </w:r>
      <w:r>
        <w:rPr>
          <w:color w:val="FFFFFF"/>
          <w:sz w:val="16"/>
          <w:shd w:fill="00666D" w:color="auto" w:val="clear"/>
        </w:rPr>
        <w:t>ÍSICA</w:t>
      </w:r>
    </w:p>
    <w:p>
      <w:pPr>
        <w:tabs>
          <w:tab w:pos="3450" w:val="left" w:leader="none"/>
          <w:tab w:pos="6695" w:val="left" w:leader="none"/>
          <w:tab w:pos="9099" w:val="left" w:leader="none"/>
          <w:tab w:pos="15656" w:val="left" w:leader="none"/>
        </w:tabs>
        <w:spacing w:before="165"/>
        <w:ind w:left="392" w:right="0" w:firstLine="0"/>
        <w:jc w:val="left"/>
        <w:rPr>
          <w:b/>
          <w:sz w:val="19"/>
        </w:rPr>
      </w:pPr>
      <w:r>
        <w:rPr>
          <w:color w:val="FFFFFF"/>
          <w:sz w:val="19"/>
        </w:rPr>
        <w:t>I</w:t>
      </w:r>
      <w:r>
        <w:rPr>
          <w:color w:val="FFFFFF"/>
          <w:sz w:val="16"/>
        </w:rPr>
        <w:t>NFRAÇÃO</w:t>
      </w:r>
      <w:r>
        <w:rPr>
          <w:b/>
          <w:sz w:val="19"/>
        </w:rPr>
        <w:t>:</w:t>
        <w:tab/>
      </w:r>
      <w:r>
        <w:rPr>
          <w:color w:val="FFFFFF"/>
          <w:sz w:val="19"/>
          <w:shd w:fill="00666D" w:color="auto" w:val="clear"/>
        </w:rPr>
        <w:t>C</w:t>
      </w:r>
      <w:r>
        <w:rPr>
          <w:color w:val="FFFFFF"/>
          <w:sz w:val="16"/>
          <w:shd w:fill="00666D" w:color="auto" w:val="clear"/>
        </w:rPr>
        <w:t>APITULAÇÃO</w:t>
      </w:r>
      <w:r>
        <w:rPr>
          <w:b/>
          <w:sz w:val="19"/>
          <w:shd w:fill="00666D" w:color="auto" w:val="clear"/>
        </w:rPr>
        <w:t>:</w:t>
        <w:tab/>
      </w:r>
      <w:r>
        <w:rPr>
          <w:color w:val="FFFFFF"/>
          <w:sz w:val="19"/>
          <w:shd w:fill="00666D" w:color="auto" w:val="clear"/>
        </w:rPr>
        <w:t>M</w:t>
      </w:r>
      <w:r>
        <w:rPr>
          <w:color w:val="FFFFFF"/>
          <w:sz w:val="16"/>
          <w:shd w:fill="00666D" w:color="auto" w:val="clear"/>
        </w:rPr>
        <w:t>ULTA</w:t>
      </w:r>
      <w:r>
        <w:rPr>
          <w:b/>
          <w:sz w:val="19"/>
          <w:shd w:fill="00666D" w:color="auto" w:val="clear"/>
        </w:rPr>
        <w:t>:</w:t>
        <w:tab/>
      </w:r>
      <w:r>
        <w:rPr>
          <w:color w:val="FFFFFF"/>
          <w:sz w:val="19"/>
          <w:shd w:fill="00666D" w:color="auto" w:val="clear"/>
        </w:rPr>
        <w:t>R</w:t>
      </w:r>
      <w:r>
        <w:rPr>
          <w:color w:val="FFFFFF"/>
          <w:sz w:val="16"/>
          <w:shd w:fill="00666D" w:color="auto" w:val="clear"/>
        </w:rPr>
        <w:t>EGULARIZAÇÃO</w:t>
      </w:r>
      <w:r>
        <w:rPr>
          <w:b/>
          <w:sz w:val="19"/>
          <w:shd w:fill="00666D" w:color="auto" w:val="clear"/>
        </w:rPr>
        <w:t>:</w:t>
        <w:tab/>
      </w:r>
    </w:p>
    <w:p>
      <w:pPr>
        <w:spacing w:line="162" w:lineRule="exact" w:before="180"/>
        <w:ind w:left="3479" w:right="0" w:firstLine="0"/>
        <w:jc w:val="left"/>
        <w:rPr>
          <w:sz w:val="17"/>
        </w:rPr>
      </w:pPr>
      <w:r>
        <w:rPr>
          <w:w w:val="105"/>
          <w:sz w:val="17"/>
        </w:rPr>
        <w:t>Artigos 5° e 7° - Lei n° 12.378/2010</w:t>
      </w:r>
    </w:p>
    <w:p>
      <w:pPr>
        <w:spacing w:after="0" w:line="162" w:lineRule="exact"/>
        <w:jc w:val="left"/>
        <w:rPr>
          <w:sz w:val="17"/>
        </w:rPr>
        <w:sectPr>
          <w:type w:val="continuous"/>
          <w:pgSz w:w="16840" w:h="11900" w:orient="landscape"/>
          <w:pgMar w:top="1100" w:bottom="280" w:left="140" w:right="860"/>
        </w:sectPr>
      </w:pPr>
    </w:p>
    <w:p>
      <w:pPr>
        <w:spacing w:before="107"/>
        <w:ind w:left="392" w:right="0" w:firstLine="0"/>
        <w:jc w:val="left"/>
        <w:rPr>
          <w:sz w:val="17"/>
        </w:rPr>
      </w:pPr>
      <w:r>
        <w:rPr>
          <w:color w:val="FFFFFF"/>
          <w:w w:val="105"/>
          <w:sz w:val="17"/>
        </w:rPr>
        <w:t>Ausência de Registro</w:t>
      </w:r>
      <w:r>
        <w:rPr>
          <w:color w:val="FFFFFF"/>
          <w:spacing w:val="10"/>
          <w:w w:val="105"/>
          <w:sz w:val="17"/>
        </w:rPr>
        <w:t> </w:t>
      </w:r>
      <w:r>
        <w:rPr>
          <w:color w:val="FFFFFF"/>
          <w:w w:val="105"/>
          <w:sz w:val="17"/>
        </w:rPr>
        <w:t>Profissional</w:t>
      </w:r>
    </w:p>
    <w:p>
      <w:pPr>
        <w:pStyle w:val="BodyText"/>
        <w:rPr>
          <w:sz w:val="20"/>
        </w:rPr>
      </w:pPr>
    </w:p>
    <w:p>
      <w:pPr>
        <w:pStyle w:val="BodyText"/>
        <w:rPr>
          <w:sz w:val="20"/>
        </w:rPr>
      </w:pPr>
    </w:p>
    <w:p>
      <w:pPr>
        <w:pStyle w:val="BodyText"/>
        <w:spacing w:before="6"/>
        <w:rPr>
          <w:sz w:val="18"/>
        </w:rPr>
      </w:pPr>
    </w:p>
    <w:p>
      <w:pPr>
        <w:spacing w:before="0"/>
        <w:ind w:left="392" w:right="0" w:firstLine="0"/>
        <w:jc w:val="left"/>
        <w:rPr>
          <w:sz w:val="17"/>
        </w:rPr>
      </w:pPr>
      <w:r>
        <w:rPr>
          <w:color w:val="FFFFFF"/>
          <w:w w:val="105"/>
          <w:sz w:val="17"/>
        </w:rPr>
        <w:t>Registro Profissional</w:t>
      </w:r>
      <w:r>
        <w:rPr>
          <w:color w:val="FFFFFF"/>
          <w:spacing w:val="6"/>
          <w:w w:val="105"/>
          <w:sz w:val="17"/>
        </w:rPr>
        <w:t> </w:t>
      </w:r>
      <w:r>
        <w:rPr>
          <w:color w:val="FFFFFF"/>
          <w:w w:val="105"/>
          <w:sz w:val="17"/>
        </w:rPr>
        <w:t>Interrompido</w:t>
      </w:r>
    </w:p>
    <w:p>
      <w:pPr>
        <w:pStyle w:val="BodyText"/>
        <w:rPr>
          <w:sz w:val="20"/>
        </w:rPr>
      </w:pPr>
    </w:p>
    <w:p>
      <w:pPr>
        <w:pStyle w:val="BodyText"/>
        <w:rPr>
          <w:sz w:val="20"/>
        </w:rPr>
      </w:pPr>
    </w:p>
    <w:p>
      <w:pPr>
        <w:pStyle w:val="BodyText"/>
        <w:rPr>
          <w:sz w:val="20"/>
        </w:rPr>
      </w:pPr>
    </w:p>
    <w:p>
      <w:pPr>
        <w:pStyle w:val="BodyText"/>
        <w:spacing w:before="10"/>
        <w:rPr>
          <w:sz w:val="16"/>
        </w:rPr>
      </w:pPr>
    </w:p>
    <w:p>
      <w:pPr>
        <w:spacing w:before="1"/>
        <w:ind w:left="392" w:right="0" w:firstLine="0"/>
        <w:jc w:val="left"/>
        <w:rPr>
          <w:sz w:val="17"/>
        </w:rPr>
      </w:pPr>
      <w:r>
        <w:rPr>
          <w:color w:val="FFFFFF"/>
          <w:w w:val="105"/>
          <w:sz w:val="17"/>
        </w:rPr>
        <w:t>Registro Profissional Suspenso</w:t>
      </w:r>
    </w:p>
    <w:p>
      <w:pPr>
        <w:spacing w:line="331" w:lineRule="auto" w:before="102"/>
        <w:ind w:left="336" w:right="189" w:firstLine="0"/>
        <w:jc w:val="left"/>
        <w:rPr>
          <w:sz w:val="17"/>
        </w:rPr>
      </w:pPr>
      <w:r>
        <w:rPr/>
        <w:br w:type="column"/>
      </w:r>
      <w:r>
        <w:rPr>
          <w:w w:val="105"/>
          <w:sz w:val="17"/>
        </w:rPr>
        <w:t>Art. 4º - Resolução CAU/BR nº 18 Art. 35, I - Resolução CAU/BR nº 22</w:t>
      </w:r>
    </w:p>
    <w:p>
      <w:pPr>
        <w:spacing w:line="324" w:lineRule="auto" w:before="70"/>
        <w:ind w:left="336" w:right="189" w:firstLine="0"/>
        <w:jc w:val="left"/>
        <w:rPr>
          <w:sz w:val="17"/>
        </w:rPr>
      </w:pPr>
      <w:r>
        <w:rPr>
          <w:w w:val="105"/>
          <w:sz w:val="17"/>
        </w:rPr>
        <w:t>Artigos 7º e 9° - Lei n° 12.378/2010 Art. 20 Resolução CAU/BR nº 18</w:t>
      </w:r>
    </w:p>
    <w:p>
      <w:pPr>
        <w:spacing w:before="0"/>
        <w:ind w:left="336" w:right="0" w:firstLine="0"/>
        <w:jc w:val="left"/>
        <w:rPr>
          <w:sz w:val="17"/>
        </w:rPr>
      </w:pPr>
      <w:r>
        <w:rPr>
          <w:w w:val="105"/>
          <w:sz w:val="17"/>
        </w:rPr>
        <w:t>Art. 35, XIV - Resolução CAU/BR nº 22</w:t>
      </w:r>
    </w:p>
    <w:p>
      <w:pPr>
        <w:pStyle w:val="BodyText"/>
        <w:rPr>
          <w:sz w:val="20"/>
        </w:rPr>
      </w:pPr>
    </w:p>
    <w:p>
      <w:pPr>
        <w:spacing w:line="324" w:lineRule="auto" w:before="122"/>
        <w:ind w:left="336" w:right="75" w:firstLine="0"/>
        <w:jc w:val="left"/>
        <w:rPr>
          <w:sz w:val="17"/>
        </w:rPr>
      </w:pPr>
      <w:r>
        <w:rPr>
          <w:w w:val="105"/>
          <w:sz w:val="17"/>
        </w:rPr>
        <w:t>Artigos 5° e 7° - Lei n° 12.378/2010 Art. 21, I, II e III - Res. CAU/BR nº 18</w:t>
      </w:r>
    </w:p>
    <w:p>
      <w:pPr>
        <w:spacing w:before="5"/>
        <w:ind w:left="336" w:right="0" w:firstLine="0"/>
        <w:jc w:val="left"/>
        <w:rPr>
          <w:sz w:val="17"/>
        </w:rPr>
      </w:pPr>
      <w:r>
        <w:rPr>
          <w:w w:val="105"/>
          <w:sz w:val="17"/>
        </w:rPr>
        <w:t>Art. 35, II, Resolução CAU/BR nº 22</w:t>
      </w:r>
    </w:p>
    <w:p>
      <w:pPr>
        <w:spacing w:line="254" w:lineRule="auto" w:before="1"/>
        <w:ind w:left="232" w:right="0" w:firstLine="0"/>
        <w:jc w:val="left"/>
        <w:rPr>
          <w:sz w:val="17"/>
        </w:rPr>
      </w:pPr>
      <w:r>
        <w:rPr/>
        <w:br w:type="column"/>
      </w:r>
      <w:r>
        <w:rPr>
          <w:w w:val="105"/>
          <w:sz w:val="17"/>
        </w:rPr>
        <w:t>1 (uma) a 2 (duas) vezes </w:t>
      </w:r>
      <w:r>
        <w:rPr>
          <w:spacing w:val="-13"/>
          <w:w w:val="105"/>
          <w:sz w:val="17"/>
        </w:rPr>
        <w:t>o </w:t>
      </w:r>
      <w:r>
        <w:rPr>
          <w:w w:val="105"/>
          <w:sz w:val="17"/>
        </w:rPr>
        <w:t>valor vigente da</w:t>
      </w:r>
      <w:r>
        <w:rPr>
          <w:spacing w:val="4"/>
          <w:w w:val="105"/>
          <w:sz w:val="17"/>
        </w:rPr>
        <w:t> </w:t>
      </w:r>
      <w:r>
        <w:rPr>
          <w:w w:val="105"/>
          <w:sz w:val="17"/>
        </w:rPr>
        <w:t>anuidade</w:t>
      </w:r>
    </w:p>
    <w:p>
      <w:pPr>
        <w:pStyle w:val="BodyText"/>
        <w:rPr>
          <w:sz w:val="20"/>
        </w:rPr>
      </w:pPr>
    </w:p>
    <w:p>
      <w:pPr>
        <w:pStyle w:val="BodyText"/>
        <w:spacing w:before="11"/>
      </w:pPr>
    </w:p>
    <w:p>
      <w:pPr>
        <w:spacing w:line="247" w:lineRule="auto" w:before="0"/>
        <w:ind w:left="232" w:right="0" w:firstLine="0"/>
        <w:jc w:val="left"/>
        <w:rPr>
          <w:sz w:val="17"/>
        </w:rPr>
      </w:pPr>
      <w:r>
        <w:rPr>
          <w:w w:val="105"/>
          <w:sz w:val="17"/>
        </w:rPr>
        <w:t>1 (uma) a 2 (duas) vezes </w:t>
      </w:r>
      <w:r>
        <w:rPr>
          <w:spacing w:val="-13"/>
          <w:w w:val="105"/>
          <w:sz w:val="17"/>
        </w:rPr>
        <w:t>o </w:t>
      </w:r>
      <w:r>
        <w:rPr>
          <w:w w:val="105"/>
          <w:sz w:val="17"/>
        </w:rPr>
        <w:t>valor vigente da</w:t>
      </w:r>
      <w:r>
        <w:rPr>
          <w:spacing w:val="4"/>
          <w:w w:val="105"/>
          <w:sz w:val="17"/>
        </w:rPr>
        <w:t> </w:t>
      </w:r>
      <w:r>
        <w:rPr>
          <w:w w:val="105"/>
          <w:sz w:val="17"/>
        </w:rPr>
        <w:t>anuidade</w:t>
      </w:r>
    </w:p>
    <w:p>
      <w:pPr>
        <w:pStyle w:val="BodyText"/>
        <w:rPr>
          <w:sz w:val="20"/>
        </w:rPr>
      </w:pPr>
    </w:p>
    <w:p>
      <w:pPr>
        <w:pStyle w:val="BodyText"/>
        <w:rPr>
          <w:sz w:val="20"/>
        </w:rPr>
      </w:pPr>
    </w:p>
    <w:p>
      <w:pPr>
        <w:pStyle w:val="BodyText"/>
        <w:spacing w:before="5"/>
        <w:rPr>
          <w:sz w:val="18"/>
        </w:rPr>
      </w:pPr>
    </w:p>
    <w:p>
      <w:pPr>
        <w:spacing w:line="254" w:lineRule="auto" w:before="0"/>
        <w:ind w:left="232" w:right="0" w:firstLine="0"/>
        <w:jc w:val="left"/>
        <w:rPr>
          <w:sz w:val="17"/>
        </w:rPr>
      </w:pPr>
      <w:r>
        <w:rPr>
          <w:w w:val="105"/>
          <w:sz w:val="17"/>
        </w:rPr>
        <w:t>1 (uma) a 2 (duas) vezes </w:t>
      </w:r>
      <w:r>
        <w:rPr>
          <w:spacing w:val="-13"/>
          <w:w w:val="105"/>
          <w:sz w:val="17"/>
        </w:rPr>
        <w:t>o </w:t>
      </w:r>
      <w:r>
        <w:rPr>
          <w:w w:val="105"/>
          <w:sz w:val="17"/>
        </w:rPr>
        <w:t>valor vigente da</w:t>
      </w:r>
      <w:r>
        <w:rPr>
          <w:spacing w:val="4"/>
          <w:w w:val="105"/>
          <w:sz w:val="17"/>
        </w:rPr>
        <w:t> </w:t>
      </w:r>
      <w:r>
        <w:rPr>
          <w:w w:val="105"/>
          <w:sz w:val="17"/>
        </w:rPr>
        <w:t>anuidade</w:t>
      </w:r>
    </w:p>
    <w:p>
      <w:pPr>
        <w:spacing w:line="254" w:lineRule="auto" w:before="1"/>
        <w:ind w:left="181" w:right="206" w:firstLine="0"/>
        <w:jc w:val="both"/>
        <w:rPr>
          <w:sz w:val="17"/>
        </w:rPr>
      </w:pPr>
      <w:r>
        <w:rPr/>
        <w:br w:type="column"/>
      </w:r>
      <w:r>
        <w:rPr>
          <w:w w:val="105"/>
          <w:sz w:val="17"/>
        </w:rPr>
        <w:t>Efetuar registro no CAU/UF. Após prazo de 10 (dez) dias do recebimento da notificação incide cobrança de multa.</w:t>
      </w:r>
    </w:p>
    <w:p>
      <w:pPr>
        <w:pStyle w:val="BodyText"/>
        <w:rPr>
          <w:sz w:val="20"/>
        </w:rPr>
      </w:pPr>
    </w:p>
    <w:p>
      <w:pPr>
        <w:spacing w:line="254" w:lineRule="auto" w:before="124"/>
        <w:ind w:left="181" w:right="207" w:firstLine="0"/>
        <w:jc w:val="both"/>
        <w:rPr>
          <w:sz w:val="17"/>
        </w:rPr>
      </w:pPr>
      <w:r>
        <w:rPr>
          <w:w w:val="105"/>
          <w:sz w:val="17"/>
        </w:rPr>
        <w:t>Solicitar reativação de registro profissional. A partir da data de constatação da infração incide cobrança proporcional da anuidade do exercício corrente, após 10 (dez) dias do recebimento da notificação, incide cobrança de multa.</w:t>
      </w:r>
    </w:p>
    <w:p>
      <w:pPr>
        <w:pStyle w:val="BodyText"/>
        <w:spacing w:before="5"/>
        <w:rPr>
          <w:sz w:val="16"/>
        </w:rPr>
      </w:pPr>
    </w:p>
    <w:p>
      <w:pPr>
        <w:pStyle w:val="ListParagraph"/>
        <w:numPr>
          <w:ilvl w:val="0"/>
          <w:numId w:val="25"/>
        </w:numPr>
        <w:tabs>
          <w:tab w:pos="364" w:val="left" w:leader="none"/>
        </w:tabs>
        <w:spacing w:line="254" w:lineRule="auto" w:before="0" w:after="0"/>
        <w:ind w:left="181" w:right="207" w:firstLine="0"/>
        <w:jc w:val="both"/>
        <w:rPr>
          <w:sz w:val="17"/>
        </w:rPr>
      </w:pPr>
      <w:r>
        <w:rPr>
          <w:w w:val="105"/>
          <w:sz w:val="17"/>
        </w:rPr>
        <w:t>– Não há. A partir da constatação da infração, incide notificação e encaminhamento à Comissão de Ética e Disciplina do</w:t>
      </w:r>
      <w:r>
        <w:rPr>
          <w:spacing w:val="15"/>
          <w:w w:val="105"/>
          <w:sz w:val="17"/>
        </w:rPr>
        <w:t> </w:t>
      </w:r>
      <w:r>
        <w:rPr>
          <w:w w:val="105"/>
          <w:sz w:val="17"/>
        </w:rPr>
        <w:t>CAU/UF;</w:t>
      </w:r>
    </w:p>
    <w:p>
      <w:pPr>
        <w:pStyle w:val="ListParagraph"/>
        <w:numPr>
          <w:ilvl w:val="0"/>
          <w:numId w:val="25"/>
        </w:numPr>
        <w:tabs>
          <w:tab w:pos="334" w:val="left" w:leader="none"/>
        </w:tabs>
        <w:spacing w:line="247" w:lineRule="auto" w:before="61" w:after="0"/>
        <w:ind w:left="181" w:right="208" w:firstLine="0"/>
        <w:jc w:val="both"/>
        <w:rPr>
          <w:sz w:val="17"/>
        </w:rPr>
      </w:pPr>
      <w:r>
        <w:rPr>
          <w:w w:val="105"/>
          <w:sz w:val="17"/>
        </w:rPr>
        <w:t>– Art. 22 da Resolução CAU/BR nº 18. Após 10 (dez) dias do recebimento da notificação, incide cobrança de</w:t>
      </w:r>
      <w:r>
        <w:rPr>
          <w:spacing w:val="6"/>
          <w:w w:val="105"/>
          <w:sz w:val="17"/>
        </w:rPr>
        <w:t> </w:t>
      </w:r>
      <w:r>
        <w:rPr>
          <w:w w:val="105"/>
          <w:sz w:val="17"/>
        </w:rPr>
        <w:t>multa;</w:t>
      </w:r>
    </w:p>
    <w:p>
      <w:pPr>
        <w:pStyle w:val="ListParagraph"/>
        <w:numPr>
          <w:ilvl w:val="0"/>
          <w:numId w:val="25"/>
        </w:numPr>
        <w:tabs>
          <w:tab w:pos="382" w:val="left" w:leader="none"/>
        </w:tabs>
        <w:spacing w:line="240" w:lineRule="auto" w:before="68" w:after="0"/>
        <w:ind w:left="381" w:right="0" w:hanging="200"/>
        <w:jc w:val="both"/>
        <w:rPr>
          <w:sz w:val="17"/>
        </w:rPr>
      </w:pPr>
      <w:r>
        <w:rPr>
          <w:w w:val="105"/>
          <w:sz w:val="17"/>
        </w:rPr>
        <w:t>– I ou</w:t>
      </w:r>
      <w:r>
        <w:rPr>
          <w:spacing w:val="3"/>
          <w:w w:val="105"/>
          <w:sz w:val="17"/>
        </w:rPr>
        <w:t> </w:t>
      </w:r>
      <w:r>
        <w:rPr>
          <w:w w:val="105"/>
          <w:sz w:val="17"/>
        </w:rPr>
        <w:t>II.</w:t>
      </w:r>
    </w:p>
    <w:p>
      <w:pPr>
        <w:spacing w:after="0" w:line="240" w:lineRule="auto"/>
        <w:jc w:val="both"/>
        <w:rPr>
          <w:sz w:val="17"/>
        </w:rPr>
        <w:sectPr>
          <w:type w:val="continuous"/>
          <w:pgSz w:w="16840" w:h="11900" w:orient="landscape"/>
          <w:pgMar w:top="1100" w:bottom="280" w:left="140" w:right="860"/>
          <w:cols w:num="4" w:equalWidth="0">
            <w:col w:w="3103" w:space="40"/>
            <w:col w:w="3463" w:space="39"/>
            <w:col w:w="2425" w:space="40"/>
            <w:col w:w="6730"/>
          </w:cols>
        </w:sectPr>
      </w:pPr>
    </w:p>
    <w:p>
      <w:pPr>
        <w:tabs>
          <w:tab w:pos="3479" w:val="left" w:leader="none"/>
          <w:tab w:pos="6877" w:val="left" w:leader="none"/>
          <w:tab w:pos="9291" w:val="left" w:leader="none"/>
        </w:tabs>
        <w:spacing w:before="144"/>
        <w:ind w:left="392" w:right="0" w:firstLine="0"/>
        <w:jc w:val="left"/>
        <w:rPr>
          <w:sz w:val="17"/>
        </w:rPr>
      </w:pPr>
      <w:r>
        <w:rPr/>
        <w:pict>
          <v:group style="position:absolute;margin-left:12pt;margin-top:12pt;width:781.7pt;height:571pt;mso-position-horizontal-relative:page;mso-position-vertical-relative:page;z-index:-147160" coordorigin="240,240" coordsize="15634,11420">
            <v:rect style="position:absolute;left:240;top:240;width:3164;height:11420" filled="true" fillcolor="#00666d" stroked="false">
              <v:fill type="solid"/>
            </v:rect>
            <v:rect style="position:absolute;left:1780;top:1545;width:14016;height:231" filled="true" fillcolor="#32666d" stroked="false">
              <v:fill type="solid"/>
            </v:rect>
            <v:line style="position:absolute" from="1699,1421" to="15874,1421" stroked="true" strokeweight=".479981pt" strokecolor="#a6a6a6">
              <v:stroke dashstyle="solid"/>
            </v:line>
            <v:line style="position:absolute" from="1699,1901" to="3466,1901" stroked="true" strokeweight=".480011pt" strokecolor="#a6a6a6">
              <v:stroke dashstyle="solid"/>
            </v:line>
            <v:rect style="position:absolute;left:3465;top:1896;width:10;height:10" filled="true" fillcolor="#a6a6a6" stroked="false">
              <v:fill type="solid"/>
            </v:rect>
            <v:line style="position:absolute" from="3475,1901" to="15874,1901" stroked="true" strokeweight=".480011pt" strokecolor="#a6a6a6">
              <v:stroke dashstyle="solid"/>
            </v:line>
            <v:line style="position:absolute" from="1699,2554" to="3466,2554" stroked="true" strokeweight=".479981pt" strokecolor="#a6a6a6">
              <v:stroke dashstyle="solid"/>
            </v:line>
            <v:rect style="position:absolute;left:3465;top:2548;width:10;height:10" filled="true" fillcolor="#a6a6a6" stroked="false">
              <v:fill type="solid"/>
            </v:rect>
            <v:line style="position:absolute" from="3475,2554" to="15874,2554" stroked="true" strokeweight=".479981pt" strokecolor="#a6a6a6">
              <v:stroke dashstyle="solid"/>
            </v:line>
            <v:line style="position:absolute" from="1699,3893" to="3466,3893" stroked="true" strokeweight=".480011pt" strokecolor="#a6a6a6">
              <v:stroke dashstyle="solid"/>
            </v:line>
            <v:rect style="position:absolute;left:3465;top:3888;width:10;height:10" filled="true" fillcolor="#a6a6a6" stroked="false">
              <v:fill type="solid"/>
            </v:rect>
            <v:shape style="position:absolute;left:1684;top:3892;width:14189;height:1109" coordorigin="1685,3893" coordsize="14189,1109" path="m3475,3893l15874,3893m1685,5002l3466,5002e" filled="false" stroked="true" strokeweight=".480011pt" strokecolor="#a6a6a6">
              <v:path arrowok="t"/>
              <v:stroke dashstyle="solid"/>
            </v:shape>
            <v:rect style="position:absolute;left:3451;top:4996;width:10;height:10" filled="true" fillcolor="#a6a6a6" stroked="false">
              <v:fill type="solid"/>
            </v:rect>
            <v:line style="position:absolute" from="3461,5002" to="15874,5002" stroked="true" strokeweight=".480011pt" strokecolor="#a6a6a6">
              <v:stroke dashstyle="solid"/>
            </v:line>
            <v:line style="position:absolute" from="422,6528" to="15874,6528" stroked="true" strokeweight=".479981pt" strokecolor="#9db5bc">
              <v:stroke dashstyle="solid"/>
            </v:line>
            <v:rect style="position:absolute;left:504;top:6955;width:2928;height:284" filled="true" fillcolor="#00666d" stroked="false">
              <v:fill type="solid"/>
            </v:rect>
            <v:line style="position:absolute" from="422,6888" to="3509,6888" stroked="true" strokeweight=".480011pt" strokecolor="#9db5bc">
              <v:stroke dashstyle="solid"/>
            </v:line>
            <v:rect style="position:absolute;left:3508;top:6883;width:10;height:10" filled="true" fillcolor="#9db5bc" stroked="false">
              <v:fill type="solid"/>
            </v:rect>
            <v:line style="position:absolute" from="3518,6888" to="6912,6888" stroked="true" strokeweight=".480011pt" strokecolor="#9db5bc">
              <v:stroke dashstyle="solid"/>
            </v:line>
            <v:rect style="position:absolute;left:6912;top:6883;width:10;height:10" filled="true" fillcolor="#9db5bc" stroked="false">
              <v:fill type="solid"/>
            </v:rect>
            <v:line style="position:absolute" from="6922,6888" to="9322,6888" stroked="true" strokeweight=".480011pt" strokecolor="#9db5bc">
              <v:stroke dashstyle="solid"/>
            </v:line>
            <v:rect style="position:absolute;left:9321;top:6883;width:10;height:10" filled="true" fillcolor="#9db5bc" stroked="false">
              <v:fill type="solid"/>
            </v:rect>
            <v:line style="position:absolute" from="9331,6888" to="15874,6888" stroked="true" strokeweight=".480011pt" strokecolor="#9db5bc">
              <v:stroke dashstyle="solid"/>
            </v:line>
            <v:line style="position:absolute" from="422,7306" to="3509,7306" stroked="true" strokeweight=".479996pt" strokecolor="#9db5bc">
              <v:stroke dashstyle="solid"/>
            </v:line>
            <v:rect style="position:absolute;left:3508;top:7300;width:10;height:10" filled="true" fillcolor="#9db5bc" stroked="false">
              <v:fill type="solid"/>
            </v:rect>
            <v:line style="position:absolute" from="3518,7306" to="6912,7306" stroked="true" strokeweight=".479996pt" strokecolor="#9db5bc">
              <v:stroke dashstyle="solid"/>
            </v:line>
            <v:rect style="position:absolute;left:6912;top:7300;width:10;height:10" filled="true" fillcolor="#9db5bc" stroked="false">
              <v:fill type="solid"/>
            </v:rect>
            <v:line style="position:absolute" from="6922,7306" to="9322,7306" stroked="true" strokeweight=".479996pt" strokecolor="#9db5bc">
              <v:stroke dashstyle="solid"/>
            </v:line>
            <v:rect style="position:absolute;left:9321;top:7300;width:10;height:10" filled="true" fillcolor="#9db5bc" stroked="false">
              <v:fill type="solid"/>
            </v:rect>
            <v:line style="position:absolute" from="9331,7306" to="15874,7306" stroked="true" strokeweight=".479996pt" strokecolor="#9db5bc">
              <v:stroke dashstyle="solid"/>
            </v:line>
            <v:line style="position:absolute" from="422,8179" to="3509,8179" stroked="true" strokeweight=".480011pt" strokecolor="#9db5bc">
              <v:stroke dashstyle="solid"/>
            </v:line>
            <v:rect style="position:absolute;left:3508;top:8174;width:10;height:10" filled="true" fillcolor="#9db5bc" stroked="false">
              <v:fill type="solid"/>
            </v:rect>
            <v:line style="position:absolute" from="3518,8179" to="6912,8179" stroked="true" strokeweight=".480011pt" strokecolor="#9db5bc">
              <v:stroke dashstyle="solid"/>
            </v:line>
            <v:rect style="position:absolute;left:6912;top:8174;width:10;height:10" filled="true" fillcolor="#9db5bc" stroked="false">
              <v:fill type="solid"/>
            </v:rect>
            <v:line style="position:absolute" from="6922,8179" to="9322,8179" stroked="true" strokeweight=".480011pt" strokecolor="#9db5bc">
              <v:stroke dashstyle="solid"/>
            </v:line>
            <v:rect style="position:absolute;left:9321;top:8174;width:10;height:10" filled="true" fillcolor="#9db5bc" stroked="false">
              <v:fill type="solid"/>
            </v:rect>
            <v:line style="position:absolute" from="9331,8179" to="15874,8179" stroked="true" strokeweight=".480011pt" strokecolor="#9db5bc">
              <v:stroke dashstyle="solid"/>
            </v:line>
            <v:line style="position:absolute" from="422,9048" to="3509,9048" stroked="true" strokeweight=".479996pt" strokecolor="#9db5bc">
              <v:stroke dashstyle="solid"/>
            </v:line>
            <v:rect style="position:absolute;left:3508;top:9043;width:10;height:10" filled="true" fillcolor="#9db5bc" stroked="false">
              <v:fill type="solid"/>
            </v:rect>
            <v:line style="position:absolute" from="3518,9048" to="6912,9048" stroked="true" strokeweight=".479996pt" strokecolor="#9db5bc">
              <v:stroke dashstyle="solid"/>
            </v:line>
            <v:rect style="position:absolute;left:6912;top:9043;width:10;height:10" filled="true" fillcolor="#9db5bc" stroked="false">
              <v:fill type="solid"/>
            </v:rect>
            <v:line style="position:absolute" from="6922,9048" to="9322,9048" stroked="true" strokeweight=".479996pt" strokecolor="#9db5bc">
              <v:stroke dashstyle="solid"/>
            </v:line>
            <v:rect style="position:absolute;left:9321;top:9043;width:10;height:10" filled="true" fillcolor="#9db5bc" stroked="false">
              <v:fill type="solid"/>
            </v:rect>
            <v:line style="position:absolute" from="9331,9048" to="15874,9048" stroked="true" strokeweight=".479996pt" strokecolor="#9db5bc">
              <v:stroke dashstyle="solid"/>
            </v:line>
            <v:line style="position:absolute" from="422,10334" to="3509,10334" stroked="true" strokeweight=".480003pt" strokecolor="#9db5bc">
              <v:stroke dashstyle="solid"/>
            </v:line>
            <v:rect style="position:absolute;left:3508;top:10329;width:10;height:10" filled="true" fillcolor="#9db5bc" stroked="false">
              <v:fill type="solid"/>
            </v:rect>
            <v:line style="position:absolute" from="3518,10334" to="6912,10334" stroked="true" strokeweight=".480003pt" strokecolor="#9db5bc">
              <v:stroke dashstyle="solid"/>
            </v:line>
            <v:rect style="position:absolute;left:6912;top:10329;width:10;height:10" filled="true" fillcolor="#9db5bc" stroked="false">
              <v:fill type="solid"/>
            </v:rect>
            <v:line style="position:absolute" from="6922,10334" to="9322,10334" stroked="true" strokeweight=".480003pt" strokecolor="#9db5bc">
              <v:stroke dashstyle="solid"/>
            </v:line>
            <v:rect style="position:absolute;left:9321;top:10329;width:10;height:10" filled="true" fillcolor="#9db5bc" stroked="false">
              <v:fill type="solid"/>
            </v:rect>
            <v:line style="position:absolute" from="9331,10334" to="15874,10334" stroked="true" strokeweight=".480003pt" strokecolor="#9db5bc">
              <v:stroke dashstyle="solid"/>
            </v:line>
            <v:line style="position:absolute" from="408,10670" to="3509,10670" stroked="true" strokeweight=".479999pt" strokecolor="#9db5bc">
              <v:stroke dashstyle="solid"/>
            </v:line>
            <v:rect style="position:absolute;left:3494;top:10665;width:10;height:10" filled="true" fillcolor="#9db5bc" stroked="false">
              <v:fill type="solid"/>
            </v:rect>
            <v:line style="position:absolute" from="3504,10670" to="6912,10670" stroked="true" strokeweight=".479999pt" strokecolor="#9db5bc">
              <v:stroke dashstyle="solid"/>
            </v:line>
            <v:rect style="position:absolute;left:6897;top:10665;width:10;height:10" filled="true" fillcolor="#9db5bc" stroked="false">
              <v:fill type="solid"/>
            </v:rect>
            <v:line style="position:absolute" from="6907,10670" to="9322,10670" stroked="true" strokeweight=".479999pt" strokecolor="#9db5bc">
              <v:stroke dashstyle="solid"/>
            </v:line>
            <v:rect style="position:absolute;left:9307;top:10665;width:10;height:10" filled="true" fillcolor="#9db5bc" stroked="false">
              <v:fill type="solid"/>
            </v:rect>
            <v:line style="position:absolute" from="9317,10670" to="15874,10670" stroked="true" strokeweight=".479999pt" strokecolor="#9db5bc">
              <v:stroke dashstyle="solid"/>
            </v:line>
            <w10:wrap type="none"/>
          </v:group>
        </w:pict>
      </w:r>
      <w:r>
        <w:rPr>
          <w:color w:val="FFFFFF"/>
          <w:w w:val="105"/>
          <w:position w:val="3"/>
          <w:sz w:val="17"/>
        </w:rPr>
        <w:t>Registro</w:t>
      </w:r>
      <w:r>
        <w:rPr>
          <w:color w:val="FFFFFF"/>
          <w:spacing w:val="3"/>
          <w:w w:val="105"/>
          <w:position w:val="3"/>
          <w:sz w:val="17"/>
        </w:rPr>
        <w:t> </w:t>
      </w:r>
      <w:r>
        <w:rPr>
          <w:color w:val="FFFFFF"/>
          <w:w w:val="105"/>
          <w:position w:val="3"/>
          <w:sz w:val="17"/>
        </w:rPr>
        <w:t>Profissional</w:t>
      </w:r>
      <w:r>
        <w:rPr>
          <w:color w:val="FFFFFF"/>
          <w:spacing w:val="1"/>
          <w:w w:val="105"/>
          <w:position w:val="3"/>
          <w:sz w:val="17"/>
        </w:rPr>
        <w:t> </w:t>
      </w:r>
      <w:r>
        <w:rPr>
          <w:color w:val="FFFFFF"/>
          <w:w w:val="105"/>
          <w:position w:val="3"/>
          <w:sz w:val="17"/>
        </w:rPr>
        <w:t>Cancelado</w:t>
        <w:tab/>
      </w:r>
      <w:r>
        <w:rPr>
          <w:w w:val="105"/>
          <w:position w:val="3"/>
          <w:sz w:val="17"/>
        </w:rPr>
        <w:t>Artigos 5° e 7° - Lei</w:t>
      </w:r>
      <w:r>
        <w:rPr>
          <w:spacing w:val="9"/>
          <w:w w:val="105"/>
          <w:position w:val="3"/>
          <w:sz w:val="17"/>
        </w:rPr>
        <w:t> </w:t>
      </w:r>
      <w:r>
        <w:rPr>
          <w:w w:val="105"/>
          <w:position w:val="3"/>
          <w:sz w:val="17"/>
        </w:rPr>
        <w:t>n°</w:t>
      </w:r>
      <w:r>
        <w:rPr>
          <w:spacing w:val="1"/>
          <w:w w:val="105"/>
          <w:position w:val="3"/>
          <w:sz w:val="17"/>
        </w:rPr>
        <w:t> </w:t>
      </w:r>
      <w:r>
        <w:rPr>
          <w:w w:val="105"/>
          <w:position w:val="3"/>
          <w:sz w:val="17"/>
        </w:rPr>
        <w:t>12.378/2010</w:t>
        <w:tab/>
      </w:r>
      <w:r>
        <w:rPr>
          <w:w w:val="105"/>
          <w:sz w:val="17"/>
        </w:rPr>
        <w:t>1 (uma) a 2 (duas)</w:t>
      </w:r>
      <w:r>
        <w:rPr>
          <w:spacing w:val="43"/>
          <w:w w:val="105"/>
          <w:sz w:val="17"/>
        </w:rPr>
        <w:t> </w:t>
      </w:r>
      <w:r>
        <w:rPr>
          <w:w w:val="105"/>
          <w:sz w:val="17"/>
        </w:rPr>
        <w:t>vezes</w:t>
      </w:r>
      <w:r>
        <w:rPr>
          <w:spacing w:val="9"/>
          <w:w w:val="105"/>
          <w:sz w:val="17"/>
        </w:rPr>
        <w:t> </w:t>
      </w:r>
      <w:r>
        <w:rPr>
          <w:w w:val="105"/>
          <w:sz w:val="17"/>
        </w:rPr>
        <w:t>o</w:t>
        <w:tab/>
        <w:t>Não</w:t>
      </w:r>
      <w:r>
        <w:rPr>
          <w:spacing w:val="25"/>
          <w:w w:val="105"/>
          <w:sz w:val="17"/>
        </w:rPr>
        <w:t> </w:t>
      </w:r>
      <w:r>
        <w:rPr>
          <w:w w:val="105"/>
          <w:sz w:val="17"/>
        </w:rPr>
        <w:t>há.</w:t>
      </w:r>
      <w:r>
        <w:rPr>
          <w:spacing w:val="26"/>
          <w:w w:val="105"/>
          <w:sz w:val="17"/>
        </w:rPr>
        <w:t> </w:t>
      </w:r>
      <w:r>
        <w:rPr>
          <w:w w:val="105"/>
          <w:sz w:val="17"/>
        </w:rPr>
        <w:t>A</w:t>
      </w:r>
      <w:r>
        <w:rPr>
          <w:spacing w:val="27"/>
          <w:w w:val="105"/>
          <w:sz w:val="17"/>
        </w:rPr>
        <w:t> </w:t>
      </w:r>
      <w:r>
        <w:rPr>
          <w:w w:val="105"/>
          <w:sz w:val="17"/>
        </w:rPr>
        <w:t>partir</w:t>
      </w:r>
      <w:r>
        <w:rPr>
          <w:spacing w:val="26"/>
          <w:w w:val="105"/>
          <w:sz w:val="17"/>
        </w:rPr>
        <w:t> </w:t>
      </w:r>
      <w:r>
        <w:rPr>
          <w:w w:val="105"/>
          <w:sz w:val="17"/>
        </w:rPr>
        <w:t>da</w:t>
      </w:r>
      <w:r>
        <w:rPr>
          <w:spacing w:val="25"/>
          <w:w w:val="105"/>
          <w:sz w:val="17"/>
        </w:rPr>
        <w:t> </w:t>
      </w:r>
      <w:r>
        <w:rPr>
          <w:w w:val="105"/>
          <w:sz w:val="17"/>
        </w:rPr>
        <w:t>constatação</w:t>
      </w:r>
      <w:r>
        <w:rPr>
          <w:spacing w:val="26"/>
          <w:w w:val="105"/>
          <w:sz w:val="17"/>
        </w:rPr>
        <w:t> </w:t>
      </w:r>
      <w:r>
        <w:rPr>
          <w:w w:val="105"/>
          <w:sz w:val="17"/>
        </w:rPr>
        <w:t>da</w:t>
      </w:r>
      <w:r>
        <w:rPr>
          <w:spacing w:val="26"/>
          <w:w w:val="105"/>
          <w:sz w:val="17"/>
        </w:rPr>
        <w:t> </w:t>
      </w:r>
      <w:r>
        <w:rPr>
          <w:w w:val="105"/>
          <w:sz w:val="17"/>
        </w:rPr>
        <w:t>infração,</w:t>
      </w:r>
      <w:r>
        <w:rPr>
          <w:spacing w:val="26"/>
          <w:w w:val="105"/>
          <w:sz w:val="17"/>
        </w:rPr>
        <w:t> </w:t>
      </w:r>
      <w:r>
        <w:rPr>
          <w:w w:val="105"/>
          <w:sz w:val="17"/>
        </w:rPr>
        <w:t>incide</w:t>
      </w:r>
      <w:r>
        <w:rPr>
          <w:spacing w:val="25"/>
          <w:w w:val="105"/>
          <w:sz w:val="17"/>
        </w:rPr>
        <w:t> </w:t>
      </w:r>
      <w:r>
        <w:rPr>
          <w:w w:val="105"/>
          <w:sz w:val="17"/>
        </w:rPr>
        <w:t>notificação</w:t>
      </w:r>
      <w:r>
        <w:rPr>
          <w:spacing w:val="26"/>
          <w:w w:val="105"/>
          <w:sz w:val="17"/>
        </w:rPr>
        <w:t> </w:t>
      </w:r>
      <w:r>
        <w:rPr>
          <w:w w:val="105"/>
          <w:sz w:val="17"/>
        </w:rPr>
        <w:t>e</w:t>
      </w:r>
    </w:p>
    <w:p>
      <w:pPr>
        <w:pStyle w:val="BodyText"/>
        <w:rPr>
          <w:sz w:val="20"/>
        </w:rPr>
      </w:pPr>
    </w:p>
    <w:p>
      <w:pPr>
        <w:pStyle w:val="BodyText"/>
        <w:spacing w:before="8"/>
        <w:rPr>
          <w:sz w:val="20"/>
        </w:rPr>
      </w:pPr>
    </w:p>
    <w:p>
      <w:pPr>
        <w:pStyle w:val="BodyText"/>
        <w:spacing w:before="100"/>
        <w:ind w:left="1381"/>
      </w:pPr>
      <w:r>
        <w:rPr>
          <w:color w:val="FFFFFF"/>
          <w:w w:val="105"/>
        </w:rPr>
        <w:t>- 29 -</w:t>
      </w:r>
    </w:p>
    <w:p>
      <w:pPr>
        <w:spacing w:after="0"/>
        <w:sectPr>
          <w:type w:val="continuous"/>
          <w:pgSz w:w="16840" w:h="11900" w:orient="landscape"/>
          <w:pgMar w:top="1100" w:bottom="280" w:left="140" w:right="860"/>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2"/>
        <w:gridCol w:w="2980"/>
        <w:gridCol w:w="3463"/>
        <w:gridCol w:w="2439"/>
        <w:gridCol w:w="6566"/>
      </w:tblGrid>
      <w:tr>
        <w:trPr>
          <w:trHeight w:val="1175" w:hRule="atLeast"/>
        </w:trPr>
        <w:tc>
          <w:tcPr>
            <w:tcW w:w="182" w:type="dxa"/>
            <w:vMerge w:val="restart"/>
            <w:shd w:val="clear" w:color="auto" w:fill="00666D"/>
          </w:tcPr>
          <w:p>
            <w:pPr>
              <w:pStyle w:val="TableParagraph"/>
              <w:rPr>
                <w:rFonts w:ascii="Times New Roman"/>
                <w:sz w:val="16"/>
              </w:rPr>
            </w:pPr>
          </w:p>
        </w:tc>
        <w:tc>
          <w:tcPr>
            <w:tcW w:w="2980" w:type="dxa"/>
            <w:tcBorders>
              <w:bottom w:val="single" w:sz="4" w:space="0" w:color="9DB5BC"/>
            </w:tcBorders>
            <w:shd w:val="clear" w:color="auto" w:fill="00666D"/>
          </w:tcPr>
          <w:p>
            <w:pPr>
              <w:pStyle w:val="TableParagraph"/>
              <w:rPr>
                <w:rFonts w:ascii="Times New Roman"/>
                <w:sz w:val="16"/>
              </w:rPr>
            </w:pPr>
          </w:p>
        </w:tc>
        <w:tc>
          <w:tcPr>
            <w:tcW w:w="12468" w:type="dxa"/>
            <w:gridSpan w:val="3"/>
            <w:tcBorders>
              <w:bottom w:val="single" w:sz="4" w:space="0" w:color="9DB5BC"/>
            </w:tcBorders>
          </w:tcPr>
          <w:p>
            <w:pPr>
              <w:pStyle w:val="TableParagraph"/>
              <w:rPr>
                <w:sz w:val="26"/>
              </w:rPr>
            </w:pPr>
          </w:p>
          <w:p>
            <w:pPr>
              <w:pStyle w:val="TableParagraph"/>
              <w:spacing w:before="183"/>
              <w:ind w:left="3853"/>
              <w:rPr>
                <w:rFonts w:ascii="DaxCondensed" w:hAnsi="DaxCondensed"/>
                <w:sz w:val="24"/>
              </w:rPr>
            </w:pPr>
            <w:r>
              <w:rPr>
                <w:rFonts w:ascii="DaxCondensed" w:hAnsi="DaxCondensed"/>
                <w:color w:val="00666D"/>
                <w:sz w:val="24"/>
              </w:rPr>
              <w:t>- Manual de Fiscalização do Exercício da Arquitetura e Urbanismo -</w:t>
            </w:r>
          </w:p>
        </w:tc>
      </w:tr>
      <w:tr>
        <w:trPr>
          <w:trHeight w:val="268" w:hRule="atLeast"/>
        </w:trPr>
        <w:tc>
          <w:tcPr>
            <w:tcW w:w="182" w:type="dxa"/>
            <w:vMerge/>
            <w:tcBorders>
              <w:top w:val="nil"/>
            </w:tcBorders>
            <w:shd w:val="clear" w:color="auto" w:fill="00666D"/>
          </w:tcPr>
          <w:p>
            <w:pPr>
              <w:rPr>
                <w:sz w:val="2"/>
                <w:szCs w:val="2"/>
              </w:rPr>
            </w:pPr>
          </w:p>
        </w:tc>
        <w:tc>
          <w:tcPr>
            <w:tcW w:w="2980" w:type="dxa"/>
            <w:tcBorders>
              <w:top w:val="single" w:sz="4" w:space="0" w:color="9DB5BC"/>
              <w:bottom w:val="single" w:sz="4" w:space="0" w:color="9DB5BC"/>
            </w:tcBorders>
            <w:shd w:val="clear" w:color="auto" w:fill="00666D"/>
          </w:tcPr>
          <w:p>
            <w:pPr>
              <w:pStyle w:val="TableParagraph"/>
              <w:rPr>
                <w:rFonts w:ascii="Times New Roman"/>
                <w:sz w:val="16"/>
              </w:rPr>
            </w:pPr>
          </w:p>
        </w:tc>
        <w:tc>
          <w:tcPr>
            <w:tcW w:w="3463" w:type="dxa"/>
            <w:tcBorders>
              <w:top w:val="single" w:sz="4" w:space="0" w:color="9DB5BC"/>
              <w:bottom w:val="single" w:sz="4" w:space="0" w:color="9DB5BC"/>
            </w:tcBorders>
          </w:tcPr>
          <w:p>
            <w:pPr>
              <w:pStyle w:val="TableParagraph"/>
              <w:spacing w:before="3"/>
              <w:ind w:left="217"/>
              <w:rPr>
                <w:sz w:val="17"/>
              </w:rPr>
            </w:pPr>
            <w:r>
              <w:rPr>
                <w:w w:val="105"/>
                <w:sz w:val="17"/>
              </w:rPr>
              <w:t>Art. 35, III - Resolução CAU/BR nº 22</w:t>
            </w:r>
          </w:p>
        </w:tc>
        <w:tc>
          <w:tcPr>
            <w:tcW w:w="2439" w:type="dxa"/>
            <w:tcBorders>
              <w:top w:val="single" w:sz="4" w:space="0" w:color="9DB5BC"/>
              <w:bottom w:val="single" w:sz="4" w:space="0" w:color="9DB5BC"/>
            </w:tcBorders>
          </w:tcPr>
          <w:p>
            <w:pPr>
              <w:pStyle w:val="TableParagraph"/>
              <w:spacing w:before="3"/>
              <w:ind w:left="32" w:right="103"/>
              <w:jc w:val="center"/>
              <w:rPr>
                <w:sz w:val="17"/>
              </w:rPr>
            </w:pPr>
            <w:r>
              <w:rPr>
                <w:w w:val="105"/>
                <w:sz w:val="17"/>
              </w:rPr>
              <w:t>valor vigente da anuidade</w:t>
            </w:r>
          </w:p>
        </w:tc>
        <w:tc>
          <w:tcPr>
            <w:tcW w:w="6566" w:type="dxa"/>
            <w:tcBorders>
              <w:top w:val="single" w:sz="4" w:space="0" w:color="9DB5BC"/>
              <w:bottom w:val="single" w:sz="4" w:space="0" w:color="9DB5BC"/>
            </w:tcBorders>
          </w:tcPr>
          <w:p>
            <w:pPr>
              <w:pStyle w:val="TableParagraph"/>
              <w:spacing w:before="3"/>
              <w:ind w:left="128"/>
              <w:rPr>
                <w:sz w:val="17"/>
              </w:rPr>
            </w:pPr>
            <w:r>
              <w:rPr>
                <w:w w:val="105"/>
                <w:sz w:val="17"/>
              </w:rPr>
              <w:t>encaminhamento à Comissão de Ética e Disciplina do CAU/UF.</w:t>
            </w:r>
          </w:p>
        </w:tc>
      </w:tr>
      <w:tr>
        <w:trPr>
          <w:trHeight w:val="863" w:hRule="atLeast"/>
        </w:trPr>
        <w:tc>
          <w:tcPr>
            <w:tcW w:w="182" w:type="dxa"/>
            <w:vMerge/>
            <w:tcBorders>
              <w:top w:val="nil"/>
            </w:tcBorders>
            <w:shd w:val="clear" w:color="auto" w:fill="00666D"/>
          </w:tcPr>
          <w:p>
            <w:pPr>
              <w:rPr>
                <w:sz w:val="2"/>
                <w:szCs w:val="2"/>
              </w:rPr>
            </w:pPr>
          </w:p>
        </w:tc>
        <w:tc>
          <w:tcPr>
            <w:tcW w:w="2980" w:type="dxa"/>
            <w:tcBorders>
              <w:top w:val="single" w:sz="4" w:space="0" w:color="9DB5BC"/>
              <w:bottom w:val="single" w:sz="4" w:space="0" w:color="9DB5BC"/>
            </w:tcBorders>
            <w:shd w:val="clear" w:color="auto" w:fill="00666D"/>
          </w:tcPr>
          <w:p>
            <w:pPr>
              <w:pStyle w:val="TableParagraph"/>
              <w:spacing w:before="1"/>
              <w:rPr>
                <w:sz w:val="29"/>
              </w:rPr>
            </w:pPr>
          </w:p>
          <w:p>
            <w:pPr>
              <w:pStyle w:val="TableParagraph"/>
              <w:ind w:left="110"/>
              <w:rPr>
                <w:sz w:val="17"/>
              </w:rPr>
            </w:pPr>
            <w:r>
              <w:rPr>
                <w:color w:val="FFFFFF"/>
                <w:w w:val="105"/>
                <w:sz w:val="17"/>
              </w:rPr>
              <w:t>Anuidade do exercício corrente</w:t>
            </w:r>
          </w:p>
        </w:tc>
        <w:tc>
          <w:tcPr>
            <w:tcW w:w="3463" w:type="dxa"/>
            <w:tcBorders>
              <w:top w:val="single" w:sz="4" w:space="0" w:color="9DB5BC"/>
              <w:bottom w:val="single" w:sz="4" w:space="0" w:color="9DB5BC"/>
            </w:tcBorders>
          </w:tcPr>
          <w:p>
            <w:pPr>
              <w:pStyle w:val="TableParagraph"/>
              <w:spacing w:before="66"/>
              <w:ind w:left="217"/>
              <w:rPr>
                <w:sz w:val="17"/>
              </w:rPr>
            </w:pPr>
            <w:r>
              <w:rPr>
                <w:w w:val="105"/>
                <w:sz w:val="17"/>
              </w:rPr>
              <w:t>Art. 18, XI, - Lei n° 12.378/2010</w:t>
            </w:r>
          </w:p>
          <w:p>
            <w:pPr>
              <w:pStyle w:val="TableParagraph"/>
              <w:spacing w:line="268" w:lineRule="exact" w:before="13"/>
              <w:ind w:left="217" w:right="75"/>
              <w:rPr>
                <w:sz w:val="17"/>
              </w:rPr>
            </w:pPr>
            <w:r>
              <w:rPr>
                <w:w w:val="105"/>
                <w:sz w:val="17"/>
              </w:rPr>
              <w:t>Art. 21, II - Resolução CAU/BR nº 18 Art. 35, XIV - Resolução CAU/BR nº 22</w:t>
            </w:r>
          </w:p>
        </w:tc>
        <w:tc>
          <w:tcPr>
            <w:tcW w:w="2439" w:type="dxa"/>
            <w:tcBorders>
              <w:top w:val="single" w:sz="4" w:space="0" w:color="9DB5BC"/>
              <w:bottom w:val="single" w:sz="4" w:space="0" w:color="9DB5BC"/>
            </w:tcBorders>
          </w:tcPr>
          <w:p>
            <w:pPr>
              <w:pStyle w:val="TableParagraph"/>
              <w:spacing w:before="10"/>
              <w:rPr>
                <w:sz w:val="19"/>
              </w:rPr>
            </w:pPr>
          </w:p>
          <w:p>
            <w:pPr>
              <w:pStyle w:val="TableParagraph"/>
              <w:spacing w:line="254" w:lineRule="auto"/>
              <w:ind w:left="152"/>
              <w:rPr>
                <w:sz w:val="17"/>
              </w:rPr>
            </w:pPr>
            <w:r>
              <w:rPr>
                <w:w w:val="105"/>
                <w:sz w:val="17"/>
              </w:rPr>
              <w:t>1 (uma) a 2 (duas) vezes o valor vigente da anuidade</w:t>
            </w:r>
          </w:p>
        </w:tc>
        <w:tc>
          <w:tcPr>
            <w:tcW w:w="6566" w:type="dxa"/>
            <w:tcBorders>
              <w:top w:val="single" w:sz="4" w:space="0" w:color="9DB5BC"/>
              <w:bottom w:val="single" w:sz="4" w:space="0" w:color="9DB5BC"/>
            </w:tcBorders>
          </w:tcPr>
          <w:p>
            <w:pPr>
              <w:pStyle w:val="TableParagraph"/>
              <w:spacing w:before="10"/>
              <w:rPr>
                <w:sz w:val="19"/>
              </w:rPr>
            </w:pPr>
          </w:p>
          <w:p>
            <w:pPr>
              <w:pStyle w:val="TableParagraph"/>
              <w:spacing w:line="254" w:lineRule="auto"/>
              <w:ind w:left="128"/>
              <w:rPr>
                <w:sz w:val="17"/>
              </w:rPr>
            </w:pPr>
            <w:r>
              <w:rPr>
                <w:w w:val="105"/>
                <w:sz w:val="17"/>
              </w:rPr>
              <w:t>Art. 22 da Resolução CAU/BR nº 18. Após 10 (dez) dias do recebimento da notificação, incide cobrança de multa.</w:t>
            </w:r>
          </w:p>
        </w:tc>
      </w:tr>
      <w:tr>
        <w:trPr>
          <w:trHeight w:val="590" w:hRule="atLeast"/>
        </w:trPr>
        <w:tc>
          <w:tcPr>
            <w:tcW w:w="182" w:type="dxa"/>
            <w:vMerge/>
            <w:tcBorders>
              <w:top w:val="nil"/>
            </w:tcBorders>
            <w:shd w:val="clear" w:color="auto" w:fill="00666D"/>
          </w:tcPr>
          <w:p>
            <w:pPr>
              <w:rPr>
                <w:sz w:val="2"/>
                <w:szCs w:val="2"/>
              </w:rPr>
            </w:pPr>
          </w:p>
        </w:tc>
        <w:tc>
          <w:tcPr>
            <w:tcW w:w="2980" w:type="dxa"/>
            <w:tcBorders>
              <w:top w:val="single" w:sz="4" w:space="0" w:color="9DB5BC"/>
              <w:bottom w:val="single" w:sz="4" w:space="0" w:color="9DB5BC"/>
            </w:tcBorders>
            <w:shd w:val="clear" w:color="auto" w:fill="00666D"/>
          </w:tcPr>
          <w:p>
            <w:pPr>
              <w:pStyle w:val="TableParagraph"/>
              <w:tabs>
                <w:tab w:pos="1655" w:val="left" w:leader="none"/>
                <w:tab w:pos="2720" w:val="left" w:leader="none"/>
              </w:tabs>
              <w:spacing w:line="254" w:lineRule="auto" w:before="94"/>
              <w:ind w:left="110"/>
              <w:rPr>
                <w:sz w:val="17"/>
              </w:rPr>
            </w:pPr>
            <w:r>
              <w:rPr>
                <w:color w:val="FFFFFF"/>
                <w:w w:val="105"/>
                <w:sz w:val="17"/>
              </w:rPr>
              <w:t>Acobertamento</w:t>
              <w:tab/>
              <w:t>praticado</w:t>
              <w:tab/>
            </w:r>
            <w:r>
              <w:rPr>
                <w:color w:val="FFFFFF"/>
                <w:spacing w:val="-9"/>
                <w:w w:val="105"/>
                <w:sz w:val="17"/>
              </w:rPr>
              <w:t>por </w:t>
            </w:r>
            <w:r>
              <w:rPr>
                <w:color w:val="FFFFFF"/>
                <w:w w:val="105"/>
                <w:sz w:val="17"/>
              </w:rPr>
              <w:t>arquiteto e</w:t>
            </w:r>
            <w:r>
              <w:rPr>
                <w:color w:val="FFFFFF"/>
                <w:spacing w:val="3"/>
                <w:w w:val="105"/>
                <w:sz w:val="17"/>
              </w:rPr>
              <w:t> </w:t>
            </w:r>
            <w:r>
              <w:rPr>
                <w:color w:val="FFFFFF"/>
                <w:w w:val="105"/>
                <w:sz w:val="17"/>
              </w:rPr>
              <w:t>urbanista</w:t>
            </w:r>
          </w:p>
        </w:tc>
        <w:tc>
          <w:tcPr>
            <w:tcW w:w="3463" w:type="dxa"/>
            <w:tcBorders>
              <w:top w:val="single" w:sz="4" w:space="0" w:color="9DB5BC"/>
              <w:bottom w:val="single" w:sz="4" w:space="0" w:color="9DB5BC"/>
            </w:tcBorders>
          </w:tcPr>
          <w:p>
            <w:pPr>
              <w:pStyle w:val="TableParagraph"/>
              <w:spacing w:before="66"/>
              <w:ind w:left="217"/>
              <w:rPr>
                <w:sz w:val="17"/>
              </w:rPr>
            </w:pPr>
            <w:r>
              <w:rPr>
                <w:w w:val="105"/>
                <w:sz w:val="17"/>
              </w:rPr>
              <w:t>Art. 18, I - Lei n° 12.378/2010</w:t>
            </w:r>
          </w:p>
          <w:p>
            <w:pPr>
              <w:pStyle w:val="TableParagraph"/>
              <w:spacing w:before="68"/>
              <w:ind w:left="217"/>
              <w:rPr>
                <w:sz w:val="17"/>
              </w:rPr>
            </w:pPr>
            <w:r>
              <w:rPr>
                <w:w w:val="105"/>
                <w:sz w:val="17"/>
              </w:rPr>
              <w:t>Art. 35, V - Resolução CAU/BR nº 22</w:t>
            </w:r>
          </w:p>
        </w:tc>
        <w:tc>
          <w:tcPr>
            <w:tcW w:w="2439" w:type="dxa"/>
            <w:tcBorders>
              <w:top w:val="single" w:sz="4" w:space="0" w:color="9DB5BC"/>
              <w:bottom w:val="single" w:sz="4" w:space="0" w:color="9DB5BC"/>
            </w:tcBorders>
          </w:tcPr>
          <w:p>
            <w:pPr>
              <w:pStyle w:val="TableParagraph"/>
              <w:spacing w:line="254" w:lineRule="auto" w:before="94"/>
              <w:ind w:left="152"/>
              <w:rPr>
                <w:sz w:val="17"/>
              </w:rPr>
            </w:pPr>
            <w:r>
              <w:rPr>
                <w:w w:val="105"/>
                <w:sz w:val="17"/>
              </w:rPr>
              <w:t>2 (duas) a 5 (cinco) vezes valor vigente da anuidade</w:t>
            </w:r>
          </w:p>
        </w:tc>
        <w:tc>
          <w:tcPr>
            <w:tcW w:w="6566" w:type="dxa"/>
            <w:tcBorders>
              <w:top w:val="single" w:sz="4" w:space="0" w:color="9DB5BC"/>
              <w:bottom w:val="single" w:sz="4" w:space="0" w:color="9DB5BC"/>
            </w:tcBorders>
          </w:tcPr>
          <w:p>
            <w:pPr>
              <w:pStyle w:val="TableParagraph"/>
              <w:spacing w:line="254" w:lineRule="auto" w:before="94"/>
              <w:ind w:left="128" w:right="147"/>
              <w:rPr>
                <w:sz w:val="17"/>
              </w:rPr>
            </w:pPr>
            <w:r>
              <w:rPr>
                <w:w w:val="105"/>
                <w:sz w:val="17"/>
              </w:rPr>
              <w:t>Não há. A partir da constatação da infração, incide notificação e encaminhamento à Comissão de Ética e Disciplina do CAU/UF.</w:t>
            </w:r>
          </w:p>
        </w:tc>
      </w:tr>
      <w:tr>
        <w:trPr>
          <w:trHeight w:val="743" w:hRule="atLeast"/>
        </w:trPr>
        <w:tc>
          <w:tcPr>
            <w:tcW w:w="182" w:type="dxa"/>
            <w:vMerge/>
            <w:tcBorders>
              <w:top w:val="nil"/>
            </w:tcBorders>
            <w:shd w:val="clear" w:color="auto" w:fill="00666D"/>
          </w:tcPr>
          <w:p>
            <w:pPr>
              <w:rPr>
                <w:sz w:val="2"/>
                <w:szCs w:val="2"/>
              </w:rPr>
            </w:pPr>
          </w:p>
        </w:tc>
        <w:tc>
          <w:tcPr>
            <w:tcW w:w="2980" w:type="dxa"/>
            <w:tcBorders>
              <w:top w:val="single" w:sz="4" w:space="0" w:color="9DB5BC"/>
              <w:bottom w:val="single" w:sz="4" w:space="0" w:color="9DB5BC"/>
            </w:tcBorders>
            <w:shd w:val="clear" w:color="auto" w:fill="00666D"/>
          </w:tcPr>
          <w:p>
            <w:pPr>
              <w:pStyle w:val="TableParagraph"/>
              <w:spacing w:line="254" w:lineRule="auto" w:before="66"/>
              <w:ind w:left="110"/>
              <w:jc w:val="both"/>
              <w:rPr>
                <w:sz w:val="17"/>
              </w:rPr>
            </w:pPr>
            <w:r>
              <w:rPr>
                <w:color w:val="FFFFFF"/>
                <w:w w:val="105"/>
                <w:sz w:val="17"/>
              </w:rPr>
              <w:t>Acobertamento praticado por profissional que exerce atividade compartilhada com arq. urb.</w:t>
            </w:r>
          </w:p>
        </w:tc>
        <w:tc>
          <w:tcPr>
            <w:tcW w:w="3463" w:type="dxa"/>
            <w:tcBorders>
              <w:top w:val="single" w:sz="4" w:space="0" w:color="9DB5BC"/>
              <w:bottom w:val="single" w:sz="4" w:space="0" w:color="9DB5BC"/>
            </w:tcBorders>
          </w:tcPr>
          <w:p>
            <w:pPr>
              <w:pStyle w:val="TableParagraph"/>
              <w:spacing w:before="142"/>
              <w:ind w:left="217"/>
              <w:rPr>
                <w:sz w:val="17"/>
              </w:rPr>
            </w:pPr>
            <w:r>
              <w:rPr>
                <w:w w:val="105"/>
                <w:sz w:val="17"/>
              </w:rPr>
              <w:t>Art. 35, VI - Res. CAU/BR nº 22</w:t>
            </w:r>
          </w:p>
          <w:p>
            <w:pPr>
              <w:pStyle w:val="TableParagraph"/>
              <w:spacing w:before="69"/>
              <w:ind w:left="217"/>
              <w:rPr>
                <w:sz w:val="17"/>
              </w:rPr>
            </w:pPr>
            <w:r>
              <w:rPr>
                <w:w w:val="105"/>
                <w:sz w:val="17"/>
              </w:rPr>
              <w:t>Resolução CONFEA nº 1002, de 2002</w:t>
            </w:r>
          </w:p>
        </w:tc>
        <w:tc>
          <w:tcPr>
            <w:tcW w:w="2439" w:type="dxa"/>
            <w:tcBorders>
              <w:top w:val="single" w:sz="4" w:space="0" w:color="9DB5BC"/>
              <w:bottom w:val="single" w:sz="4" w:space="0" w:color="9DB5BC"/>
            </w:tcBorders>
          </w:tcPr>
          <w:p>
            <w:pPr>
              <w:pStyle w:val="TableParagraph"/>
              <w:spacing w:line="254" w:lineRule="auto" w:before="171"/>
              <w:ind w:left="152"/>
              <w:rPr>
                <w:sz w:val="17"/>
              </w:rPr>
            </w:pPr>
            <w:r>
              <w:rPr>
                <w:w w:val="105"/>
                <w:sz w:val="17"/>
              </w:rPr>
              <w:t>2 (duas) a 5 (cinco) vezes valor vigente da anuidade</w:t>
            </w:r>
          </w:p>
        </w:tc>
        <w:tc>
          <w:tcPr>
            <w:tcW w:w="6566" w:type="dxa"/>
            <w:tcBorders>
              <w:top w:val="single" w:sz="4" w:space="0" w:color="9DB5BC"/>
              <w:bottom w:val="single" w:sz="4" w:space="0" w:color="9DB5BC"/>
            </w:tcBorders>
          </w:tcPr>
          <w:p>
            <w:pPr>
              <w:pStyle w:val="TableParagraph"/>
              <w:spacing w:line="254" w:lineRule="auto" w:before="171"/>
              <w:ind w:left="128" w:right="147"/>
              <w:rPr>
                <w:sz w:val="17"/>
              </w:rPr>
            </w:pPr>
            <w:r>
              <w:rPr>
                <w:w w:val="105"/>
                <w:sz w:val="17"/>
              </w:rPr>
              <w:t>Não há. A partir da constatação da infração, incide notificação e encaminhamento de ofício à Ouvidoria do CREA.</w:t>
            </w:r>
          </w:p>
        </w:tc>
      </w:tr>
      <w:tr>
        <w:trPr>
          <w:trHeight w:val="738" w:hRule="atLeast"/>
        </w:trPr>
        <w:tc>
          <w:tcPr>
            <w:tcW w:w="182" w:type="dxa"/>
            <w:vMerge/>
            <w:tcBorders>
              <w:top w:val="nil"/>
            </w:tcBorders>
            <w:shd w:val="clear" w:color="auto" w:fill="00666D"/>
          </w:tcPr>
          <w:p>
            <w:pPr>
              <w:rPr>
                <w:sz w:val="2"/>
                <w:szCs w:val="2"/>
              </w:rPr>
            </w:pPr>
          </w:p>
        </w:tc>
        <w:tc>
          <w:tcPr>
            <w:tcW w:w="2980" w:type="dxa"/>
            <w:tcBorders>
              <w:top w:val="single" w:sz="4" w:space="0" w:color="9DB5BC"/>
              <w:bottom w:val="single" w:sz="4" w:space="0" w:color="9DB5BC"/>
            </w:tcBorders>
            <w:shd w:val="clear" w:color="auto" w:fill="00666D"/>
          </w:tcPr>
          <w:p>
            <w:pPr>
              <w:pStyle w:val="TableParagraph"/>
              <w:spacing w:before="7"/>
              <w:rPr>
                <w:sz w:val="23"/>
              </w:rPr>
            </w:pPr>
          </w:p>
          <w:p>
            <w:pPr>
              <w:pStyle w:val="TableParagraph"/>
              <w:spacing w:before="1"/>
              <w:ind w:left="110"/>
              <w:rPr>
                <w:sz w:val="17"/>
              </w:rPr>
            </w:pPr>
            <w:r>
              <w:rPr>
                <w:color w:val="FFFFFF"/>
                <w:w w:val="105"/>
                <w:sz w:val="17"/>
              </w:rPr>
              <w:t>Exercício ilegal da profissão</w:t>
            </w:r>
          </w:p>
        </w:tc>
        <w:tc>
          <w:tcPr>
            <w:tcW w:w="3463" w:type="dxa"/>
            <w:tcBorders>
              <w:top w:val="single" w:sz="4" w:space="0" w:color="9DB5BC"/>
              <w:bottom w:val="single" w:sz="4" w:space="0" w:color="9DB5BC"/>
            </w:tcBorders>
          </w:tcPr>
          <w:p>
            <w:pPr>
              <w:pStyle w:val="TableParagraph"/>
              <w:spacing w:line="324" w:lineRule="auto" w:before="138"/>
              <w:ind w:left="217" w:right="278"/>
              <w:rPr>
                <w:sz w:val="17"/>
              </w:rPr>
            </w:pPr>
            <w:r>
              <w:rPr>
                <w:w w:val="105"/>
                <w:sz w:val="17"/>
              </w:rPr>
              <w:t>Artigo 7° da Lei n° 12.378/2010 Inciso VI, art. 35, Res. CAU/BR nº</w:t>
            </w:r>
            <w:r>
              <w:rPr>
                <w:spacing w:val="9"/>
                <w:w w:val="105"/>
                <w:sz w:val="17"/>
              </w:rPr>
              <w:t> </w:t>
            </w:r>
            <w:r>
              <w:rPr>
                <w:w w:val="105"/>
                <w:sz w:val="17"/>
              </w:rPr>
              <w:t>22</w:t>
            </w:r>
          </w:p>
        </w:tc>
        <w:tc>
          <w:tcPr>
            <w:tcW w:w="2439" w:type="dxa"/>
            <w:tcBorders>
              <w:top w:val="single" w:sz="4" w:space="0" w:color="9DB5BC"/>
              <w:bottom w:val="single" w:sz="4" w:space="0" w:color="9DB5BC"/>
            </w:tcBorders>
          </w:tcPr>
          <w:p>
            <w:pPr>
              <w:pStyle w:val="TableParagraph"/>
              <w:spacing w:line="254" w:lineRule="auto" w:before="166"/>
              <w:ind w:left="152"/>
              <w:rPr>
                <w:sz w:val="17"/>
              </w:rPr>
            </w:pPr>
            <w:r>
              <w:rPr>
                <w:w w:val="105"/>
                <w:sz w:val="17"/>
              </w:rPr>
              <w:t>2 (duas) a 5 (cinco) vezes valor vigente da anuidade</w:t>
            </w:r>
          </w:p>
        </w:tc>
        <w:tc>
          <w:tcPr>
            <w:tcW w:w="6566" w:type="dxa"/>
            <w:tcBorders>
              <w:top w:val="single" w:sz="4" w:space="0" w:color="9DB5BC"/>
              <w:bottom w:val="single" w:sz="4" w:space="0" w:color="9DB5BC"/>
            </w:tcBorders>
          </w:tcPr>
          <w:p>
            <w:pPr>
              <w:pStyle w:val="TableParagraph"/>
              <w:spacing w:line="254" w:lineRule="auto" w:before="66"/>
              <w:ind w:left="128" w:right="97"/>
              <w:jc w:val="both"/>
              <w:rPr>
                <w:sz w:val="17"/>
              </w:rPr>
            </w:pPr>
            <w:r>
              <w:rPr>
                <w:w w:val="105"/>
                <w:sz w:val="17"/>
              </w:rPr>
              <w:t>Contratação de profissional habilitado que procederá ao registro do RRT, conforme o caso. Após 10 (dez) dias do recebimento da notificação ao proprietário ou responsável legal, incide cobrança de multa.</w:t>
            </w:r>
          </w:p>
        </w:tc>
      </w:tr>
      <w:tr>
        <w:trPr>
          <w:trHeight w:val="594" w:hRule="atLeast"/>
        </w:trPr>
        <w:tc>
          <w:tcPr>
            <w:tcW w:w="182" w:type="dxa"/>
            <w:vMerge/>
            <w:tcBorders>
              <w:top w:val="nil"/>
            </w:tcBorders>
            <w:shd w:val="clear" w:color="auto" w:fill="00666D"/>
          </w:tcPr>
          <w:p>
            <w:pPr>
              <w:rPr>
                <w:sz w:val="2"/>
                <w:szCs w:val="2"/>
              </w:rPr>
            </w:pPr>
          </w:p>
        </w:tc>
        <w:tc>
          <w:tcPr>
            <w:tcW w:w="2980" w:type="dxa"/>
            <w:tcBorders>
              <w:top w:val="single" w:sz="4" w:space="0" w:color="9DB5BC"/>
              <w:bottom w:val="single" w:sz="4" w:space="0" w:color="9DB5BC"/>
            </w:tcBorders>
            <w:shd w:val="clear" w:color="auto" w:fill="00666D"/>
          </w:tcPr>
          <w:p>
            <w:pPr>
              <w:pStyle w:val="TableParagraph"/>
              <w:spacing w:before="4"/>
              <w:rPr>
                <w:sz w:val="17"/>
              </w:rPr>
            </w:pPr>
          </w:p>
          <w:p>
            <w:pPr>
              <w:pStyle w:val="TableParagraph"/>
              <w:spacing w:before="1"/>
              <w:ind w:left="110"/>
              <w:rPr>
                <w:sz w:val="17"/>
              </w:rPr>
            </w:pPr>
            <w:r>
              <w:rPr>
                <w:color w:val="FFFFFF"/>
                <w:w w:val="105"/>
                <w:sz w:val="17"/>
              </w:rPr>
              <w:t>Obstrução de Fiscalização</w:t>
            </w:r>
          </w:p>
        </w:tc>
        <w:tc>
          <w:tcPr>
            <w:tcW w:w="3463" w:type="dxa"/>
            <w:tcBorders>
              <w:top w:val="single" w:sz="4" w:space="0" w:color="9DB5BC"/>
              <w:bottom w:val="single" w:sz="4" w:space="0" w:color="9DB5BC"/>
            </w:tcBorders>
          </w:tcPr>
          <w:p>
            <w:pPr>
              <w:pStyle w:val="TableParagraph"/>
              <w:spacing w:line="264" w:lineRule="exact" w:before="14"/>
              <w:ind w:left="217"/>
              <w:rPr>
                <w:sz w:val="17"/>
              </w:rPr>
            </w:pPr>
            <w:r>
              <w:rPr>
                <w:w w:val="105"/>
                <w:sz w:val="17"/>
              </w:rPr>
              <w:t>Art. 34, inciso VIII, Lei nº 12.378/2010 Art. 35, inciso VIII, Res. CAU/BR nº 22</w:t>
            </w:r>
          </w:p>
        </w:tc>
        <w:tc>
          <w:tcPr>
            <w:tcW w:w="2439" w:type="dxa"/>
            <w:tcBorders>
              <w:top w:val="single" w:sz="4" w:space="0" w:color="9DB5BC"/>
              <w:bottom w:val="single" w:sz="4" w:space="0" w:color="9DB5BC"/>
            </w:tcBorders>
          </w:tcPr>
          <w:p>
            <w:pPr>
              <w:pStyle w:val="TableParagraph"/>
              <w:spacing w:line="247" w:lineRule="auto" w:before="99"/>
              <w:ind w:left="152" w:right="133"/>
              <w:rPr>
                <w:sz w:val="17"/>
              </w:rPr>
            </w:pPr>
            <w:r>
              <w:rPr>
                <w:w w:val="105"/>
                <w:sz w:val="17"/>
              </w:rPr>
              <w:t>1 (uma) a 2 (duas) vezes o valor vigente da anuidade</w:t>
            </w:r>
          </w:p>
        </w:tc>
        <w:tc>
          <w:tcPr>
            <w:tcW w:w="6566" w:type="dxa"/>
            <w:tcBorders>
              <w:top w:val="single" w:sz="4" w:space="0" w:color="9DB5BC"/>
              <w:bottom w:val="single" w:sz="4" w:space="0" w:color="9DB5BC"/>
            </w:tcBorders>
          </w:tcPr>
          <w:p>
            <w:pPr>
              <w:pStyle w:val="TableParagraph"/>
              <w:spacing w:line="247" w:lineRule="auto" w:before="99"/>
              <w:ind w:left="128"/>
              <w:rPr>
                <w:sz w:val="17"/>
              </w:rPr>
            </w:pPr>
            <w:r>
              <w:rPr>
                <w:w w:val="105"/>
                <w:sz w:val="17"/>
              </w:rPr>
              <w:t>Cessar obstrução. Após 10 (dez) dias do recebimento da notificação, incide cobrança de multa.</w:t>
            </w:r>
          </w:p>
        </w:tc>
      </w:tr>
      <w:tr>
        <w:trPr>
          <w:trHeight w:val="594" w:hRule="atLeast"/>
        </w:trPr>
        <w:tc>
          <w:tcPr>
            <w:tcW w:w="182" w:type="dxa"/>
            <w:vMerge/>
            <w:tcBorders>
              <w:top w:val="nil"/>
            </w:tcBorders>
            <w:shd w:val="clear" w:color="auto" w:fill="00666D"/>
          </w:tcPr>
          <w:p>
            <w:pPr>
              <w:rPr>
                <w:sz w:val="2"/>
                <w:szCs w:val="2"/>
              </w:rPr>
            </w:pPr>
          </w:p>
        </w:tc>
        <w:tc>
          <w:tcPr>
            <w:tcW w:w="2980" w:type="dxa"/>
            <w:tcBorders>
              <w:top w:val="single" w:sz="4" w:space="0" w:color="9DB5BC"/>
              <w:bottom w:val="single" w:sz="4" w:space="0" w:color="9DB5BC"/>
            </w:tcBorders>
            <w:shd w:val="clear" w:color="auto" w:fill="00666D"/>
          </w:tcPr>
          <w:p>
            <w:pPr>
              <w:pStyle w:val="TableParagraph"/>
              <w:spacing w:before="4"/>
              <w:rPr>
                <w:sz w:val="17"/>
              </w:rPr>
            </w:pPr>
          </w:p>
          <w:p>
            <w:pPr>
              <w:pStyle w:val="TableParagraph"/>
              <w:spacing w:before="1"/>
              <w:ind w:left="110"/>
              <w:rPr>
                <w:sz w:val="17"/>
              </w:rPr>
            </w:pPr>
            <w:r>
              <w:rPr>
                <w:color w:val="FFFFFF"/>
                <w:w w:val="105"/>
                <w:sz w:val="17"/>
              </w:rPr>
              <w:t>Reserva Técnica</w:t>
            </w:r>
          </w:p>
        </w:tc>
        <w:tc>
          <w:tcPr>
            <w:tcW w:w="3463" w:type="dxa"/>
            <w:tcBorders>
              <w:top w:val="single" w:sz="4" w:space="0" w:color="9DB5BC"/>
              <w:bottom w:val="single" w:sz="4" w:space="0" w:color="9DB5BC"/>
            </w:tcBorders>
          </w:tcPr>
          <w:p>
            <w:pPr>
              <w:pStyle w:val="TableParagraph"/>
              <w:spacing w:before="66"/>
              <w:ind w:left="217"/>
              <w:rPr>
                <w:sz w:val="17"/>
              </w:rPr>
            </w:pPr>
            <w:r>
              <w:rPr>
                <w:w w:val="105"/>
                <w:sz w:val="17"/>
              </w:rPr>
              <w:t>Art. 18, VI, - Lei n° 12.378/2010</w:t>
            </w:r>
          </w:p>
          <w:p>
            <w:pPr>
              <w:pStyle w:val="TableParagraph"/>
              <w:spacing w:before="68"/>
              <w:ind w:left="217"/>
              <w:rPr>
                <w:sz w:val="17"/>
              </w:rPr>
            </w:pPr>
            <w:r>
              <w:rPr>
                <w:w w:val="105"/>
                <w:sz w:val="17"/>
              </w:rPr>
              <w:t>Art. 35, XIV - Resolução CAU/BR nº 22</w:t>
            </w:r>
          </w:p>
        </w:tc>
        <w:tc>
          <w:tcPr>
            <w:tcW w:w="2439" w:type="dxa"/>
            <w:tcBorders>
              <w:top w:val="single" w:sz="4" w:space="0" w:color="9DB5BC"/>
              <w:bottom w:val="single" w:sz="4" w:space="0" w:color="9DB5BC"/>
            </w:tcBorders>
          </w:tcPr>
          <w:p>
            <w:pPr>
              <w:pStyle w:val="TableParagraph"/>
              <w:spacing w:line="254" w:lineRule="auto" w:before="94"/>
              <w:ind w:left="152" w:right="133"/>
              <w:rPr>
                <w:sz w:val="17"/>
              </w:rPr>
            </w:pPr>
            <w:r>
              <w:rPr>
                <w:w w:val="105"/>
                <w:sz w:val="17"/>
              </w:rPr>
              <w:t>1 (uma) a 10 (dez) vezes o valor vigente da anuidade</w:t>
            </w:r>
          </w:p>
        </w:tc>
        <w:tc>
          <w:tcPr>
            <w:tcW w:w="6566" w:type="dxa"/>
            <w:tcBorders>
              <w:top w:val="single" w:sz="4" w:space="0" w:color="9DB5BC"/>
              <w:bottom w:val="single" w:sz="4" w:space="0" w:color="9DB5BC"/>
            </w:tcBorders>
          </w:tcPr>
          <w:p>
            <w:pPr>
              <w:pStyle w:val="TableParagraph"/>
              <w:spacing w:line="254" w:lineRule="auto" w:before="94"/>
              <w:ind w:left="128" w:right="147"/>
              <w:rPr>
                <w:sz w:val="17"/>
              </w:rPr>
            </w:pPr>
            <w:r>
              <w:rPr>
                <w:w w:val="105"/>
                <w:sz w:val="17"/>
              </w:rPr>
              <w:t>Não há. A partir da constatação da infração, incide notificação e encaminhamento à Comissão de Ética e Disciplina do CAU/UF.</w:t>
            </w:r>
          </w:p>
        </w:tc>
      </w:tr>
      <w:tr>
        <w:trPr>
          <w:trHeight w:val="594" w:hRule="atLeast"/>
        </w:trPr>
        <w:tc>
          <w:tcPr>
            <w:tcW w:w="182" w:type="dxa"/>
            <w:vMerge/>
            <w:tcBorders>
              <w:top w:val="nil"/>
            </w:tcBorders>
            <w:shd w:val="clear" w:color="auto" w:fill="00666D"/>
          </w:tcPr>
          <w:p>
            <w:pPr>
              <w:rPr>
                <w:sz w:val="2"/>
                <w:szCs w:val="2"/>
              </w:rPr>
            </w:pPr>
          </w:p>
        </w:tc>
        <w:tc>
          <w:tcPr>
            <w:tcW w:w="2980" w:type="dxa"/>
            <w:tcBorders>
              <w:top w:val="single" w:sz="4" w:space="0" w:color="9DB5BC"/>
              <w:bottom w:val="single" w:sz="4" w:space="0" w:color="9DB5BC"/>
            </w:tcBorders>
            <w:shd w:val="clear" w:color="auto" w:fill="00666D"/>
          </w:tcPr>
          <w:p>
            <w:pPr>
              <w:pStyle w:val="TableParagraph"/>
              <w:spacing w:before="4"/>
              <w:rPr>
                <w:sz w:val="17"/>
              </w:rPr>
            </w:pPr>
          </w:p>
          <w:p>
            <w:pPr>
              <w:pStyle w:val="TableParagraph"/>
              <w:spacing w:before="1"/>
              <w:ind w:left="110"/>
              <w:rPr>
                <w:sz w:val="17"/>
              </w:rPr>
            </w:pPr>
            <w:r>
              <w:rPr>
                <w:color w:val="FFFFFF"/>
                <w:w w:val="105"/>
                <w:sz w:val="17"/>
              </w:rPr>
              <w:t>Ausência de RRT</w:t>
            </w:r>
          </w:p>
        </w:tc>
        <w:tc>
          <w:tcPr>
            <w:tcW w:w="3463" w:type="dxa"/>
            <w:tcBorders>
              <w:top w:val="single" w:sz="4" w:space="0" w:color="9DB5BC"/>
              <w:bottom w:val="single" w:sz="4" w:space="0" w:color="9DB5BC"/>
            </w:tcBorders>
          </w:tcPr>
          <w:p>
            <w:pPr>
              <w:pStyle w:val="TableParagraph"/>
              <w:spacing w:line="264" w:lineRule="exact" w:before="14"/>
              <w:ind w:left="217" w:right="809"/>
              <w:rPr>
                <w:sz w:val="17"/>
              </w:rPr>
            </w:pPr>
            <w:r>
              <w:rPr>
                <w:w w:val="105"/>
                <w:sz w:val="17"/>
              </w:rPr>
              <w:t>Art. 45 - Lei nº 12.378/2010 Art. 50 - Lei nº 12.378/2010</w:t>
            </w:r>
          </w:p>
        </w:tc>
        <w:tc>
          <w:tcPr>
            <w:tcW w:w="2439" w:type="dxa"/>
            <w:tcBorders>
              <w:top w:val="single" w:sz="4" w:space="0" w:color="9DB5BC"/>
              <w:bottom w:val="single" w:sz="4" w:space="0" w:color="9DB5BC"/>
            </w:tcBorders>
          </w:tcPr>
          <w:p>
            <w:pPr>
              <w:pStyle w:val="TableParagraph"/>
              <w:spacing w:line="254" w:lineRule="auto" w:before="94"/>
              <w:ind w:left="152" w:right="351"/>
              <w:rPr>
                <w:sz w:val="17"/>
              </w:rPr>
            </w:pPr>
            <w:r>
              <w:rPr>
                <w:w w:val="105"/>
                <w:sz w:val="17"/>
              </w:rPr>
              <w:t>300% o valor vigente do RRT</w:t>
            </w:r>
          </w:p>
        </w:tc>
        <w:tc>
          <w:tcPr>
            <w:tcW w:w="6566" w:type="dxa"/>
            <w:tcBorders>
              <w:top w:val="single" w:sz="4" w:space="0" w:color="9DB5BC"/>
              <w:bottom w:val="single" w:sz="4" w:space="0" w:color="9DB5BC"/>
            </w:tcBorders>
          </w:tcPr>
          <w:p>
            <w:pPr>
              <w:pStyle w:val="TableParagraph"/>
              <w:spacing w:line="254" w:lineRule="auto" w:before="94"/>
              <w:ind w:left="128"/>
              <w:rPr>
                <w:sz w:val="17"/>
              </w:rPr>
            </w:pPr>
            <w:r>
              <w:rPr>
                <w:w w:val="105"/>
                <w:sz w:val="17"/>
              </w:rPr>
              <w:t>Efetuar o registro de responsabilidade técnica (RRT). Após 10 (dez) dias do recebimento da notificação, incide cobrança de multa.</w:t>
            </w:r>
          </w:p>
        </w:tc>
      </w:tr>
      <w:tr>
        <w:trPr>
          <w:trHeight w:val="594" w:hRule="atLeast"/>
        </w:trPr>
        <w:tc>
          <w:tcPr>
            <w:tcW w:w="182" w:type="dxa"/>
            <w:vMerge/>
            <w:tcBorders>
              <w:top w:val="nil"/>
            </w:tcBorders>
            <w:shd w:val="clear" w:color="auto" w:fill="00666D"/>
          </w:tcPr>
          <w:p>
            <w:pPr>
              <w:rPr>
                <w:sz w:val="2"/>
                <w:szCs w:val="2"/>
              </w:rPr>
            </w:pPr>
          </w:p>
        </w:tc>
        <w:tc>
          <w:tcPr>
            <w:tcW w:w="2980" w:type="dxa"/>
            <w:tcBorders>
              <w:top w:val="single" w:sz="4" w:space="0" w:color="9DB5BC"/>
              <w:bottom w:val="single" w:sz="4" w:space="0" w:color="9DB5BC"/>
            </w:tcBorders>
            <w:shd w:val="clear" w:color="auto" w:fill="00666D"/>
          </w:tcPr>
          <w:p>
            <w:pPr>
              <w:pStyle w:val="TableParagraph"/>
              <w:spacing w:before="4"/>
              <w:rPr>
                <w:sz w:val="17"/>
              </w:rPr>
            </w:pPr>
          </w:p>
          <w:p>
            <w:pPr>
              <w:pStyle w:val="TableParagraph"/>
              <w:spacing w:before="1"/>
              <w:ind w:left="110"/>
              <w:rPr>
                <w:sz w:val="17"/>
              </w:rPr>
            </w:pPr>
            <w:r>
              <w:rPr>
                <w:color w:val="FFFFFF"/>
                <w:w w:val="105"/>
                <w:sz w:val="17"/>
              </w:rPr>
              <w:t>Uso indevido do título</w:t>
            </w:r>
          </w:p>
        </w:tc>
        <w:tc>
          <w:tcPr>
            <w:tcW w:w="3463" w:type="dxa"/>
            <w:tcBorders>
              <w:top w:val="single" w:sz="4" w:space="0" w:color="9DB5BC"/>
              <w:bottom w:val="single" w:sz="4" w:space="0" w:color="9DB5BC"/>
            </w:tcBorders>
          </w:tcPr>
          <w:p>
            <w:pPr>
              <w:pStyle w:val="TableParagraph"/>
              <w:spacing w:before="66"/>
              <w:ind w:left="217"/>
              <w:rPr>
                <w:sz w:val="17"/>
              </w:rPr>
            </w:pPr>
            <w:r>
              <w:rPr>
                <w:w w:val="105"/>
                <w:sz w:val="17"/>
              </w:rPr>
              <w:t>Artigo 7º - Lei n° 12.378/2010</w:t>
            </w:r>
          </w:p>
          <w:p>
            <w:pPr>
              <w:pStyle w:val="TableParagraph"/>
              <w:spacing w:before="68"/>
              <w:ind w:left="217"/>
              <w:rPr>
                <w:sz w:val="17"/>
              </w:rPr>
            </w:pPr>
            <w:r>
              <w:rPr>
                <w:w w:val="105"/>
                <w:sz w:val="17"/>
              </w:rPr>
              <w:t>Art. 35, XIV - Resolução CAU/BR nº 22</w:t>
            </w:r>
          </w:p>
        </w:tc>
        <w:tc>
          <w:tcPr>
            <w:tcW w:w="2439" w:type="dxa"/>
            <w:tcBorders>
              <w:top w:val="single" w:sz="4" w:space="0" w:color="9DB5BC"/>
              <w:bottom w:val="single" w:sz="4" w:space="0" w:color="9DB5BC"/>
            </w:tcBorders>
          </w:tcPr>
          <w:p>
            <w:pPr>
              <w:pStyle w:val="TableParagraph"/>
              <w:spacing w:line="254" w:lineRule="auto" w:before="94"/>
              <w:ind w:left="152" w:right="133"/>
              <w:rPr>
                <w:sz w:val="17"/>
              </w:rPr>
            </w:pPr>
            <w:r>
              <w:rPr>
                <w:w w:val="105"/>
                <w:sz w:val="17"/>
              </w:rPr>
              <w:t>1 (uma) a 2 (duas) vezes o valor vigente da anuidade</w:t>
            </w:r>
          </w:p>
        </w:tc>
        <w:tc>
          <w:tcPr>
            <w:tcW w:w="6566" w:type="dxa"/>
            <w:tcBorders>
              <w:top w:val="single" w:sz="4" w:space="0" w:color="9DB5BC"/>
              <w:bottom w:val="single" w:sz="4" w:space="0" w:color="9DB5BC"/>
            </w:tcBorders>
          </w:tcPr>
          <w:p>
            <w:pPr>
              <w:pStyle w:val="TableParagraph"/>
              <w:spacing w:line="254" w:lineRule="auto" w:before="94"/>
              <w:ind w:left="128" w:right="147"/>
              <w:rPr>
                <w:sz w:val="17"/>
              </w:rPr>
            </w:pPr>
            <w:r>
              <w:rPr>
                <w:w w:val="105"/>
                <w:sz w:val="17"/>
              </w:rPr>
              <w:t>Cessar irregularidade. Após 10 (dez) dias do recebimento da  notificação,  incide cobrança de</w:t>
            </w:r>
            <w:r>
              <w:rPr>
                <w:spacing w:val="5"/>
                <w:w w:val="105"/>
                <w:sz w:val="17"/>
              </w:rPr>
              <w:t> </w:t>
            </w:r>
            <w:r>
              <w:rPr>
                <w:w w:val="105"/>
                <w:sz w:val="17"/>
              </w:rPr>
              <w:t>multa.</w:t>
            </w:r>
          </w:p>
        </w:tc>
      </w:tr>
      <w:tr>
        <w:trPr>
          <w:trHeight w:val="350" w:hRule="atLeast"/>
        </w:trPr>
        <w:tc>
          <w:tcPr>
            <w:tcW w:w="182" w:type="dxa"/>
            <w:vMerge/>
            <w:tcBorders>
              <w:top w:val="nil"/>
            </w:tcBorders>
            <w:shd w:val="clear" w:color="auto" w:fill="00666D"/>
          </w:tcPr>
          <w:p>
            <w:pPr>
              <w:rPr>
                <w:sz w:val="2"/>
                <w:szCs w:val="2"/>
              </w:rPr>
            </w:pPr>
          </w:p>
        </w:tc>
        <w:tc>
          <w:tcPr>
            <w:tcW w:w="2980" w:type="dxa"/>
            <w:tcBorders>
              <w:top w:val="single" w:sz="4" w:space="0" w:color="9DB5BC"/>
              <w:bottom w:val="single" w:sz="4" w:space="0" w:color="9DB5BC"/>
            </w:tcBorders>
            <w:shd w:val="clear" w:color="auto" w:fill="00666D"/>
          </w:tcPr>
          <w:p>
            <w:pPr>
              <w:pStyle w:val="TableParagraph"/>
              <w:rPr>
                <w:rFonts w:ascii="Times New Roman"/>
                <w:sz w:val="16"/>
              </w:rPr>
            </w:pPr>
          </w:p>
        </w:tc>
        <w:tc>
          <w:tcPr>
            <w:tcW w:w="12468" w:type="dxa"/>
            <w:gridSpan w:val="3"/>
            <w:tcBorders>
              <w:top w:val="single" w:sz="4" w:space="0" w:color="9DB5BC"/>
              <w:bottom w:val="single" w:sz="4" w:space="0" w:color="9DB5BC"/>
            </w:tcBorders>
            <w:shd w:val="clear" w:color="auto" w:fill="00666D"/>
          </w:tcPr>
          <w:p>
            <w:pPr>
              <w:pStyle w:val="TableParagraph"/>
              <w:tabs>
                <w:tab w:pos="10878" w:val="left" w:leader="none"/>
              </w:tabs>
              <w:spacing w:before="61"/>
              <w:ind w:left="-2898"/>
              <w:rPr>
                <w:sz w:val="16"/>
              </w:rPr>
            </w:pPr>
            <w:r>
              <w:rPr>
                <w:color w:val="FFFFFF"/>
                <w:w w:val="103"/>
                <w:sz w:val="19"/>
                <w:shd w:fill="00666D" w:color="auto" w:val="clear"/>
              </w:rPr>
              <w:t> </w:t>
            </w:r>
            <w:r>
              <w:rPr>
                <w:color w:val="FFFFFF"/>
                <w:sz w:val="19"/>
                <w:shd w:fill="00666D" w:color="auto" w:val="clear"/>
              </w:rPr>
              <w:tab/>
              <w:t>P</w:t>
            </w:r>
            <w:r>
              <w:rPr>
                <w:color w:val="FFFFFF"/>
                <w:sz w:val="16"/>
                <w:shd w:fill="00666D" w:color="auto" w:val="clear"/>
              </w:rPr>
              <w:t>ESSOA</w:t>
            </w:r>
            <w:r>
              <w:rPr>
                <w:color w:val="FFFFFF"/>
                <w:spacing w:val="3"/>
                <w:sz w:val="16"/>
                <w:shd w:fill="00666D" w:color="auto" w:val="clear"/>
              </w:rPr>
              <w:t> </w:t>
            </w:r>
            <w:r>
              <w:rPr>
                <w:color w:val="FFFFFF"/>
                <w:sz w:val="19"/>
                <w:shd w:fill="00666D" w:color="auto" w:val="clear"/>
              </w:rPr>
              <w:t>J</w:t>
            </w:r>
            <w:r>
              <w:rPr>
                <w:color w:val="FFFFFF"/>
                <w:sz w:val="16"/>
                <w:shd w:fill="00666D" w:color="auto" w:val="clear"/>
              </w:rPr>
              <w:t>URÍDICA</w:t>
            </w:r>
          </w:p>
        </w:tc>
      </w:tr>
      <w:tr>
        <w:trPr>
          <w:trHeight w:val="407" w:hRule="atLeast"/>
        </w:trPr>
        <w:tc>
          <w:tcPr>
            <w:tcW w:w="182" w:type="dxa"/>
            <w:vMerge/>
            <w:tcBorders>
              <w:top w:val="nil"/>
            </w:tcBorders>
            <w:shd w:val="clear" w:color="auto" w:fill="00666D"/>
          </w:tcPr>
          <w:p>
            <w:pPr>
              <w:rPr>
                <w:sz w:val="2"/>
                <w:szCs w:val="2"/>
              </w:rPr>
            </w:pPr>
          </w:p>
        </w:tc>
        <w:tc>
          <w:tcPr>
            <w:tcW w:w="2980" w:type="dxa"/>
            <w:tcBorders>
              <w:top w:val="single" w:sz="4" w:space="0" w:color="9DB5BC"/>
              <w:bottom w:val="single" w:sz="4" w:space="0" w:color="9DB5BC"/>
            </w:tcBorders>
            <w:shd w:val="clear" w:color="auto" w:fill="00666D"/>
          </w:tcPr>
          <w:p>
            <w:pPr>
              <w:pStyle w:val="TableParagraph"/>
              <w:spacing w:before="85"/>
              <w:ind w:left="110"/>
              <w:rPr>
                <w:b/>
                <w:sz w:val="19"/>
              </w:rPr>
            </w:pPr>
            <w:r>
              <w:rPr>
                <w:color w:val="FFFFFF"/>
                <w:sz w:val="19"/>
              </w:rPr>
              <w:t>I</w:t>
            </w:r>
            <w:r>
              <w:rPr>
                <w:color w:val="FFFFFF"/>
                <w:sz w:val="16"/>
              </w:rPr>
              <w:t>NFRAÇÃO</w:t>
            </w:r>
            <w:r>
              <w:rPr>
                <w:b/>
                <w:sz w:val="19"/>
              </w:rPr>
              <w:t>:</w:t>
            </w:r>
          </w:p>
        </w:tc>
        <w:tc>
          <w:tcPr>
            <w:tcW w:w="3463" w:type="dxa"/>
            <w:tcBorders>
              <w:top w:val="single" w:sz="4" w:space="0" w:color="9DB5BC"/>
              <w:bottom w:val="single" w:sz="4" w:space="0" w:color="9DB5BC"/>
            </w:tcBorders>
          </w:tcPr>
          <w:p>
            <w:pPr>
              <w:pStyle w:val="TableParagraph"/>
              <w:tabs>
                <w:tab w:pos="3433" w:val="left" w:leader="none"/>
              </w:tabs>
              <w:spacing w:before="85"/>
              <w:ind w:left="188"/>
              <w:rPr>
                <w:b/>
                <w:sz w:val="19"/>
              </w:rPr>
            </w:pPr>
            <w:r>
              <w:rPr>
                <w:color w:val="FFFFFF"/>
                <w:spacing w:val="-26"/>
                <w:w w:val="103"/>
                <w:sz w:val="19"/>
                <w:shd w:fill="00666D" w:color="auto" w:val="clear"/>
              </w:rPr>
              <w:t> </w:t>
            </w:r>
            <w:r>
              <w:rPr>
                <w:color w:val="FFFFFF"/>
                <w:sz w:val="19"/>
                <w:shd w:fill="00666D" w:color="auto" w:val="clear"/>
              </w:rPr>
              <w:t>C</w:t>
            </w:r>
            <w:r>
              <w:rPr>
                <w:color w:val="FFFFFF"/>
                <w:sz w:val="16"/>
                <w:shd w:fill="00666D" w:color="auto" w:val="clear"/>
              </w:rPr>
              <w:t>APITULAÇÃO</w:t>
            </w:r>
            <w:r>
              <w:rPr>
                <w:b/>
                <w:sz w:val="19"/>
                <w:shd w:fill="00666D" w:color="auto" w:val="clear"/>
              </w:rPr>
              <w:t>:</w:t>
              <w:tab/>
            </w:r>
          </w:p>
        </w:tc>
        <w:tc>
          <w:tcPr>
            <w:tcW w:w="2439" w:type="dxa"/>
            <w:tcBorders>
              <w:top w:val="single" w:sz="4" w:space="0" w:color="9DB5BC"/>
              <w:bottom w:val="single" w:sz="4" w:space="0" w:color="9DB5BC"/>
            </w:tcBorders>
          </w:tcPr>
          <w:p>
            <w:pPr>
              <w:pStyle w:val="TableParagraph"/>
              <w:tabs>
                <w:tab w:pos="2310" w:val="left" w:leader="none"/>
              </w:tabs>
              <w:spacing w:before="85"/>
              <w:ind w:left="59"/>
              <w:jc w:val="center"/>
              <w:rPr>
                <w:b/>
                <w:sz w:val="19"/>
              </w:rPr>
            </w:pPr>
            <w:r>
              <w:rPr>
                <w:color w:val="FFFFFF"/>
                <w:spacing w:val="-26"/>
                <w:w w:val="103"/>
                <w:sz w:val="19"/>
                <w:shd w:fill="00666D" w:color="auto" w:val="clear"/>
              </w:rPr>
              <w:t> </w:t>
            </w:r>
            <w:r>
              <w:rPr>
                <w:color w:val="FFFFFF"/>
                <w:sz w:val="19"/>
                <w:shd w:fill="00666D" w:color="auto" w:val="clear"/>
              </w:rPr>
              <w:t>M</w:t>
            </w:r>
            <w:r>
              <w:rPr>
                <w:color w:val="FFFFFF"/>
                <w:sz w:val="16"/>
                <w:shd w:fill="00666D" w:color="auto" w:val="clear"/>
              </w:rPr>
              <w:t>ULTA</w:t>
            </w:r>
            <w:r>
              <w:rPr>
                <w:b/>
                <w:sz w:val="19"/>
                <w:shd w:fill="00666D" w:color="auto" w:val="clear"/>
              </w:rPr>
              <w:t>:</w:t>
              <w:tab/>
            </w:r>
          </w:p>
        </w:tc>
        <w:tc>
          <w:tcPr>
            <w:tcW w:w="6566" w:type="dxa"/>
            <w:tcBorders>
              <w:top w:val="single" w:sz="4" w:space="0" w:color="9DB5BC"/>
              <w:bottom w:val="single" w:sz="4" w:space="0" w:color="9DB5BC"/>
            </w:tcBorders>
          </w:tcPr>
          <w:p>
            <w:pPr>
              <w:pStyle w:val="TableParagraph"/>
              <w:tabs>
                <w:tab w:pos="6492" w:val="left" w:leader="none"/>
              </w:tabs>
              <w:spacing w:before="85"/>
              <w:ind w:left="99"/>
              <w:rPr>
                <w:b/>
                <w:sz w:val="19"/>
              </w:rPr>
            </w:pPr>
            <w:r>
              <w:rPr>
                <w:color w:val="FFFFFF"/>
                <w:spacing w:val="-26"/>
                <w:w w:val="103"/>
                <w:sz w:val="19"/>
                <w:shd w:fill="00666D" w:color="auto" w:val="clear"/>
              </w:rPr>
              <w:t> </w:t>
            </w:r>
            <w:r>
              <w:rPr>
                <w:color w:val="FFFFFF"/>
                <w:sz w:val="19"/>
                <w:shd w:fill="00666D" w:color="auto" w:val="clear"/>
              </w:rPr>
              <w:t>R</w:t>
            </w:r>
            <w:r>
              <w:rPr>
                <w:color w:val="FFFFFF"/>
                <w:sz w:val="16"/>
                <w:shd w:fill="00666D" w:color="auto" w:val="clear"/>
              </w:rPr>
              <w:t>EGULARIZAÇÃO</w:t>
            </w:r>
            <w:r>
              <w:rPr>
                <w:b/>
                <w:sz w:val="19"/>
                <w:shd w:fill="00666D" w:color="auto" w:val="clear"/>
              </w:rPr>
              <w:t>:</w:t>
              <w:tab/>
            </w:r>
          </w:p>
        </w:tc>
      </w:tr>
      <w:tr>
        <w:trPr>
          <w:trHeight w:val="863" w:hRule="atLeast"/>
        </w:trPr>
        <w:tc>
          <w:tcPr>
            <w:tcW w:w="182" w:type="dxa"/>
            <w:vMerge/>
            <w:tcBorders>
              <w:top w:val="nil"/>
            </w:tcBorders>
            <w:shd w:val="clear" w:color="auto" w:fill="00666D"/>
          </w:tcPr>
          <w:p>
            <w:pPr>
              <w:rPr>
                <w:sz w:val="2"/>
                <w:szCs w:val="2"/>
              </w:rPr>
            </w:pPr>
          </w:p>
        </w:tc>
        <w:tc>
          <w:tcPr>
            <w:tcW w:w="2980" w:type="dxa"/>
            <w:tcBorders>
              <w:top w:val="single" w:sz="4" w:space="0" w:color="9DB5BC"/>
              <w:bottom w:val="single" w:sz="4" w:space="0" w:color="9DB5BC"/>
            </w:tcBorders>
            <w:shd w:val="clear" w:color="auto" w:fill="00666D"/>
          </w:tcPr>
          <w:p>
            <w:pPr>
              <w:pStyle w:val="TableParagraph"/>
              <w:spacing w:before="1"/>
              <w:rPr>
                <w:sz w:val="29"/>
              </w:rPr>
            </w:pPr>
          </w:p>
          <w:p>
            <w:pPr>
              <w:pStyle w:val="TableParagraph"/>
              <w:ind w:left="110"/>
              <w:rPr>
                <w:sz w:val="17"/>
              </w:rPr>
            </w:pPr>
            <w:r>
              <w:rPr>
                <w:color w:val="FFFFFF"/>
                <w:w w:val="105"/>
                <w:sz w:val="17"/>
              </w:rPr>
              <w:t>Ausência de Registro</w:t>
            </w:r>
          </w:p>
        </w:tc>
        <w:tc>
          <w:tcPr>
            <w:tcW w:w="3463" w:type="dxa"/>
            <w:tcBorders>
              <w:top w:val="single" w:sz="4" w:space="0" w:color="9DB5BC"/>
              <w:bottom w:val="single" w:sz="4" w:space="0" w:color="9DB5BC"/>
            </w:tcBorders>
          </w:tcPr>
          <w:p>
            <w:pPr>
              <w:pStyle w:val="TableParagraph"/>
              <w:spacing w:before="66"/>
              <w:ind w:left="217"/>
              <w:rPr>
                <w:sz w:val="17"/>
              </w:rPr>
            </w:pPr>
            <w:r>
              <w:rPr>
                <w:w w:val="105"/>
                <w:sz w:val="17"/>
              </w:rPr>
              <w:t>Artigo 7° - Lei n° 12.378/2010</w:t>
            </w:r>
          </w:p>
          <w:p>
            <w:pPr>
              <w:pStyle w:val="TableParagraph"/>
              <w:spacing w:line="268" w:lineRule="exact" w:before="13"/>
              <w:ind w:left="217" w:right="383"/>
              <w:rPr>
                <w:sz w:val="17"/>
              </w:rPr>
            </w:pPr>
            <w:r>
              <w:rPr>
                <w:w w:val="105"/>
                <w:sz w:val="17"/>
              </w:rPr>
              <w:t>Art. 1º - Resolução CAU/BR nº 28 Art. 35, X e XI - Res. CAU/BR nº 22</w:t>
            </w:r>
          </w:p>
        </w:tc>
        <w:tc>
          <w:tcPr>
            <w:tcW w:w="2439" w:type="dxa"/>
            <w:tcBorders>
              <w:top w:val="single" w:sz="4" w:space="0" w:color="9DB5BC"/>
              <w:bottom w:val="single" w:sz="4" w:space="0" w:color="9DB5BC"/>
            </w:tcBorders>
          </w:tcPr>
          <w:p>
            <w:pPr>
              <w:pStyle w:val="TableParagraph"/>
              <w:spacing w:before="10"/>
              <w:rPr>
                <w:sz w:val="19"/>
              </w:rPr>
            </w:pPr>
          </w:p>
          <w:p>
            <w:pPr>
              <w:pStyle w:val="TableParagraph"/>
              <w:spacing w:line="254" w:lineRule="auto"/>
              <w:ind w:left="152"/>
              <w:rPr>
                <w:sz w:val="17"/>
              </w:rPr>
            </w:pPr>
            <w:r>
              <w:rPr>
                <w:w w:val="105"/>
                <w:sz w:val="17"/>
              </w:rPr>
              <w:t>5 (cinco) a 10 (dez) vezes valor vigente da anuidade</w:t>
            </w:r>
          </w:p>
        </w:tc>
        <w:tc>
          <w:tcPr>
            <w:tcW w:w="6566" w:type="dxa"/>
            <w:tcBorders>
              <w:top w:val="single" w:sz="4" w:space="0" w:color="9DB5BC"/>
              <w:bottom w:val="single" w:sz="4" w:space="0" w:color="9DB5BC"/>
            </w:tcBorders>
          </w:tcPr>
          <w:p>
            <w:pPr>
              <w:pStyle w:val="TableParagraph"/>
              <w:spacing w:before="10"/>
              <w:rPr>
                <w:sz w:val="19"/>
              </w:rPr>
            </w:pPr>
          </w:p>
          <w:p>
            <w:pPr>
              <w:pStyle w:val="TableParagraph"/>
              <w:spacing w:line="254" w:lineRule="auto"/>
              <w:ind w:left="128"/>
              <w:rPr>
                <w:sz w:val="17"/>
              </w:rPr>
            </w:pPr>
            <w:r>
              <w:rPr>
                <w:w w:val="105"/>
                <w:sz w:val="17"/>
              </w:rPr>
              <w:t>Efetuar registro no CAU/UF. Após prazo de 10 (dez) dias do recebimento da notificação incide cobrança de multa.</w:t>
            </w:r>
          </w:p>
        </w:tc>
      </w:tr>
      <w:tr>
        <w:trPr>
          <w:trHeight w:val="858" w:hRule="atLeast"/>
        </w:trPr>
        <w:tc>
          <w:tcPr>
            <w:tcW w:w="182" w:type="dxa"/>
            <w:vMerge/>
            <w:tcBorders>
              <w:top w:val="nil"/>
            </w:tcBorders>
            <w:shd w:val="clear" w:color="auto" w:fill="00666D"/>
          </w:tcPr>
          <w:p>
            <w:pPr>
              <w:rPr>
                <w:sz w:val="2"/>
                <w:szCs w:val="2"/>
              </w:rPr>
            </w:pPr>
          </w:p>
        </w:tc>
        <w:tc>
          <w:tcPr>
            <w:tcW w:w="2980" w:type="dxa"/>
            <w:tcBorders>
              <w:top w:val="single" w:sz="4" w:space="0" w:color="9DB5BC"/>
              <w:bottom w:val="single" w:sz="4" w:space="0" w:color="9DB5BC"/>
            </w:tcBorders>
            <w:shd w:val="clear" w:color="auto" w:fill="00666D"/>
          </w:tcPr>
          <w:p>
            <w:pPr>
              <w:pStyle w:val="TableParagraph"/>
              <w:spacing w:before="7"/>
              <w:rPr>
                <w:sz w:val="28"/>
              </w:rPr>
            </w:pPr>
          </w:p>
          <w:p>
            <w:pPr>
              <w:pStyle w:val="TableParagraph"/>
              <w:spacing w:before="1"/>
              <w:ind w:left="110"/>
              <w:rPr>
                <w:sz w:val="17"/>
              </w:rPr>
            </w:pPr>
            <w:r>
              <w:rPr>
                <w:color w:val="FFFFFF"/>
                <w:w w:val="105"/>
                <w:sz w:val="17"/>
              </w:rPr>
              <w:t>Registro Interrompido</w:t>
            </w:r>
          </w:p>
        </w:tc>
        <w:tc>
          <w:tcPr>
            <w:tcW w:w="3463" w:type="dxa"/>
            <w:tcBorders>
              <w:top w:val="single" w:sz="4" w:space="0" w:color="9DB5BC"/>
              <w:bottom w:val="single" w:sz="4" w:space="0" w:color="9DB5BC"/>
            </w:tcBorders>
          </w:tcPr>
          <w:p>
            <w:pPr>
              <w:pStyle w:val="TableParagraph"/>
              <w:spacing w:line="264" w:lineRule="exact" w:before="14"/>
              <w:ind w:left="217" w:right="383"/>
              <w:rPr>
                <w:sz w:val="17"/>
              </w:rPr>
            </w:pPr>
            <w:r>
              <w:rPr>
                <w:w w:val="105"/>
                <w:sz w:val="17"/>
              </w:rPr>
              <w:t>Artigos 7º e 9° - Lei n° 12.378/2010 Art. 25 Resolução CAU/BR nº 28 Art. 35, X e XI - Res. CAU/BR nº 22</w:t>
            </w:r>
          </w:p>
        </w:tc>
        <w:tc>
          <w:tcPr>
            <w:tcW w:w="2439" w:type="dxa"/>
            <w:tcBorders>
              <w:top w:val="single" w:sz="4" w:space="0" w:color="9DB5BC"/>
              <w:bottom w:val="single" w:sz="4" w:space="0" w:color="9DB5BC"/>
            </w:tcBorders>
          </w:tcPr>
          <w:p>
            <w:pPr>
              <w:pStyle w:val="TableParagraph"/>
              <w:spacing w:before="10"/>
              <w:rPr>
                <w:sz w:val="19"/>
              </w:rPr>
            </w:pPr>
          </w:p>
          <w:p>
            <w:pPr>
              <w:pStyle w:val="TableParagraph"/>
              <w:spacing w:line="247" w:lineRule="auto"/>
              <w:ind w:left="152"/>
              <w:rPr>
                <w:sz w:val="17"/>
              </w:rPr>
            </w:pPr>
            <w:r>
              <w:rPr>
                <w:w w:val="105"/>
                <w:sz w:val="17"/>
              </w:rPr>
              <w:t>5 (cinco) a 10 (dez) vezes valor vigente da anuidade</w:t>
            </w:r>
          </w:p>
        </w:tc>
        <w:tc>
          <w:tcPr>
            <w:tcW w:w="6566" w:type="dxa"/>
            <w:tcBorders>
              <w:top w:val="single" w:sz="4" w:space="0" w:color="9DB5BC"/>
              <w:bottom w:val="single" w:sz="4" w:space="0" w:color="9DB5BC"/>
            </w:tcBorders>
          </w:tcPr>
          <w:p>
            <w:pPr>
              <w:pStyle w:val="TableParagraph"/>
              <w:spacing w:line="254" w:lineRule="auto" w:before="123"/>
              <w:ind w:left="128" w:right="97"/>
              <w:jc w:val="both"/>
              <w:rPr>
                <w:sz w:val="17"/>
              </w:rPr>
            </w:pPr>
            <w:r>
              <w:rPr>
                <w:w w:val="105"/>
                <w:sz w:val="17"/>
              </w:rPr>
              <w:t>Solicitar reativação de registro. A partir da data de constatação da infração incide cobrança proporcional da anuidade do exercício corrente, após 10 (dez) dias do recebimento da notificação, incide cobrança de multa.</w:t>
            </w:r>
          </w:p>
        </w:tc>
      </w:tr>
      <w:tr>
        <w:trPr>
          <w:trHeight w:val="594" w:hRule="atLeast"/>
        </w:trPr>
        <w:tc>
          <w:tcPr>
            <w:tcW w:w="182" w:type="dxa"/>
            <w:vMerge/>
            <w:tcBorders>
              <w:top w:val="nil"/>
            </w:tcBorders>
            <w:shd w:val="clear" w:color="auto" w:fill="00666D"/>
          </w:tcPr>
          <w:p>
            <w:pPr>
              <w:rPr>
                <w:sz w:val="2"/>
                <w:szCs w:val="2"/>
              </w:rPr>
            </w:pPr>
          </w:p>
        </w:tc>
        <w:tc>
          <w:tcPr>
            <w:tcW w:w="2980" w:type="dxa"/>
            <w:tcBorders>
              <w:top w:val="single" w:sz="4" w:space="0" w:color="9DB5BC"/>
              <w:bottom w:val="single" w:sz="4" w:space="0" w:color="9DB5BC"/>
            </w:tcBorders>
            <w:shd w:val="clear" w:color="auto" w:fill="00666D"/>
          </w:tcPr>
          <w:p>
            <w:pPr>
              <w:pStyle w:val="TableParagraph"/>
              <w:spacing w:before="4"/>
              <w:rPr>
                <w:sz w:val="17"/>
              </w:rPr>
            </w:pPr>
          </w:p>
          <w:p>
            <w:pPr>
              <w:pStyle w:val="TableParagraph"/>
              <w:spacing w:before="1"/>
              <w:ind w:left="110"/>
              <w:rPr>
                <w:sz w:val="17"/>
              </w:rPr>
            </w:pPr>
            <w:r>
              <w:rPr>
                <w:color w:val="FFFFFF"/>
                <w:w w:val="105"/>
                <w:sz w:val="17"/>
              </w:rPr>
              <w:t>Registro Cancelado</w:t>
            </w:r>
          </w:p>
        </w:tc>
        <w:tc>
          <w:tcPr>
            <w:tcW w:w="3463" w:type="dxa"/>
            <w:tcBorders>
              <w:top w:val="single" w:sz="4" w:space="0" w:color="9DB5BC"/>
              <w:bottom w:val="single" w:sz="4" w:space="0" w:color="9DB5BC"/>
            </w:tcBorders>
          </w:tcPr>
          <w:p>
            <w:pPr>
              <w:pStyle w:val="TableParagraph"/>
              <w:spacing w:before="66"/>
              <w:ind w:left="217"/>
              <w:rPr>
                <w:sz w:val="17"/>
              </w:rPr>
            </w:pPr>
            <w:r>
              <w:rPr>
                <w:w w:val="105"/>
                <w:sz w:val="17"/>
              </w:rPr>
              <w:t>Artigo 7° - Lei n° 12.378/2010</w:t>
            </w:r>
          </w:p>
          <w:p>
            <w:pPr>
              <w:pStyle w:val="TableParagraph"/>
              <w:spacing w:before="68"/>
              <w:ind w:left="217"/>
              <w:rPr>
                <w:sz w:val="17"/>
              </w:rPr>
            </w:pPr>
            <w:r>
              <w:rPr>
                <w:w w:val="105"/>
                <w:sz w:val="17"/>
              </w:rPr>
              <w:t>Art. 35, XIII - Resolução CAU/BR nº 22</w:t>
            </w:r>
          </w:p>
        </w:tc>
        <w:tc>
          <w:tcPr>
            <w:tcW w:w="2439" w:type="dxa"/>
            <w:tcBorders>
              <w:top w:val="single" w:sz="4" w:space="0" w:color="9DB5BC"/>
              <w:bottom w:val="single" w:sz="4" w:space="0" w:color="9DB5BC"/>
            </w:tcBorders>
          </w:tcPr>
          <w:p>
            <w:pPr>
              <w:pStyle w:val="TableParagraph"/>
              <w:spacing w:line="254" w:lineRule="auto" w:before="94"/>
              <w:ind w:left="152"/>
              <w:rPr>
                <w:sz w:val="17"/>
              </w:rPr>
            </w:pPr>
            <w:r>
              <w:rPr>
                <w:w w:val="105"/>
                <w:sz w:val="17"/>
              </w:rPr>
              <w:t>5 (cinco) a 10 (dez) vezes valor vigente da anuidade</w:t>
            </w:r>
          </w:p>
        </w:tc>
        <w:tc>
          <w:tcPr>
            <w:tcW w:w="6566" w:type="dxa"/>
            <w:tcBorders>
              <w:top w:val="single" w:sz="4" w:space="0" w:color="9DB5BC"/>
              <w:bottom w:val="single" w:sz="4" w:space="0" w:color="9DB5BC"/>
            </w:tcBorders>
          </w:tcPr>
          <w:p>
            <w:pPr>
              <w:pStyle w:val="TableParagraph"/>
              <w:spacing w:line="254" w:lineRule="auto" w:before="94"/>
              <w:ind w:left="128" w:right="147"/>
              <w:rPr>
                <w:sz w:val="17"/>
              </w:rPr>
            </w:pPr>
            <w:r>
              <w:rPr>
                <w:w w:val="105"/>
                <w:sz w:val="17"/>
              </w:rPr>
              <w:t>Não há. A partir da constatação da infração, incide notificação e encaminhamento à Comissão de Ética e Disciplina do CAU/UF.</w:t>
            </w:r>
          </w:p>
        </w:tc>
      </w:tr>
      <w:tr>
        <w:trPr>
          <w:trHeight w:val="474" w:hRule="atLeast"/>
        </w:trPr>
        <w:tc>
          <w:tcPr>
            <w:tcW w:w="182" w:type="dxa"/>
            <w:vMerge/>
            <w:tcBorders>
              <w:top w:val="nil"/>
            </w:tcBorders>
            <w:shd w:val="clear" w:color="auto" w:fill="00666D"/>
          </w:tcPr>
          <w:p>
            <w:pPr>
              <w:rPr>
                <w:sz w:val="2"/>
                <w:szCs w:val="2"/>
              </w:rPr>
            </w:pPr>
          </w:p>
        </w:tc>
        <w:tc>
          <w:tcPr>
            <w:tcW w:w="2980" w:type="dxa"/>
            <w:tcBorders>
              <w:top w:val="single" w:sz="4" w:space="0" w:color="9DB5BC"/>
              <w:bottom w:val="single" w:sz="4" w:space="0" w:color="9DB5BC"/>
            </w:tcBorders>
            <w:shd w:val="clear" w:color="auto" w:fill="00666D"/>
          </w:tcPr>
          <w:p>
            <w:pPr>
              <w:pStyle w:val="TableParagraph"/>
              <w:spacing w:before="138"/>
              <w:ind w:left="110"/>
              <w:rPr>
                <w:sz w:val="17"/>
              </w:rPr>
            </w:pPr>
            <w:r>
              <w:rPr>
                <w:color w:val="FFFFFF"/>
                <w:w w:val="105"/>
                <w:sz w:val="17"/>
              </w:rPr>
              <w:t>Anuidade do exercício corrente</w:t>
            </w:r>
          </w:p>
        </w:tc>
        <w:tc>
          <w:tcPr>
            <w:tcW w:w="3463" w:type="dxa"/>
            <w:tcBorders>
              <w:top w:val="single" w:sz="4" w:space="0" w:color="9DB5BC"/>
              <w:bottom w:val="single" w:sz="4" w:space="0" w:color="9DB5BC"/>
            </w:tcBorders>
          </w:tcPr>
          <w:p>
            <w:pPr>
              <w:pStyle w:val="TableParagraph"/>
              <w:spacing w:before="138"/>
              <w:ind w:left="217"/>
              <w:rPr>
                <w:sz w:val="17"/>
              </w:rPr>
            </w:pPr>
            <w:r>
              <w:rPr>
                <w:w w:val="105"/>
                <w:sz w:val="17"/>
              </w:rPr>
              <w:t>Art. 42 - Lei n° 12.378/2010</w:t>
            </w:r>
          </w:p>
        </w:tc>
        <w:tc>
          <w:tcPr>
            <w:tcW w:w="2439" w:type="dxa"/>
            <w:tcBorders>
              <w:top w:val="single" w:sz="4" w:space="0" w:color="9DB5BC"/>
              <w:bottom w:val="single" w:sz="4" w:space="0" w:color="9DB5BC"/>
            </w:tcBorders>
          </w:tcPr>
          <w:p>
            <w:pPr>
              <w:pStyle w:val="TableParagraph"/>
              <w:spacing w:before="166"/>
              <w:ind w:left="59" w:right="1"/>
              <w:jc w:val="center"/>
              <w:rPr>
                <w:sz w:val="17"/>
              </w:rPr>
            </w:pPr>
            <w:r>
              <w:rPr>
                <w:w w:val="105"/>
                <w:sz w:val="17"/>
              </w:rPr>
              <w:t>1 (uma) a 2 (duas) vezes o</w:t>
            </w:r>
          </w:p>
        </w:tc>
        <w:tc>
          <w:tcPr>
            <w:tcW w:w="6566" w:type="dxa"/>
            <w:tcBorders>
              <w:top w:val="single" w:sz="4" w:space="0" w:color="9DB5BC"/>
              <w:bottom w:val="single" w:sz="4" w:space="0" w:color="9DB5BC"/>
            </w:tcBorders>
          </w:tcPr>
          <w:p>
            <w:pPr>
              <w:pStyle w:val="TableParagraph"/>
              <w:spacing w:line="210" w:lineRule="atLeast" w:before="51"/>
              <w:ind w:left="128"/>
              <w:rPr>
                <w:sz w:val="17"/>
              </w:rPr>
            </w:pPr>
            <w:r>
              <w:rPr>
                <w:w w:val="105"/>
                <w:sz w:val="17"/>
              </w:rPr>
              <w:t>Efetuar quitação. Após 10 (dez) dias do recebimento da notificação, incide cobrança de multa, sem prejuízo ao disposto no art. 44 da Lei nº 12.378, de</w:t>
            </w:r>
          </w:p>
        </w:tc>
      </w:tr>
      <w:tr>
        <w:trPr>
          <w:trHeight w:val="951" w:hRule="atLeast"/>
        </w:trPr>
        <w:tc>
          <w:tcPr>
            <w:tcW w:w="182" w:type="dxa"/>
            <w:vMerge/>
            <w:tcBorders>
              <w:top w:val="nil"/>
            </w:tcBorders>
            <w:shd w:val="clear" w:color="auto" w:fill="00666D"/>
          </w:tcPr>
          <w:p>
            <w:pPr>
              <w:rPr>
                <w:sz w:val="2"/>
                <w:szCs w:val="2"/>
              </w:rPr>
            </w:pPr>
          </w:p>
        </w:tc>
        <w:tc>
          <w:tcPr>
            <w:tcW w:w="2980" w:type="dxa"/>
            <w:tcBorders>
              <w:top w:val="single" w:sz="4" w:space="0" w:color="9DB5BC"/>
            </w:tcBorders>
            <w:shd w:val="clear" w:color="auto" w:fill="00666D"/>
          </w:tcPr>
          <w:p>
            <w:pPr>
              <w:pStyle w:val="TableParagraph"/>
              <w:rPr>
                <w:sz w:val="22"/>
              </w:rPr>
            </w:pPr>
          </w:p>
          <w:p>
            <w:pPr>
              <w:pStyle w:val="TableParagraph"/>
              <w:spacing w:before="5"/>
              <w:rPr>
                <w:sz w:val="20"/>
              </w:rPr>
            </w:pPr>
          </w:p>
          <w:p>
            <w:pPr>
              <w:pStyle w:val="TableParagraph"/>
              <w:spacing w:before="1"/>
              <w:ind w:left="1081" w:right="1393"/>
              <w:jc w:val="center"/>
              <w:rPr>
                <w:sz w:val="19"/>
              </w:rPr>
            </w:pPr>
            <w:r>
              <w:rPr>
                <w:color w:val="FFFFFF"/>
                <w:w w:val="105"/>
                <w:sz w:val="19"/>
              </w:rPr>
              <w:t>- 30 -</w:t>
            </w:r>
          </w:p>
        </w:tc>
        <w:tc>
          <w:tcPr>
            <w:tcW w:w="12468" w:type="dxa"/>
            <w:gridSpan w:val="3"/>
            <w:tcBorders>
              <w:top w:val="single" w:sz="4" w:space="0" w:color="9DB5BC"/>
            </w:tcBorders>
          </w:tcPr>
          <w:p>
            <w:pPr>
              <w:pStyle w:val="TableParagraph"/>
              <w:rPr>
                <w:rFonts w:ascii="Times New Roman"/>
                <w:sz w:val="16"/>
              </w:rPr>
            </w:pPr>
          </w:p>
        </w:tc>
      </w:tr>
    </w:tbl>
    <w:p>
      <w:pPr>
        <w:rPr>
          <w:sz w:val="2"/>
          <w:szCs w:val="2"/>
        </w:rPr>
      </w:pPr>
      <w:r>
        <w:rPr/>
        <w:pict>
          <v:rect style="position:absolute;margin-left:25.200001pt;margin-top:376.079987pt;width:146.4pt;height:14.16pt;mso-position-horizontal-relative:page;mso-position-vertical-relative:page;z-index:-147136" filled="true" fillcolor="#00666d" stroked="false">
            <v:fill type="solid"/>
            <w10:wrap type="none"/>
          </v:rect>
        </w:pict>
      </w:r>
    </w:p>
    <w:p>
      <w:pPr>
        <w:spacing w:after="0"/>
        <w:rPr>
          <w:sz w:val="2"/>
          <w:szCs w:val="2"/>
        </w:rPr>
        <w:sectPr>
          <w:pgSz w:w="16840" w:h="11900" w:orient="landscape"/>
          <w:pgMar w:top="240" w:bottom="0" w:left="140" w:right="860"/>
        </w:sectPr>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2"/>
        <w:gridCol w:w="2980"/>
        <w:gridCol w:w="3477"/>
        <w:gridCol w:w="2438"/>
        <w:gridCol w:w="6551"/>
      </w:tblGrid>
      <w:tr>
        <w:trPr>
          <w:trHeight w:val="1175" w:hRule="atLeast"/>
        </w:trPr>
        <w:tc>
          <w:tcPr>
            <w:tcW w:w="182" w:type="dxa"/>
            <w:vMerge w:val="restart"/>
            <w:shd w:val="clear" w:color="auto" w:fill="00666D"/>
          </w:tcPr>
          <w:p>
            <w:pPr>
              <w:pStyle w:val="TableParagraph"/>
              <w:rPr>
                <w:rFonts w:ascii="Times New Roman"/>
                <w:sz w:val="18"/>
              </w:rPr>
            </w:pPr>
          </w:p>
        </w:tc>
        <w:tc>
          <w:tcPr>
            <w:tcW w:w="2980" w:type="dxa"/>
            <w:tcBorders>
              <w:bottom w:val="single" w:sz="4" w:space="0" w:color="9DB5BC"/>
            </w:tcBorders>
            <w:shd w:val="clear" w:color="auto" w:fill="00666D"/>
          </w:tcPr>
          <w:p>
            <w:pPr>
              <w:pStyle w:val="TableParagraph"/>
              <w:rPr>
                <w:rFonts w:ascii="Times New Roman"/>
                <w:sz w:val="18"/>
              </w:rPr>
            </w:pPr>
          </w:p>
        </w:tc>
        <w:tc>
          <w:tcPr>
            <w:tcW w:w="12466" w:type="dxa"/>
            <w:gridSpan w:val="3"/>
            <w:tcBorders>
              <w:bottom w:val="single" w:sz="4" w:space="0" w:color="9DB5BC"/>
            </w:tcBorders>
          </w:tcPr>
          <w:p>
            <w:pPr>
              <w:pStyle w:val="TableParagraph"/>
              <w:rPr>
                <w:sz w:val="26"/>
              </w:rPr>
            </w:pPr>
          </w:p>
          <w:p>
            <w:pPr>
              <w:pStyle w:val="TableParagraph"/>
              <w:spacing w:before="183"/>
              <w:ind w:left="3853"/>
              <w:rPr>
                <w:rFonts w:ascii="DaxCondensed" w:hAnsi="DaxCondensed"/>
                <w:sz w:val="24"/>
              </w:rPr>
            </w:pPr>
            <w:r>
              <w:rPr>
                <w:rFonts w:ascii="DaxCondensed" w:hAnsi="DaxCondensed"/>
                <w:color w:val="00666D"/>
                <w:sz w:val="24"/>
              </w:rPr>
              <w:t>- Manual de Fiscalização do Exercício da Arquitetura e Urbanismo -</w:t>
            </w:r>
          </w:p>
        </w:tc>
      </w:tr>
      <w:tr>
        <w:trPr>
          <w:trHeight w:val="537" w:hRule="atLeast"/>
        </w:trPr>
        <w:tc>
          <w:tcPr>
            <w:tcW w:w="182" w:type="dxa"/>
            <w:vMerge/>
            <w:tcBorders>
              <w:top w:val="nil"/>
            </w:tcBorders>
            <w:shd w:val="clear" w:color="auto" w:fill="00666D"/>
          </w:tcPr>
          <w:p>
            <w:pPr>
              <w:rPr>
                <w:sz w:val="2"/>
                <w:szCs w:val="2"/>
              </w:rPr>
            </w:pPr>
          </w:p>
        </w:tc>
        <w:tc>
          <w:tcPr>
            <w:tcW w:w="2980" w:type="dxa"/>
            <w:tcBorders>
              <w:top w:val="single" w:sz="4" w:space="0" w:color="9DB5BC"/>
              <w:bottom w:val="single" w:sz="4" w:space="0" w:color="9DB5BC"/>
            </w:tcBorders>
            <w:shd w:val="clear" w:color="auto" w:fill="00666D"/>
          </w:tcPr>
          <w:p>
            <w:pPr>
              <w:pStyle w:val="TableParagraph"/>
              <w:rPr>
                <w:rFonts w:ascii="Times New Roman"/>
                <w:sz w:val="18"/>
              </w:rPr>
            </w:pPr>
          </w:p>
        </w:tc>
        <w:tc>
          <w:tcPr>
            <w:tcW w:w="3477" w:type="dxa"/>
            <w:tcBorders>
              <w:top w:val="single" w:sz="4" w:space="0" w:color="9DB5BC"/>
              <w:bottom w:val="single" w:sz="4" w:space="0" w:color="9DB5BC"/>
            </w:tcBorders>
          </w:tcPr>
          <w:p>
            <w:pPr>
              <w:pStyle w:val="TableParagraph"/>
              <w:spacing w:before="3"/>
              <w:ind w:left="217"/>
              <w:rPr>
                <w:sz w:val="17"/>
              </w:rPr>
            </w:pPr>
            <w:r>
              <w:rPr>
                <w:w w:val="105"/>
                <w:sz w:val="17"/>
              </w:rPr>
              <w:t>Art. 29 - Resolução CAU/BR nº 28</w:t>
            </w:r>
          </w:p>
          <w:p>
            <w:pPr>
              <w:pStyle w:val="TableParagraph"/>
              <w:spacing w:before="74"/>
              <w:ind w:left="217"/>
              <w:rPr>
                <w:sz w:val="17"/>
              </w:rPr>
            </w:pPr>
            <w:r>
              <w:rPr>
                <w:w w:val="105"/>
                <w:sz w:val="17"/>
              </w:rPr>
              <w:t>Art. 35, XIV - Resolução CAU/BR nº 22</w:t>
            </w:r>
          </w:p>
        </w:tc>
        <w:tc>
          <w:tcPr>
            <w:tcW w:w="2438" w:type="dxa"/>
            <w:tcBorders>
              <w:top w:val="single" w:sz="4" w:space="0" w:color="9DB5BC"/>
              <w:bottom w:val="single" w:sz="4" w:space="0" w:color="9DB5BC"/>
            </w:tcBorders>
          </w:tcPr>
          <w:p>
            <w:pPr>
              <w:pStyle w:val="TableParagraph"/>
              <w:spacing w:before="3"/>
              <w:ind w:left="138"/>
              <w:rPr>
                <w:sz w:val="17"/>
              </w:rPr>
            </w:pPr>
            <w:r>
              <w:rPr>
                <w:w w:val="105"/>
                <w:sz w:val="17"/>
              </w:rPr>
              <w:t>valor vigente da anuidade</w:t>
            </w:r>
          </w:p>
        </w:tc>
        <w:tc>
          <w:tcPr>
            <w:tcW w:w="6551" w:type="dxa"/>
            <w:tcBorders>
              <w:top w:val="single" w:sz="4" w:space="0" w:color="9DB5BC"/>
              <w:bottom w:val="single" w:sz="4" w:space="0" w:color="9DB5BC"/>
            </w:tcBorders>
          </w:tcPr>
          <w:p>
            <w:pPr>
              <w:pStyle w:val="TableParagraph"/>
              <w:spacing w:before="3"/>
              <w:ind w:left="115"/>
              <w:rPr>
                <w:sz w:val="17"/>
              </w:rPr>
            </w:pPr>
            <w:r>
              <w:rPr>
                <w:w w:val="105"/>
                <w:sz w:val="17"/>
              </w:rPr>
              <w:t>2010.</w:t>
            </w:r>
          </w:p>
        </w:tc>
      </w:tr>
      <w:tr>
        <w:trPr>
          <w:trHeight w:val="738" w:hRule="atLeast"/>
        </w:trPr>
        <w:tc>
          <w:tcPr>
            <w:tcW w:w="182" w:type="dxa"/>
            <w:vMerge/>
            <w:tcBorders>
              <w:top w:val="nil"/>
            </w:tcBorders>
            <w:shd w:val="clear" w:color="auto" w:fill="00666D"/>
          </w:tcPr>
          <w:p>
            <w:pPr>
              <w:rPr>
                <w:sz w:val="2"/>
                <w:szCs w:val="2"/>
              </w:rPr>
            </w:pPr>
          </w:p>
        </w:tc>
        <w:tc>
          <w:tcPr>
            <w:tcW w:w="2980" w:type="dxa"/>
            <w:tcBorders>
              <w:top w:val="single" w:sz="4" w:space="0" w:color="9DB5BC"/>
              <w:bottom w:val="single" w:sz="4" w:space="0" w:color="9DB5BC"/>
            </w:tcBorders>
            <w:shd w:val="clear" w:color="auto" w:fill="00666D"/>
          </w:tcPr>
          <w:p>
            <w:pPr>
              <w:pStyle w:val="TableParagraph"/>
              <w:spacing w:before="7"/>
              <w:rPr>
                <w:sz w:val="23"/>
              </w:rPr>
            </w:pPr>
          </w:p>
          <w:p>
            <w:pPr>
              <w:pStyle w:val="TableParagraph"/>
              <w:spacing w:before="1"/>
              <w:ind w:left="110"/>
              <w:rPr>
                <w:sz w:val="17"/>
              </w:rPr>
            </w:pPr>
            <w:r>
              <w:rPr>
                <w:color w:val="FFFFFF"/>
                <w:w w:val="105"/>
                <w:sz w:val="17"/>
              </w:rPr>
              <w:t>Ausência de Responsável Técnico</w:t>
            </w:r>
          </w:p>
        </w:tc>
        <w:tc>
          <w:tcPr>
            <w:tcW w:w="3477" w:type="dxa"/>
            <w:tcBorders>
              <w:top w:val="single" w:sz="4" w:space="0" w:color="9DB5BC"/>
              <w:bottom w:val="single" w:sz="4" w:space="0" w:color="9DB5BC"/>
            </w:tcBorders>
          </w:tcPr>
          <w:p>
            <w:pPr>
              <w:pStyle w:val="TableParagraph"/>
              <w:spacing w:line="324" w:lineRule="auto" w:before="138"/>
              <w:ind w:left="217"/>
              <w:rPr>
                <w:sz w:val="17"/>
              </w:rPr>
            </w:pPr>
            <w:r>
              <w:rPr>
                <w:w w:val="105"/>
                <w:sz w:val="17"/>
              </w:rPr>
              <w:t>Dispositivos Resolução CAU/BR nº 28 Art. 35, XII - Resolução CAU/BR nº 22</w:t>
            </w:r>
          </w:p>
        </w:tc>
        <w:tc>
          <w:tcPr>
            <w:tcW w:w="2438" w:type="dxa"/>
            <w:tcBorders>
              <w:top w:val="single" w:sz="4" w:space="0" w:color="9DB5BC"/>
              <w:bottom w:val="single" w:sz="4" w:space="0" w:color="9DB5BC"/>
            </w:tcBorders>
          </w:tcPr>
          <w:p>
            <w:pPr>
              <w:pStyle w:val="TableParagraph"/>
              <w:spacing w:line="254" w:lineRule="auto" w:before="166"/>
              <w:ind w:left="138"/>
              <w:rPr>
                <w:sz w:val="17"/>
              </w:rPr>
            </w:pPr>
            <w:r>
              <w:rPr>
                <w:w w:val="105"/>
                <w:sz w:val="17"/>
              </w:rPr>
              <w:t>5 (cinco) a 10 (dez) vezes valor vigente da anuidade</w:t>
            </w:r>
          </w:p>
        </w:tc>
        <w:tc>
          <w:tcPr>
            <w:tcW w:w="6551" w:type="dxa"/>
            <w:tcBorders>
              <w:top w:val="single" w:sz="4" w:space="0" w:color="9DB5BC"/>
              <w:bottom w:val="single" w:sz="4" w:space="0" w:color="9DB5BC"/>
            </w:tcBorders>
          </w:tcPr>
          <w:p>
            <w:pPr>
              <w:pStyle w:val="TableParagraph"/>
              <w:spacing w:line="254" w:lineRule="auto" w:before="66"/>
              <w:ind w:left="115" w:right="94"/>
              <w:jc w:val="both"/>
              <w:rPr>
                <w:sz w:val="17"/>
              </w:rPr>
            </w:pPr>
            <w:r>
              <w:rPr>
                <w:w w:val="105"/>
                <w:sz w:val="17"/>
              </w:rPr>
              <w:t>Apresentar arquiteto e urbanista responsável técnico ou alteração do objeto social que obrigue a baixa da pessoa jurídica junto ao CAU/UF. Após 10 (dez) dias do recebimento da notificação, incide cobrança de multa.</w:t>
            </w:r>
          </w:p>
        </w:tc>
      </w:tr>
      <w:tr>
        <w:trPr>
          <w:trHeight w:val="594" w:hRule="atLeast"/>
        </w:trPr>
        <w:tc>
          <w:tcPr>
            <w:tcW w:w="182" w:type="dxa"/>
            <w:vMerge/>
            <w:tcBorders>
              <w:top w:val="nil"/>
            </w:tcBorders>
            <w:shd w:val="clear" w:color="auto" w:fill="00666D"/>
          </w:tcPr>
          <w:p>
            <w:pPr>
              <w:rPr>
                <w:sz w:val="2"/>
                <w:szCs w:val="2"/>
              </w:rPr>
            </w:pPr>
          </w:p>
        </w:tc>
        <w:tc>
          <w:tcPr>
            <w:tcW w:w="2980" w:type="dxa"/>
            <w:tcBorders>
              <w:top w:val="single" w:sz="4" w:space="0" w:color="9DB5BC"/>
              <w:bottom w:val="single" w:sz="4" w:space="0" w:color="9DB5BC"/>
            </w:tcBorders>
            <w:shd w:val="clear" w:color="auto" w:fill="00666D"/>
          </w:tcPr>
          <w:p>
            <w:pPr>
              <w:pStyle w:val="TableParagraph"/>
              <w:spacing w:before="4"/>
              <w:rPr>
                <w:sz w:val="17"/>
              </w:rPr>
            </w:pPr>
          </w:p>
          <w:p>
            <w:pPr>
              <w:pStyle w:val="TableParagraph"/>
              <w:spacing w:before="1"/>
              <w:ind w:left="110"/>
              <w:rPr>
                <w:sz w:val="17"/>
              </w:rPr>
            </w:pPr>
            <w:r>
              <w:rPr>
                <w:color w:val="FFFFFF"/>
                <w:w w:val="105"/>
                <w:sz w:val="17"/>
              </w:rPr>
              <w:t>Obstrução de Fiscalização</w:t>
            </w:r>
          </w:p>
        </w:tc>
        <w:tc>
          <w:tcPr>
            <w:tcW w:w="3477" w:type="dxa"/>
            <w:tcBorders>
              <w:top w:val="single" w:sz="4" w:space="0" w:color="9DB5BC"/>
              <w:bottom w:val="single" w:sz="4" w:space="0" w:color="9DB5BC"/>
            </w:tcBorders>
          </w:tcPr>
          <w:p>
            <w:pPr>
              <w:pStyle w:val="TableParagraph"/>
              <w:spacing w:line="264" w:lineRule="exact" w:before="14"/>
              <w:ind w:left="217" w:right="131"/>
              <w:rPr>
                <w:sz w:val="17"/>
              </w:rPr>
            </w:pPr>
            <w:r>
              <w:rPr>
                <w:w w:val="105"/>
                <w:sz w:val="17"/>
              </w:rPr>
              <w:t>Art. 34, inciso VIII, Lei nº 12.378/2010 Art. 35, inciso XI, Res. CAU/BR nº 22</w:t>
            </w:r>
          </w:p>
        </w:tc>
        <w:tc>
          <w:tcPr>
            <w:tcW w:w="2438" w:type="dxa"/>
            <w:tcBorders>
              <w:top w:val="single" w:sz="4" w:space="0" w:color="9DB5BC"/>
              <w:bottom w:val="single" w:sz="4" w:space="0" w:color="9DB5BC"/>
            </w:tcBorders>
          </w:tcPr>
          <w:p>
            <w:pPr>
              <w:pStyle w:val="TableParagraph"/>
              <w:spacing w:line="247" w:lineRule="auto" w:before="99"/>
              <w:ind w:left="138"/>
              <w:rPr>
                <w:sz w:val="17"/>
              </w:rPr>
            </w:pPr>
            <w:r>
              <w:rPr>
                <w:w w:val="105"/>
                <w:sz w:val="17"/>
              </w:rPr>
              <w:t>5 (cinco) a 10 (dez) vezes valor vigente da anuidade</w:t>
            </w:r>
          </w:p>
        </w:tc>
        <w:tc>
          <w:tcPr>
            <w:tcW w:w="6551" w:type="dxa"/>
            <w:tcBorders>
              <w:top w:val="single" w:sz="4" w:space="0" w:color="9DB5BC"/>
              <w:bottom w:val="single" w:sz="4" w:space="0" w:color="9DB5BC"/>
            </w:tcBorders>
          </w:tcPr>
          <w:p>
            <w:pPr>
              <w:pStyle w:val="TableParagraph"/>
              <w:spacing w:line="247" w:lineRule="auto" w:before="99"/>
              <w:ind w:left="115"/>
              <w:rPr>
                <w:sz w:val="17"/>
              </w:rPr>
            </w:pPr>
            <w:r>
              <w:rPr>
                <w:w w:val="105"/>
                <w:sz w:val="17"/>
              </w:rPr>
              <w:t>Cessar obstrução. Após 10 (dez) dias do recebimento da notificação, incide cobrança de multa.</w:t>
            </w:r>
          </w:p>
        </w:tc>
      </w:tr>
      <w:tr>
        <w:trPr>
          <w:trHeight w:val="594" w:hRule="atLeast"/>
        </w:trPr>
        <w:tc>
          <w:tcPr>
            <w:tcW w:w="182" w:type="dxa"/>
            <w:vMerge/>
            <w:tcBorders>
              <w:top w:val="nil"/>
            </w:tcBorders>
            <w:shd w:val="clear" w:color="auto" w:fill="00666D"/>
          </w:tcPr>
          <w:p>
            <w:pPr>
              <w:rPr>
                <w:sz w:val="2"/>
                <w:szCs w:val="2"/>
              </w:rPr>
            </w:pPr>
          </w:p>
        </w:tc>
        <w:tc>
          <w:tcPr>
            <w:tcW w:w="2980" w:type="dxa"/>
            <w:tcBorders>
              <w:top w:val="single" w:sz="4" w:space="0" w:color="9DB5BC"/>
              <w:bottom w:val="single" w:sz="4" w:space="0" w:color="9DB5BC"/>
            </w:tcBorders>
            <w:shd w:val="clear" w:color="auto" w:fill="00666D"/>
          </w:tcPr>
          <w:p>
            <w:pPr>
              <w:pStyle w:val="TableParagraph"/>
              <w:spacing w:line="254" w:lineRule="auto" w:before="94"/>
              <w:ind w:left="110"/>
              <w:rPr>
                <w:sz w:val="17"/>
              </w:rPr>
            </w:pPr>
            <w:r>
              <w:rPr>
                <w:color w:val="FFFFFF"/>
                <w:w w:val="105"/>
                <w:sz w:val="17"/>
              </w:rPr>
              <w:t>Uso indevido das designações “Arquitetura” e/ou “Urbanismo”</w:t>
            </w:r>
          </w:p>
        </w:tc>
        <w:tc>
          <w:tcPr>
            <w:tcW w:w="3477" w:type="dxa"/>
            <w:tcBorders>
              <w:top w:val="single" w:sz="4" w:space="0" w:color="9DB5BC"/>
              <w:bottom w:val="single" w:sz="4" w:space="0" w:color="9DB5BC"/>
            </w:tcBorders>
          </w:tcPr>
          <w:p>
            <w:pPr>
              <w:pStyle w:val="TableParagraph"/>
              <w:spacing w:line="264" w:lineRule="exact" w:before="14"/>
              <w:ind w:left="217" w:right="131"/>
              <w:rPr>
                <w:sz w:val="17"/>
              </w:rPr>
            </w:pPr>
            <w:r>
              <w:rPr>
                <w:w w:val="105"/>
                <w:sz w:val="17"/>
              </w:rPr>
              <w:t>Artigos 7º e 11 - Lei n° 12.378/2010 Art. 35, XIV - Resolução CAU/BR nº</w:t>
            </w:r>
            <w:r>
              <w:rPr>
                <w:spacing w:val="9"/>
                <w:w w:val="105"/>
                <w:sz w:val="17"/>
              </w:rPr>
              <w:t> </w:t>
            </w:r>
            <w:r>
              <w:rPr>
                <w:w w:val="105"/>
                <w:sz w:val="17"/>
              </w:rPr>
              <w:t>22</w:t>
            </w:r>
          </w:p>
        </w:tc>
        <w:tc>
          <w:tcPr>
            <w:tcW w:w="2438" w:type="dxa"/>
            <w:tcBorders>
              <w:top w:val="single" w:sz="4" w:space="0" w:color="9DB5BC"/>
              <w:bottom w:val="single" w:sz="4" w:space="0" w:color="9DB5BC"/>
            </w:tcBorders>
          </w:tcPr>
          <w:p>
            <w:pPr>
              <w:pStyle w:val="TableParagraph"/>
              <w:spacing w:line="254" w:lineRule="auto" w:before="94"/>
              <w:ind w:left="138" w:right="146"/>
              <w:rPr>
                <w:sz w:val="17"/>
              </w:rPr>
            </w:pPr>
            <w:r>
              <w:rPr>
                <w:w w:val="105"/>
                <w:sz w:val="17"/>
              </w:rPr>
              <w:t>1 (uma) a 2 (duas) vezes o valor vigente da anuidade</w:t>
            </w:r>
          </w:p>
        </w:tc>
        <w:tc>
          <w:tcPr>
            <w:tcW w:w="6551" w:type="dxa"/>
            <w:tcBorders>
              <w:top w:val="single" w:sz="4" w:space="0" w:color="9DB5BC"/>
              <w:bottom w:val="single" w:sz="4" w:space="0" w:color="9DB5BC"/>
            </w:tcBorders>
          </w:tcPr>
          <w:p>
            <w:pPr>
              <w:pStyle w:val="TableParagraph"/>
              <w:spacing w:line="254" w:lineRule="auto" w:before="94"/>
              <w:ind w:left="115" w:right="96"/>
              <w:rPr>
                <w:sz w:val="17"/>
              </w:rPr>
            </w:pPr>
            <w:r>
              <w:rPr>
                <w:w w:val="105"/>
                <w:sz w:val="17"/>
              </w:rPr>
              <w:t>Cessar irregularidade. Após 10 (dez) dias do recebimento</w:t>
            </w:r>
            <w:r>
              <w:rPr>
                <w:spacing w:val="49"/>
                <w:w w:val="105"/>
                <w:sz w:val="17"/>
              </w:rPr>
              <w:t> </w:t>
            </w:r>
            <w:r>
              <w:rPr>
                <w:w w:val="105"/>
                <w:sz w:val="17"/>
              </w:rPr>
              <w:t>da  notificação, incide cobrança de</w:t>
            </w:r>
            <w:r>
              <w:rPr>
                <w:spacing w:val="5"/>
                <w:w w:val="105"/>
                <w:sz w:val="17"/>
              </w:rPr>
              <w:t> </w:t>
            </w:r>
            <w:r>
              <w:rPr>
                <w:w w:val="105"/>
                <w:sz w:val="17"/>
              </w:rPr>
              <w:t>multa.</w:t>
            </w:r>
          </w:p>
        </w:tc>
      </w:tr>
      <w:tr>
        <w:trPr>
          <w:trHeight w:val="594" w:hRule="atLeast"/>
        </w:trPr>
        <w:tc>
          <w:tcPr>
            <w:tcW w:w="182" w:type="dxa"/>
            <w:vMerge/>
            <w:tcBorders>
              <w:top w:val="nil"/>
            </w:tcBorders>
            <w:shd w:val="clear" w:color="auto" w:fill="00666D"/>
          </w:tcPr>
          <w:p>
            <w:pPr>
              <w:rPr>
                <w:sz w:val="2"/>
                <w:szCs w:val="2"/>
              </w:rPr>
            </w:pPr>
          </w:p>
        </w:tc>
        <w:tc>
          <w:tcPr>
            <w:tcW w:w="2980" w:type="dxa"/>
            <w:tcBorders>
              <w:top w:val="single" w:sz="4" w:space="0" w:color="9DB5BC"/>
              <w:bottom w:val="single" w:sz="4" w:space="0" w:color="9DB5BC"/>
            </w:tcBorders>
            <w:shd w:val="clear" w:color="auto" w:fill="00666D"/>
          </w:tcPr>
          <w:p>
            <w:pPr>
              <w:pStyle w:val="TableParagraph"/>
              <w:spacing w:line="264" w:lineRule="exact" w:before="14"/>
              <w:ind w:left="110" w:right="102"/>
              <w:rPr>
                <w:sz w:val="17"/>
              </w:rPr>
            </w:pPr>
            <w:r>
              <w:rPr>
                <w:color w:val="FFFFFF"/>
                <w:w w:val="105"/>
                <w:sz w:val="17"/>
              </w:rPr>
              <w:t>Descumprimento do Salário Mínimo Profissional</w:t>
            </w:r>
          </w:p>
        </w:tc>
        <w:tc>
          <w:tcPr>
            <w:tcW w:w="3477" w:type="dxa"/>
            <w:tcBorders>
              <w:top w:val="single" w:sz="4" w:space="0" w:color="9DB5BC"/>
              <w:bottom w:val="single" w:sz="4" w:space="0" w:color="9DB5BC"/>
            </w:tcBorders>
          </w:tcPr>
          <w:p>
            <w:pPr>
              <w:pStyle w:val="TableParagraph"/>
              <w:spacing w:before="4"/>
              <w:rPr>
                <w:sz w:val="17"/>
              </w:rPr>
            </w:pPr>
          </w:p>
          <w:p>
            <w:pPr>
              <w:pStyle w:val="TableParagraph"/>
              <w:spacing w:before="1"/>
              <w:ind w:left="217"/>
              <w:rPr>
                <w:sz w:val="17"/>
              </w:rPr>
            </w:pPr>
            <w:r>
              <w:rPr>
                <w:w w:val="105"/>
                <w:sz w:val="17"/>
              </w:rPr>
              <w:t>Art. 7º e 8º - Resolução CAU/BR n° 38</w:t>
            </w:r>
          </w:p>
        </w:tc>
        <w:tc>
          <w:tcPr>
            <w:tcW w:w="2438" w:type="dxa"/>
            <w:tcBorders>
              <w:top w:val="single" w:sz="4" w:space="0" w:color="9DB5BC"/>
              <w:bottom w:val="single" w:sz="4" w:space="0" w:color="9DB5BC"/>
            </w:tcBorders>
          </w:tcPr>
          <w:p>
            <w:pPr>
              <w:pStyle w:val="TableParagraph"/>
              <w:spacing w:line="254" w:lineRule="auto" w:before="94"/>
              <w:ind w:left="138"/>
              <w:rPr>
                <w:sz w:val="17"/>
              </w:rPr>
            </w:pPr>
            <w:r>
              <w:rPr>
                <w:w w:val="105"/>
                <w:sz w:val="17"/>
              </w:rPr>
              <w:t>5 (cinco) a 10 (dez) vezes valor vigente da anuidade</w:t>
            </w:r>
          </w:p>
        </w:tc>
        <w:tc>
          <w:tcPr>
            <w:tcW w:w="6551" w:type="dxa"/>
            <w:tcBorders>
              <w:top w:val="single" w:sz="4" w:space="0" w:color="9DB5BC"/>
              <w:bottom w:val="single" w:sz="4" w:space="0" w:color="9DB5BC"/>
            </w:tcBorders>
          </w:tcPr>
          <w:p>
            <w:pPr>
              <w:pStyle w:val="TableParagraph"/>
              <w:spacing w:line="254" w:lineRule="auto" w:before="94"/>
              <w:ind w:left="115" w:right="96"/>
              <w:rPr>
                <w:sz w:val="17"/>
              </w:rPr>
            </w:pPr>
            <w:r>
              <w:rPr>
                <w:w w:val="105"/>
                <w:sz w:val="17"/>
              </w:rPr>
              <w:t>Cessar irregularidade. Após 10 (dez) dias do recebimento</w:t>
            </w:r>
            <w:r>
              <w:rPr>
                <w:spacing w:val="49"/>
                <w:w w:val="105"/>
                <w:sz w:val="17"/>
              </w:rPr>
              <w:t> </w:t>
            </w:r>
            <w:r>
              <w:rPr>
                <w:w w:val="105"/>
                <w:sz w:val="17"/>
              </w:rPr>
              <w:t>da  notificação, incide as penalidades</w:t>
            </w:r>
            <w:r>
              <w:rPr>
                <w:spacing w:val="3"/>
                <w:w w:val="105"/>
                <w:sz w:val="17"/>
              </w:rPr>
              <w:t> </w:t>
            </w:r>
            <w:r>
              <w:rPr>
                <w:w w:val="105"/>
                <w:sz w:val="17"/>
              </w:rPr>
              <w:t>aplicáveis.</w:t>
            </w:r>
          </w:p>
        </w:tc>
      </w:tr>
      <w:tr>
        <w:trPr>
          <w:trHeight w:val="7123" w:hRule="atLeast"/>
        </w:trPr>
        <w:tc>
          <w:tcPr>
            <w:tcW w:w="182" w:type="dxa"/>
            <w:vMerge/>
            <w:tcBorders>
              <w:top w:val="nil"/>
            </w:tcBorders>
            <w:shd w:val="clear" w:color="auto" w:fill="00666D"/>
          </w:tcPr>
          <w:p>
            <w:pPr>
              <w:rPr>
                <w:sz w:val="2"/>
                <w:szCs w:val="2"/>
              </w:rPr>
            </w:pPr>
          </w:p>
        </w:tc>
        <w:tc>
          <w:tcPr>
            <w:tcW w:w="2980" w:type="dxa"/>
            <w:tcBorders>
              <w:top w:val="single" w:sz="4" w:space="0" w:color="9DB5BC"/>
            </w:tcBorders>
            <w:shd w:val="clear" w:color="auto" w:fill="00666D"/>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3"/>
              <w:rPr>
                <w:sz w:val="29"/>
              </w:rPr>
            </w:pPr>
          </w:p>
          <w:p>
            <w:pPr>
              <w:pStyle w:val="TableParagraph"/>
              <w:ind w:left="1081" w:right="1393"/>
              <w:jc w:val="center"/>
              <w:rPr>
                <w:sz w:val="19"/>
              </w:rPr>
            </w:pPr>
            <w:r>
              <w:rPr>
                <w:color w:val="FFFFFF"/>
                <w:w w:val="105"/>
                <w:sz w:val="19"/>
              </w:rPr>
              <w:t>- 31 -</w:t>
            </w:r>
          </w:p>
        </w:tc>
        <w:tc>
          <w:tcPr>
            <w:tcW w:w="12466" w:type="dxa"/>
            <w:gridSpan w:val="3"/>
            <w:tcBorders>
              <w:top w:val="single" w:sz="4" w:space="0" w:color="9DB5BC"/>
            </w:tcBorders>
          </w:tcPr>
          <w:p>
            <w:pPr>
              <w:pStyle w:val="TableParagraph"/>
              <w:rPr>
                <w:rFonts w:ascii="Times New Roman"/>
                <w:sz w:val="18"/>
              </w:rPr>
            </w:pPr>
          </w:p>
        </w:tc>
      </w:tr>
    </w:tbl>
    <w:p>
      <w:pPr>
        <w:spacing w:after="0"/>
        <w:rPr>
          <w:rFonts w:ascii="Times New Roman"/>
          <w:sz w:val="18"/>
        </w:rPr>
        <w:sectPr>
          <w:pgSz w:w="16840" w:h="11900" w:orient="landscape"/>
          <w:pgMar w:top="240" w:bottom="0" w:left="140" w:right="860"/>
        </w:sectPr>
      </w:pPr>
    </w:p>
    <w:p>
      <w:pPr>
        <w:pStyle w:val="Heading4"/>
        <w:spacing w:before="82"/>
      </w:pPr>
      <w:r>
        <w:rPr/>
        <w:pict>
          <v:group style="position:absolute;margin-left:12pt;margin-top:12pt;width:774.5pt;height:571pt;mso-position-horizontal-relative:page;mso-position-vertical-relative:page;z-index:-147112" coordorigin="240,240" coordsize="15490,11420">
            <v:rect style="position:absolute;left:240;top:240;width:3164;height:11420" filled="true" fillcolor="#00666d" stroked="false">
              <v:fill type="solid"/>
            </v:rect>
            <v:line style="position:absolute" from="538,1814" to="15730,1814" stroked="true" strokeweight=".479981pt" strokecolor="#9db5bc">
              <v:stroke dashstyle="solid"/>
            </v:line>
            <w10:wrap type="none"/>
          </v:group>
        </w:pict>
      </w:r>
      <w:r>
        <w:rPr>
          <w:color w:val="00666D"/>
        </w:rPr>
        <w:t>- Manual de Fiscalização do Exercício da Arquitetura e Urbanismo -</w:t>
      </w:r>
    </w:p>
    <w:p>
      <w:pPr>
        <w:pStyle w:val="BodyText"/>
        <w:rPr>
          <w:rFonts w:ascii="DaxCondensed"/>
          <w:sz w:val="20"/>
        </w:rPr>
      </w:pPr>
    </w:p>
    <w:p>
      <w:pPr>
        <w:pStyle w:val="Heading1"/>
        <w:numPr>
          <w:ilvl w:val="1"/>
          <w:numId w:val="24"/>
        </w:numPr>
        <w:tabs>
          <w:tab w:pos="992" w:val="left" w:leader="none"/>
          <w:tab w:pos="993" w:val="left" w:leader="none"/>
        </w:tabs>
        <w:spacing w:line="240" w:lineRule="auto" w:before="222" w:after="0"/>
        <w:ind w:left="992" w:right="0" w:hanging="567"/>
        <w:jc w:val="left"/>
        <w:rPr>
          <w:color w:val="FFFFFF"/>
          <w:sz w:val="28"/>
        </w:rPr>
      </w:pPr>
      <w:bookmarkStart w:name="_TOC_250010" w:id="7"/>
      <w:r>
        <w:rPr>
          <w:color w:val="FFFFFF"/>
        </w:rPr>
        <w:t>Ritos</w:t>
      </w:r>
      <w:r>
        <w:rPr>
          <w:color w:val="FFFFFF"/>
          <w:spacing w:val="3"/>
        </w:rPr>
        <w:t> </w:t>
      </w:r>
      <w:bookmarkEnd w:id="7"/>
      <w:r>
        <w:rPr>
          <w:color w:val="FFFFFF"/>
        </w:rPr>
        <w:t>Processuais</w:t>
      </w:r>
    </w:p>
    <w:p>
      <w:pPr>
        <w:pStyle w:val="BodyText"/>
        <w:rPr>
          <w:rFonts w:ascii="DaxCondensed"/>
          <w:sz w:val="20"/>
        </w:rPr>
      </w:pPr>
    </w:p>
    <w:p>
      <w:pPr>
        <w:pStyle w:val="BodyText"/>
        <w:rPr>
          <w:rFonts w:ascii="DaxCondensed"/>
          <w:sz w:val="20"/>
        </w:rPr>
      </w:pPr>
    </w:p>
    <w:p>
      <w:pPr>
        <w:pStyle w:val="BodyText"/>
        <w:spacing w:before="1"/>
        <w:rPr>
          <w:rFonts w:ascii="DaxCondensed"/>
          <w:sz w:val="22"/>
        </w:rPr>
      </w:pPr>
    </w:p>
    <w:p>
      <w:pPr>
        <w:pStyle w:val="Heading3"/>
        <w:numPr>
          <w:ilvl w:val="2"/>
          <w:numId w:val="24"/>
        </w:numPr>
        <w:tabs>
          <w:tab w:pos="5114" w:val="left" w:leader="none"/>
          <w:tab w:pos="5115" w:val="left" w:leader="none"/>
          <w:tab w:pos="15589" w:val="left" w:leader="none"/>
        </w:tabs>
        <w:spacing w:line="240" w:lineRule="auto" w:before="99" w:after="0"/>
        <w:ind w:left="5114" w:right="0" w:hanging="720"/>
        <w:jc w:val="left"/>
      </w:pPr>
      <w:bookmarkStart w:name="_TOC_250009" w:id="8"/>
      <w:r>
        <w:rPr>
          <w:color w:val="F2F2F2"/>
          <w:shd w:fill="00666D" w:color="auto" w:val="clear"/>
        </w:rPr>
        <w:t>Relatório de</w:t>
      </w:r>
      <w:r>
        <w:rPr>
          <w:color w:val="F2F2F2"/>
          <w:spacing w:val="-14"/>
          <w:shd w:fill="00666D" w:color="auto" w:val="clear"/>
        </w:rPr>
        <w:t> </w:t>
      </w:r>
      <w:bookmarkEnd w:id="8"/>
      <w:r>
        <w:rPr>
          <w:color w:val="F2F2F2"/>
          <w:shd w:fill="00666D" w:color="auto" w:val="clear"/>
        </w:rPr>
        <w:t>Fiscalização</w:t>
        <w:tab/>
      </w:r>
    </w:p>
    <w:p>
      <w:pPr>
        <w:pStyle w:val="BodyText"/>
        <w:spacing w:before="8"/>
        <w:rPr>
          <w:rFonts w:ascii="DaxCondensed"/>
          <w:sz w:val="36"/>
        </w:rPr>
      </w:pPr>
    </w:p>
    <w:p>
      <w:pPr>
        <w:pStyle w:val="BodyText"/>
        <w:spacing w:line="379" w:lineRule="auto"/>
        <w:ind w:left="4394" w:right="276"/>
        <w:jc w:val="both"/>
      </w:pPr>
      <w:r>
        <w:rPr>
          <w:w w:val="105"/>
        </w:rPr>
        <w:t>Realizada uma ação fiscalizatória, o agente de fiscalização do CAU/UF deverá elaborar, no ambiente do SICCAU Corporativo, um Relatório Digital de Fiscalização referente à atividade técnica fiscalizada. Uma vez que nem sempre é possível elaborar tal documento diretamente no ato da fiscalização ou no local da atividade fiscalizada, recomenda-se que o agente de fiscalização ali proceda ao levantamento dos dados e à coleta das informações necessárias à posterior elaboração do referido relatório, que, em atendimento ao disposto no art. 11 da Resolução CAU/BR nº 22, de 2012, deverá</w:t>
      </w:r>
      <w:r>
        <w:rPr>
          <w:spacing w:val="-14"/>
          <w:w w:val="105"/>
        </w:rPr>
        <w:t> </w:t>
      </w:r>
      <w:r>
        <w:rPr>
          <w:w w:val="105"/>
        </w:rPr>
        <w:t>conter:</w:t>
      </w:r>
    </w:p>
    <w:p>
      <w:pPr>
        <w:pStyle w:val="BodyText"/>
        <w:spacing w:before="9"/>
        <w:rPr>
          <w:sz w:val="29"/>
        </w:rPr>
      </w:pPr>
    </w:p>
    <w:p>
      <w:pPr>
        <w:pStyle w:val="ListParagraph"/>
        <w:numPr>
          <w:ilvl w:val="3"/>
          <w:numId w:val="24"/>
        </w:numPr>
        <w:tabs>
          <w:tab w:pos="7378" w:val="left" w:leader="none"/>
        </w:tabs>
        <w:spacing w:line="379" w:lineRule="auto" w:before="1" w:after="0"/>
        <w:ind w:left="7229" w:right="276" w:firstLine="0"/>
        <w:jc w:val="left"/>
        <w:rPr>
          <w:i/>
          <w:sz w:val="19"/>
        </w:rPr>
      </w:pPr>
      <w:r>
        <w:rPr>
          <w:i/>
          <w:w w:val="105"/>
          <w:sz w:val="19"/>
        </w:rPr>
        <w:t>- datas da fiscalização e da emissão do relatório, nome completo, número de matrícula </w:t>
      </w:r>
      <w:r>
        <w:rPr>
          <w:i/>
          <w:w w:val="105"/>
          <w:sz w:val="19"/>
        </w:rPr>
        <w:t>funcional e assinatura digital do agente de</w:t>
      </w:r>
      <w:r>
        <w:rPr>
          <w:i/>
          <w:spacing w:val="4"/>
          <w:w w:val="105"/>
          <w:sz w:val="19"/>
        </w:rPr>
        <w:t> </w:t>
      </w:r>
      <w:r>
        <w:rPr>
          <w:i/>
          <w:w w:val="105"/>
          <w:sz w:val="19"/>
        </w:rPr>
        <w:t>fiscalização;</w:t>
      </w:r>
    </w:p>
    <w:p>
      <w:pPr>
        <w:pStyle w:val="ListParagraph"/>
        <w:numPr>
          <w:ilvl w:val="3"/>
          <w:numId w:val="24"/>
        </w:numPr>
        <w:tabs>
          <w:tab w:pos="7445" w:val="left" w:leader="none"/>
          <w:tab w:pos="7604" w:val="left" w:leader="none"/>
          <w:tab w:pos="7879" w:val="left" w:leader="none"/>
          <w:tab w:pos="9199" w:val="left" w:leader="none"/>
          <w:tab w:pos="9630" w:val="left" w:leader="none"/>
          <w:tab w:pos="10640" w:val="left" w:leader="none"/>
          <w:tab w:pos="11482" w:val="left" w:leader="none"/>
          <w:tab w:pos="12680" w:val="left" w:leader="none"/>
          <w:tab w:pos="13097" w:val="left" w:leader="none"/>
          <w:tab w:pos="13211" w:val="left" w:leader="none"/>
          <w:tab w:pos="14253" w:val="left" w:leader="none"/>
          <w:tab w:pos="14573" w:val="left" w:leader="none"/>
        </w:tabs>
        <w:spacing w:line="379" w:lineRule="auto" w:before="0" w:after="0"/>
        <w:ind w:left="7229" w:right="275" w:firstLine="0"/>
        <w:jc w:val="left"/>
        <w:rPr>
          <w:i/>
          <w:sz w:val="19"/>
        </w:rPr>
      </w:pPr>
      <w:r>
        <w:rPr>
          <w:i/>
          <w:w w:val="105"/>
          <w:sz w:val="19"/>
        </w:rPr>
        <w:t>-  identificação  da  pessoa  física  ou  jurídica</w:t>
      </w:r>
      <w:r>
        <w:rPr>
          <w:i/>
          <w:spacing w:val="-8"/>
          <w:w w:val="105"/>
          <w:sz w:val="19"/>
        </w:rPr>
        <w:t> </w:t>
      </w:r>
      <w:r>
        <w:rPr>
          <w:i/>
          <w:w w:val="105"/>
          <w:sz w:val="19"/>
        </w:rPr>
        <w:t>proprietária</w:t>
      </w:r>
      <w:r>
        <w:rPr>
          <w:i/>
          <w:spacing w:val="47"/>
          <w:w w:val="105"/>
          <w:sz w:val="19"/>
        </w:rPr>
        <w:t> </w:t>
      </w:r>
      <w:r>
        <w:rPr>
          <w:i/>
          <w:w w:val="105"/>
          <w:sz w:val="19"/>
        </w:rPr>
        <w:t>ou</w:t>
        <w:tab/>
        <w:t>responsável pela atividade </w:t>
      </w:r>
      <w:r>
        <w:rPr>
          <w:i/>
          <w:w w:val="105"/>
          <w:sz w:val="19"/>
        </w:rPr>
        <w:t>técnica fiscalizada, contendo nome e endereço completo e, quando possível, CPF ou CNPJ; III</w:t>
        <w:tab/>
        <w:t>-</w:t>
        <w:tab/>
        <w:t>identificação</w:t>
        <w:tab/>
        <w:t>da</w:t>
        <w:tab/>
        <w:t>atividade</w:t>
        <w:tab/>
        <w:t>técnica</w:t>
        <w:tab/>
        <w:t>fiscalizada,</w:t>
        <w:tab/>
        <w:t>seu</w:t>
        <w:tab/>
        <w:tab/>
        <w:t>endereço</w:t>
        <w:tab/>
        <w:t>e</w:t>
        <w:tab/>
        <w:t>localização georreferenciada, indicação da fase em que se encontra e caracterização de sua natureza e quantificação;</w:t>
      </w:r>
    </w:p>
    <w:p>
      <w:pPr>
        <w:pStyle w:val="ListParagraph"/>
        <w:numPr>
          <w:ilvl w:val="0"/>
          <w:numId w:val="26"/>
        </w:numPr>
        <w:tabs>
          <w:tab w:pos="7482" w:val="left" w:leader="none"/>
        </w:tabs>
        <w:spacing w:line="374" w:lineRule="auto" w:before="2" w:after="0"/>
        <w:ind w:left="7229" w:right="276" w:firstLine="0"/>
        <w:jc w:val="left"/>
        <w:rPr>
          <w:i/>
          <w:sz w:val="19"/>
        </w:rPr>
      </w:pPr>
      <w:r>
        <w:rPr>
          <w:i/>
          <w:w w:val="105"/>
          <w:sz w:val="19"/>
        </w:rPr>
        <w:t>- identificação de Registro de Responsabilidade Técnica (RRT) relativo à atividade técnica </w:t>
      </w:r>
      <w:r>
        <w:rPr>
          <w:i/>
          <w:w w:val="105"/>
          <w:sz w:val="19"/>
        </w:rPr>
        <w:t>fiscalizada, se</w:t>
      </w:r>
      <w:r>
        <w:rPr>
          <w:i/>
          <w:spacing w:val="1"/>
          <w:w w:val="105"/>
          <w:sz w:val="19"/>
        </w:rPr>
        <w:t> </w:t>
      </w:r>
      <w:r>
        <w:rPr>
          <w:i/>
          <w:w w:val="105"/>
          <w:sz w:val="19"/>
        </w:rPr>
        <w:t>houver;</w:t>
      </w:r>
    </w:p>
    <w:p>
      <w:pPr>
        <w:pStyle w:val="ListParagraph"/>
        <w:numPr>
          <w:ilvl w:val="0"/>
          <w:numId w:val="26"/>
        </w:numPr>
        <w:tabs>
          <w:tab w:pos="7424" w:val="left" w:leader="none"/>
        </w:tabs>
        <w:spacing w:line="379" w:lineRule="auto" w:before="5" w:after="0"/>
        <w:ind w:left="7229" w:right="277" w:firstLine="0"/>
        <w:jc w:val="left"/>
        <w:rPr>
          <w:i/>
          <w:sz w:val="19"/>
        </w:rPr>
      </w:pPr>
      <w:r>
        <w:rPr>
          <w:i/>
          <w:w w:val="105"/>
          <w:sz w:val="19"/>
        </w:rPr>
        <w:t>- nome completo e número de registro profissional no CAU/UF do responsável técnico pela </w:t>
      </w:r>
      <w:r>
        <w:rPr>
          <w:i/>
          <w:w w:val="105"/>
          <w:sz w:val="19"/>
        </w:rPr>
        <w:t>atividade técnica fiscalizada, quando for o</w:t>
      </w:r>
      <w:r>
        <w:rPr>
          <w:i/>
          <w:spacing w:val="4"/>
          <w:w w:val="105"/>
          <w:sz w:val="19"/>
        </w:rPr>
        <w:t> </w:t>
      </w:r>
      <w:r>
        <w:rPr>
          <w:i/>
          <w:w w:val="105"/>
          <w:sz w:val="19"/>
        </w:rPr>
        <w:t>caso;</w:t>
      </w:r>
    </w:p>
    <w:p>
      <w:pPr>
        <w:pStyle w:val="ListParagraph"/>
        <w:numPr>
          <w:ilvl w:val="0"/>
          <w:numId w:val="26"/>
        </w:numPr>
        <w:tabs>
          <w:tab w:pos="7531" w:val="left" w:leader="none"/>
        </w:tabs>
        <w:spacing w:line="379" w:lineRule="auto" w:before="1" w:after="0"/>
        <w:ind w:left="7229" w:right="278" w:firstLine="0"/>
        <w:jc w:val="left"/>
        <w:rPr>
          <w:i/>
          <w:sz w:val="19"/>
        </w:rPr>
      </w:pPr>
      <w:r>
        <w:rPr>
          <w:i/>
          <w:w w:val="105"/>
          <w:sz w:val="19"/>
        </w:rPr>
        <w:t>- informações que atestem ou não a efetiva participação do responsável técnico na </w:t>
      </w:r>
      <w:r>
        <w:rPr>
          <w:i/>
          <w:w w:val="105"/>
          <w:sz w:val="19"/>
        </w:rPr>
        <w:t>atividade fiscalizada, quando for o</w:t>
      </w:r>
      <w:r>
        <w:rPr>
          <w:i/>
          <w:spacing w:val="3"/>
          <w:w w:val="105"/>
          <w:sz w:val="19"/>
        </w:rPr>
        <w:t> </w:t>
      </w:r>
      <w:r>
        <w:rPr>
          <w:i/>
          <w:w w:val="105"/>
          <w:sz w:val="19"/>
        </w:rPr>
        <w:t>caso;</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27"/>
        </w:rPr>
      </w:pPr>
    </w:p>
    <w:p>
      <w:pPr>
        <w:pStyle w:val="BodyText"/>
        <w:spacing w:before="101"/>
        <w:ind w:left="1381"/>
      </w:pPr>
      <w:r>
        <w:rPr>
          <w:color w:val="FFFFFF"/>
          <w:w w:val="105"/>
        </w:rPr>
        <w:t>- 32 -</w:t>
      </w:r>
    </w:p>
    <w:p>
      <w:pPr>
        <w:spacing w:after="0"/>
        <w:sectPr>
          <w:pgSz w:w="16840" w:h="11900" w:orient="landscape"/>
          <w:pgMar w:top="640" w:bottom="280" w:left="140" w:right="860"/>
        </w:sectPr>
      </w:pPr>
    </w:p>
    <w:p>
      <w:pPr>
        <w:pStyle w:val="BodyText"/>
        <w:rPr>
          <w:sz w:val="20"/>
        </w:rPr>
      </w:pPr>
      <w:r>
        <w:rPr/>
        <w:pict>
          <v:shape style="position:absolute;margin-left:12pt;margin-top:12pt;width:158.2pt;height:571pt;mso-position-horizontal-relative:page;mso-position-vertical-relative:page;z-index:1984"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- 33 -</w:t>
                  </w:r>
                </w:p>
              </w:txbxContent>
            </v:textbox>
            <v:fill type="solid"/>
            <w10:wrap type="none"/>
          </v:shape>
        </w:pict>
      </w:r>
    </w:p>
    <w:p>
      <w:pPr>
        <w:pStyle w:val="BodyText"/>
        <w:spacing w:before="10"/>
        <w:rPr>
          <w:sz w:val="21"/>
        </w:rPr>
      </w:pPr>
    </w:p>
    <w:p>
      <w:pPr>
        <w:pStyle w:val="Heading4"/>
        <w:numPr>
          <w:ilvl w:val="0"/>
          <w:numId w:val="27"/>
        </w:numPr>
        <w:tabs>
          <w:tab w:pos="7250" w:val="left" w:leader="none"/>
        </w:tabs>
        <w:spacing w:line="240" w:lineRule="auto" w:before="0" w:after="0"/>
        <w:ind w:left="7249" w:right="0" w:hanging="134"/>
        <w:jc w:val="left"/>
      </w:pPr>
      <w:r>
        <w:rPr>
          <w:color w:val="00666D"/>
        </w:rPr>
        <w:t>Manual de Fiscalização do Exercício da Arquitetura e Urbanismo</w:t>
      </w:r>
      <w:r>
        <w:rPr>
          <w:color w:val="00666D"/>
          <w:spacing w:val="-1"/>
        </w:rPr>
        <w:t> </w:t>
      </w:r>
      <w:r>
        <w:rPr>
          <w:color w:val="00666D"/>
        </w:rPr>
        <w:t>-</w:t>
      </w:r>
    </w:p>
    <w:p>
      <w:pPr>
        <w:pStyle w:val="BodyText"/>
        <w:spacing w:before="5"/>
        <w:rPr>
          <w:rFonts w:ascii="DaxCondensed"/>
          <w:sz w:val="29"/>
        </w:rPr>
      </w:pPr>
    </w:p>
    <w:p>
      <w:pPr>
        <w:pStyle w:val="ListParagraph"/>
        <w:numPr>
          <w:ilvl w:val="0"/>
          <w:numId w:val="26"/>
        </w:numPr>
        <w:tabs>
          <w:tab w:pos="7547" w:val="left" w:leader="none"/>
        </w:tabs>
        <w:spacing w:line="379" w:lineRule="auto" w:before="100" w:after="0"/>
        <w:ind w:left="7229" w:right="275" w:firstLine="0"/>
        <w:jc w:val="both"/>
        <w:rPr>
          <w:i/>
          <w:sz w:val="19"/>
        </w:rPr>
      </w:pPr>
      <w:r>
        <w:rPr>
          <w:i/>
          <w:w w:val="105"/>
          <w:sz w:val="19"/>
        </w:rPr>
        <w:t>- descrição minuciosa dos elementos que configurem infração à legislação profissional e </w:t>
      </w:r>
      <w:r>
        <w:rPr>
          <w:i/>
          <w:w w:val="105"/>
          <w:sz w:val="19"/>
        </w:rPr>
        <w:t>caracterização do fato gerador que justifiquem a notificação ou autuação da pessoa física ou jurídica responsável pela atividade técnica fiscalizada, quando for o</w:t>
      </w:r>
      <w:r>
        <w:rPr>
          <w:i/>
          <w:spacing w:val="1"/>
          <w:w w:val="105"/>
          <w:sz w:val="19"/>
        </w:rPr>
        <w:t> </w:t>
      </w:r>
      <w:r>
        <w:rPr>
          <w:i/>
          <w:w w:val="105"/>
          <w:sz w:val="19"/>
        </w:rPr>
        <w:t>caso;</w:t>
      </w:r>
    </w:p>
    <w:p>
      <w:pPr>
        <w:pStyle w:val="ListParagraph"/>
        <w:numPr>
          <w:ilvl w:val="0"/>
          <w:numId w:val="26"/>
        </w:numPr>
        <w:tabs>
          <w:tab w:pos="7627" w:val="left" w:leader="none"/>
        </w:tabs>
        <w:spacing w:line="379" w:lineRule="auto" w:before="2" w:after="0"/>
        <w:ind w:left="7229" w:right="276" w:firstLine="0"/>
        <w:jc w:val="left"/>
        <w:rPr>
          <w:i/>
          <w:sz w:val="19"/>
        </w:rPr>
      </w:pPr>
      <w:r>
        <w:rPr>
          <w:i/>
          <w:w w:val="105"/>
          <w:sz w:val="19"/>
        </w:rPr>
        <w:t>- identificação do responsável pelas informações prestadas sobre a atividade técnica </w:t>
      </w:r>
      <w:r>
        <w:rPr>
          <w:i/>
          <w:w w:val="105"/>
          <w:sz w:val="19"/>
        </w:rPr>
        <w:t>fiscalizada, incluindo nome completo e função exercida, se for o</w:t>
      </w:r>
      <w:r>
        <w:rPr>
          <w:i/>
          <w:spacing w:val="3"/>
          <w:w w:val="105"/>
          <w:sz w:val="19"/>
        </w:rPr>
        <w:t> </w:t>
      </w:r>
      <w:r>
        <w:rPr>
          <w:i/>
          <w:w w:val="105"/>
          <w:sz w:val="19"/>
        </w:rPr>
        <w:t>caso;</w:t>
      </w:r>
    </w:p>
    <w:p>
      <w:pPr>
        <w:pStyle w:val="ListParagraph"/>
        <w:numPr>
          <w:ilvl w:val="0"/>
          <w:numId w:val="26"/>
        </w:numPr>
        <w:tabs>
          <w:tab w:pos="7475" w:val="left" w:leader="none"/>
        </w:tabs>
        <w:spacing w:line="240" w:lineRule="auto" w:before="0" w:after="0"/>
        <w:ind w:left="7474" w:right="0" w:hanging="245"/>
        <w:jc w:val="left"/>
        <w:rPr>
          <w:i/>
          <w:sz w:val="19"/>
        </w:rPr>
      </w:pPr>
      <w:r>
        <w:rPr>
          <w:i/>
          <w:w w:val="105"/>
          <w:sz w:val="19"/>
        </w:rPr>
        <w:t>- descrição de fato que caracterize embaraço ou resistência à fiscalização, quando</w:t>
      </w:r>
      <w:r>
        <w:rPr>
          <w:i/>
          <w:spacing w:val="-16"/>
          <w:w w:val="105"/>
          <w:sz w:val="19"/>
        </w:rPr>
        <w:t> </w:t>
      </w:r>
      <w:r>
        <w:rPr>
          <w:i/>
          <w:w w:val="105"/>
          <w:sz w:val="19"/>
        </w:rPr>
        <w:t>couber.</w:t>
      </w:r>
    </w:p>
    <w:p>
      <w:pPr>
        <w:pStyle w:val="BodyText"/>
        <w:spacing w:before="5"/>
        <w:rPr>
          <w:i/>
          <w:sz w:val="29"/>
        </w:rPr>
      </w:pPr>
    </w:p>
    <w:p>
      <w:pPr>
        <w:pStyle w:val="BodyText"/>
        <w:spacing w:line="376" w:lineRule="auto"/>
        <w:ind w:left="4394" w:right="277"/>
        <w:jc w:val="both"/>
      </w:pPr>
      <w:r>
        <w:rPr>
          <w:w w:val="105"/>
        </w:rPr>
        <w:t>Ademais, observadas a oportunidade e a conveniência de cada caso, convém que sejam incluídos na coleta de informações referentes à atividade técnica fiscalizada, outros elementos que possam contribuir para a caracterização de eventual infração e da real participação da pessoa física ou jurídica responsável, conforme elencados no art. 12 da supracitada resolução:</w:t>
      </w:r>
    </w:p>
    <w:p>
      <w:pPr>
        <w:pStyle w:val="BodyText"/>
        <w:spacing w:before="7"/>
        <w:rPr>
          <w:sz w:val="18"/>
        </w:rPr>
      </w:pPr>
    </w:p>
    <w:p>
      <w:pPr>
        <w:spacing w:line="379" w:lineRule="auto" w:before="0"/>
        <w:ind w:left="7229" w:right="1859" w:firstLine="0"/>
        <w:jc w:val="left"/>
        <w:rPr>
          <w:i/>
          <w:sz w:val="19"/>
        </w:rPr>
      </w:pPr>
      <w:r>
        <w:rPr>
          <w:i/>
          <w:w w:val="105"/>
          <w:sz w:val="19"/>
        </w:rPr>
        <w:t>I - contrato de prestação de serviço referente à atividade técnica fiscalizada; </w:t>
      </w:r>
      <w:r>
        <w:rPr>
          <w:i/>
          <w:w w:val="105"/>
          <w:sz w:val="19"/>
        </w:rPr>
        <w:t>II - contrato social da pessoa jurídica e suas alterações, se for o caso;</w:t>
      </w:r>
    </w:p>
    <w:p>
      <w:pPr>
        <w:spacing w:line="379" w:lineRule="auto" w:before="0"/>
        <w:ind w:left="7229" w:right="835" w:firstLine="0"/>
        <w:jc w:val="left"/>
        <w:rPr>
          <w:i/>
          <w:sz w:val="19"/>
        </w:rPr>
      </w:pPr>
      <w:r>
        <w:rPr>
          <w:i/>
          <w:w w:val="105"/>
          <w:sz w:val="19"/>
        </w:rPr>
        <w:t>III - projetos, laudos e outros documentos relacionados à atividade técnica fiscalizada; </w:t>
      </w:r>
      <w:r>
        <w:rPr>
          <w:i/>
          <w:w w:val="105"/>
          <w:sz w:val="19"/>
        </w:rPr>
        <w:t>IV - fotografias da atividade técnica fiscalizada;</w:t>
      </w:r>
    </w:p>
    <w:p>
      <w:pPr>
        <w:pStyle w:val="ListParagraph"/>
        <w:numPr>
          <w:ilvl w:val="0"/>
          <w:numId w:val="28"/>
        </w:numPr>
        <w:tabs>
          <w:tab w:pos="7419" w:val="left" w:leader="none"/>
        </w:tabs>
        <w:spacing w:line="240" w:lineRule="auto" w:before="0" w:after="0"/>
        <w:ind w:left="7418" w:right="0" w:hanging="189"/>
        <w:jc w:val="left"/>
        <w:rPr>
          <w:i/>
          <w:sz w:val="19"/>
        </w:rPr>
      </w:pPr>
      <w:r>
        <w:rPr>
          <w:i/>
          <w:w w:val="105"/>
          <w:sz w:val="19"/>
        </w:rPr>
        <w:t>- declaração do contratante ou de</w:t>
      </w:r>
      <w:r>
        <w:rPr>
          <w:i/>
          <w:spacing w:val="6"/>
          <w:w w:val="105"/>
          <w:sz w:val="19"/>
        </w:rPr>
        <w:t> </w:t>
      </w:r>
      <w:r>
        <w:rPr>
          <w:i/>
          <w:w w:val="105"/>
          <w:sz w:val="19"/>
        </w:rPr>
        <w:t>testemunhas;</w:t>
      </w:r>
    </w:p>
    <w:p>
      <w:pPr>
        <w:pStyle w:val="ListParagraph"/>
        <w:numPr>
          <w:ilvl w:val="0"/>
          <w:numId w:val="28"/>
        </w:numPr>
        <w:tabs>
          <w:tab w:pos="7529" w:val="left" w:leader="none"/>
        </w:tabs>
        <w:spacing w:line="379" w:lineRule="auto" w:before="124" w:after="0"/>
        <w:ind w:left="7229" w:right="280" w:firstLine="0"/>
        <w:jc w:val="left"/>
        <w:rPr>
          <w:i/>
          <w:sz w:val="19"/>
        </w:rPr>
      </w:pPr>
      <w:r>
        <w:rPr>
          <w:i/>
          <w:w w:val="105"/>
          <w:sz w:val="19"/>
        </w:rPr>
        <w:t>- informação sobre as condições de regularidade de registro do responsável técnico </w:t>
      </w:r>
      <w:r>
        <w:rPr>
          <w:i/>
          <w:w w:val="105"/>
          <w:sz w:val="19"/>
        </w:rPr>
        <w:t>perante o</w:t>
      </w:r>
      <w:r>
        <w:rPr>
          <w:i/>
          <w:spacing w:val="2"/>
          <w:w w:val="105"/>
          <w:sz w:val="19"/>
        </w:rPr>
        <w:t> </w:t>
      </w:r>
      <w:r>
        <w:rPr>
          <w:i/>
          <w:w w:val="105"/>
          <w:sz w:val="19"/>
        </w:rPr>
        <w:t>CAU/UF.</w:t>
      </w:r>
    </w:p>
    <w:p>
      <w:pPr>
        <w:pStyle w:val="BodyText"/>
        <w:spacing w:before="5"/>
        <w:rPr>
          <w:i/>
          <w:sz w:val="18"/>
        </w:rPr>
      </w:pPr>
    </w:p>
    <w:p>
      <w:pPr>
        <w:pStyle w:val="BodyText"/>
        <w:spacing w:line="376" w:lineRule="auto"/>
        <w:ind w:left="4394" w:right="275"/>
        <w:jc w:val="both"/>
      </w:pPr>
      <w:r>
        <w:rPr>
          <w:w w:val="105"/>
        </w:rPr>
        <w:t>Ao concluir a ação fiscalizatória </w:t>
      </w:r>
      <w:r>
        <w:rPr>
          <w:i/>
          <w:w w:val="105"/>
        </w:rPr>
        <w:t>in loco</w:t>
      </w:r>
      <w:r>
        <w:rPr>
          <w:w w:val="105"/>
        </w:rPr>
        <w:t>, o agente de fiscalização do CAU/UF, ou o arquiteto e urbanista devidamente credenciado para ação de apoio a esta atividade, deverá entregar ao responsável pelas informações prestadas uma carta padrão, denominada Comunicação de Visita (ver Anexo 7.2.1), onde assinalará se, na data da fiscalização, foi ou não detectado qualquer indício de irregularidade da atividade técnica fiscalizada.</w:t>
      </w:r>
    </w:p>
    <w:p>
      <w:pPr>
        <w:pStyle w:val="BodyText"/>
        <w:spacing w:before="10"/>
        <w:rPr>
          <w:sz w:val="18"/>
        </w:rPr>
      </w:pPr>
    </w:p>
    <w:p>
      <w:pPr>
        <w:pStyle w:val="BodyText"/>
        <w:spacing w:line="376" w:lineRule="auto"/>
        <w:ind w:left="4394" w:right="276"/>
        <w:jc w:val="both"/>
      </w:pPr>
      <w:r>
        <w:rPr>
          <w:w w:val="105"/>
        </w:rPr>
        <w:t>De posse dos dados levantados, o agente de fiscalização procederá ao preenchimento do Relatório Digital de Fiscalização</w:t>
      </w:r>
      <w:r>
        <w:rPr>
          <w:spacing w:val="55"/>
          <w:w w:val="105"/>
        </w:rPr>
        <w:t> </w:t>
      </w:r>
      <w:r>
        <w:rPr>
          <w:w w:val="105"/>
        </w:rPr>
        <w:t>no SICCAU Coorporativo, para cada ação fiscalizatória realizada. Caso não identifique nenhum indício de irregularidade ou de ilegalidade na atividade técnica fiscalizada, o agente de fiscalização encaminhará, através de ato administrativo, o  relatório ao arquivamento. Não obstante, o documento constará dos relatórios gerenciais periódicos das áreas</w:t>
      </w:r>
      <w:r>
        <w:rPr>
          <w:spacing w:val="-25"/>
          <w:w w:val="105"/>
        </w:rPr>
        <w:t> </w:t>
      </w:r>
      <w:r>
        <w:rPr>
          <w:w w:val="105"/>
        </w:rPr>
        <w:t>fiscalizadas.</w:t>
      </w:r>
    </w:p>
    <w:p>
      <w:pPr>
        <w:spacing w:after="0" w:line="376" w:lineRule="auto"/>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2008"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- 34 -</w:t>
                  </w:r>
                </w:p>
              </w:txbxContent>
            </v:textbox>
            <v:fill type="solid"/>
            <w10:wrap type="none"/>
          </v:shape>
        </w:pict>
      </w:r>
    </w:p>
    <w:p>
      <w:pPr>
        <w:pStyle w:val="BodyText"/>
        <w:spacing w:before="10"/>
        <w:rPr>
          <w:sz w:val="21"/>
        </w:rPr>
      </w:pPr>
    </w:p>
    <w:p>
      <w:pPr>
        <w:pStyle w:val="Heading4"/>
        <w:numPr>
          <w:ilvl w:val="0"/>
          <w:numId w:val="27"/>
        </w:numPr>
        <w:tabs>
          <w:tab w:pos="7250" w:val="left" w:leader="none"/>
        </w:tabs>
        <w:spacing w:line="240" w:lineRule="auto" w:before="0" w:after="0"/>
        <w:ind w:left="7249" w:right="0" w:hanging="134"/>
        <w:jc w:val="left"/>
      </w:pPr>
      <w:r>
        <w:rPr>
          <w:color w:val="00666D"/>
        </w:rPr>
        <w:t>Manual de Fiscalização do Exercício da Arquitetura e Urbanismo</w:t>
      </w:r>
      <w:r>
        <w:rPr>
          <w:color w:val="00666D"/>
          <w:spacing w:val="-1"/>
        </w:rPr>
        <w:t> </w:t>
      </w:r>
      <w:r>
        <w:rPr>
          <w:color w:val="00666D"/>
        </w:rPr>
        <w:t>-</w:t>
      </w:r>
    </w:p>
    <w:p>
      <w:pPr>
        <w:pStyle w:val="BodyText"/>
        <w:spacing w:before="5"/>
        <w:rPr>
          <w:rFonts w:ascii="DaxCondensed"/>
          <w:sz w:val="29"/>
        </w:rPr>
      </w:pPr>
    </w:p>
    <w:p>
      <w:pPr>
        <w:pStyle w:val="BodyText"/>
        <w:spacing w:line="379" w:lineRule="auto" w:before="100"/>
        <w:ind w:left="4394" w:right="275"/>
        <w:jc w:val="both"/>
      </w:pPr>
      <w:r>
        <w:rPr>
          <w:w w:val="105"/>
        </w:rPr>
        <w:t>Caso seja constada situação de irregularidade ou de ilegalidade na atividade técnica fiscalizada, o agente de fiscalização instruirá o relatório de forma a caracterizar a infração e, em seguida, lavrará notificação em desfavor da pessoa física ou jurídica proprietária ou responsável pela atividade técnica fiscalizada para, no prazo estabelecido, adotar as providências necessárias à regularização.</w:t>
      </w:r>
    </w:p>
    <w:p>
      <w:pPr>
        <w:pStyle w:val="BodyText"/>
        <w:spacing w:before="10"/>
        <w:rPr>
          <w:sz w:val="12"/>
        </w:rPr>
      </w:pPr>
    </w:p>
    <w:p>
      <w:pPr>
        <w:pStyle w:val="Heading3"/>
        <w:numPr>
          <w:ilvl w:val="2"/>
          <w:numId w:val="24"/>
        </w:numPr>
        <w:tabs>
          <w:tab w:pos="5114" w:val="left" w:leader="none"/>
          <w:tab w:pos="5115" w:val="left" w:leader="none"/>
          <w:tab w:pos="15589" w:val="left" w:leader="none"/>
        </w:tabs>
        <w:spacing w:line="240" w:lineRule="auto" w:before="99" w:after="0"/>
        <w:ind w:left="5114" w:right="0" w:hanging="720"/>
        <w:jc w:val="left"/>
      </w:pPr>
      <w:bookmarkStart w:name="_TOC_250008" w:id="9"/>
      <w:bookmarkEnd w:id="9"/>
      <w:r>
        <w:rPr>
          <w:color w:val="F2F2F2"/>
          <w:shd w:fill="00666D" w:color="auto" w:val="clear"/>
        </w:rPr>
        <w:t>Notificação</w:t>
        <w:tab/>
      </w:r>
    </w:p>
    <w:p>
      <w:pPr>
        <w:pStyle w:val="BodyText"/>
        <w:rPr>
          <w:rFonts w:ascii="DaxCondensed"/>
          <w:sz w:val="30"/>
        </w:rPr>
      </w:pPr>
    </w:p>
    <w:p>
      <w:pPr>
        <w:pStyle w:val="BodyText"/>
        <w:spacing w:before="7"/>
        <w:rPr>
          <w:rFonts w:ascii="DaxCondensed"/>
          <w:sz w:val="25"/>
        </w:rPr>
      </w:pPr>
    </w:p>
    <w:p>
      <w:pPr>
        <w:pStyle w:val="BodyText"/>
        <w:spacing w:line="379" w:lineRule="auto"/>
        <w:ind w:left="4394" w:right="275"/>
        <w:jc w:val="both"/>
      </w:pPr>
      <w:r>
        <w:rPr>
          <w:w w:val="105"/>
        </w:rPr>
        <w:t>A notificação constitui o ato administrativo inicial que relata a ocorrência da infração e, em conformidade com o disposto no art. 14 da Resolução CAU/BR nº 22, de 2012, deverá conter, no mínimo:</w:t>
      </w:r>
    </w:p>
    <w:p>
      <w:pPr>
        <w:pStyle w:val="BodyText"/>
        <w:rPr>
          <w:sz w:val="18"/>
        </w:rPr>
      </w:pPr>
    </w:p>
    <w:p>
      <w:pPr>
        <w:pStyle w:val="ListParagraph"/>
        <w:numPr>
          <w:ilvl w:val="0"/>
          <w:numId w:val="29"/>
        </w:numPr>
        <w:tabs>
          <w:tab w:pos="7401" w:val="left" w:leader="none"/>
        </w:tabs>
        <w:spacing w:line="379" w:lineRule="auto" w:before="0" w:after="0"/>
        <w:ind w:left="7229" w:right="276" w:firstLine="56"/>
        <w:jc w:val="both"/>
        <w:rPr>
          <w:i/>
          <w:sz w:val="19"/>
        </w:rPr>
      </w:pPr>
      <w:r>
        <w:rPr>
          <w:i/>
          <w:w w:val="105"/>
          <w:sz w:val="19"/>
        </w:rPr>
        <w:t>- nome e endereço completos da pessoa física ou jurídica notificada, incluindo, se possível, </w:t>
      </w:r>
      <w:r>
        <w:rPr>
          <w:i/>
          <w:w w:val="105"/>
          <w:sz w:val="19"/>
        </w:rPr>
        <w:t>CPF ou CNPJ, conforme o</w:t>
      </w:r>
      <w:r>
        <w:rPr>
          <w:i/>
          <w:spacing w:val="5"/>
          <w:w w:val="105"/>
          <w:sz w:val="19"/>
        </w:rPr>
        <w:t> </w:t>
      </w:r>
      <w:r>
        <w:rPr>
          <w:i/>
          <w:w w:val="105"/>
          <w:sz w:val="19"/>
        </w:rPr>
        <w:t>caso;</w:t>
      </w:r>
    </w:p>
    <w:p>
      <w:pPr>
        <w:pStyle w:val="ListParagraph"/>
        <w:numPr>
          <w:ilvl w:val="0"/>
          <w:numId w:val="29"/>
        </w:numPr>
        <w:tabs>
          <w:tab w:pos="7470" w:val="left" w:leader="none"/>
        </w:tabs>
        <w:spacing w:line="379" w:lineRule="auto" w:before="1" w:after="0"/>
        <w:ind w:left="7229" w:right="277" w:firstLine="0"/>
        <w:jc w:val="both"/>
        <w:rPr>
          <w:i/>
          <w:sz w:val="19"/>
        </w:rPr>
      </w:pPr>
      <w:r>
        <w:rPr>
          <w:i/>
          <w:w w:val="105"/>
          <w:sz w:val="19"/>
        </w:rPr>
        <w:t>- identificação da atividade técnica fiscalizada, indicando sua natureza, finalidade e </w:t>
      </w:r>
      <w:r>
        <w:rPr>
          <w:i/>
          <w:w w:val="105"/>
          <w:sz w:val="19"/>
        </w:rPr>
        <w:t>localização, além do nome e endereço do contratante, quando</w:t>
      </w:r>
      <w:r>
        <w:rPr>
          <w:i/>
          <w:spacing w:val="4"/>
          <w:w w:val="105"/>
          <w:sz w:val="19"/>
        </w:rPr>
        <w:t> </w:t>
      </w:r>
      <w:r>
        <w:rPr>
          <w:i/>
          <w:w w:val="105"/>
          <w:sz w:val="19"/>
        </w:rPr>
        <w:t>houver;</w:t>
      </w:r>
    </w:p>
    <w:p>
      <w:pPr>
        <w:pStyle w:val="ListParagraph"/>
        <w:numPr>
          <w:ilvl w:val="0"/>
          <w:numId w:val="29"/>
        </w:numPr>
        <w:tabs>
          <w:tab w:pos="7454" w:val="left" w:leader="none"/>
        </w:tabs>
        <w:spacing w:line="379" w:lineRule="auto" w:before="1" w:after="0"/>
        <w:ind w:left="7229" w:right="275" w:firstLine="0"/>
        <w:jc w:val="both"/>
        <w:rPr>
          <w:i/>
          <w:sz w:val="19"/>
        </w:rPr>
      </w:pPr>
      <w:r>
        <w:rPr>
          <w:i/>
          <w:w w:val="105"/>
          <w:sz w:val="19"/>
        </w:rPr>
        <w:t>- data da notificação, nome completo, número de matrícula funcional e assinatura digital do </w:t>
      </w:r>
      <w:r>
        <w:rPr>
          <w:i/>
          <w:w w:val="105"/>
          <w:sz w:val="19"/>
        </w:rPr>
        <w:t>agente de</w:t>
      </w:r>
      <w:r>
        <w:rPr>
          <w:i/>
          <w:spacing w:val="2"/>
          <w:w w:val="105"/>
          <w:sz w:val="19"/>
        </w:rPr>
        <w:t> </w:t>
      </w:r>
      <w:r>
        <w:rPr>
          <w:i/>
          <w:w w:val="105"/>
          <w:sz w:val="19"/>
        </w:rPr>
        <w:t>fiscalização;</w:t>
      </w:r>
    </w:p>
    <w:p>
      <w:pPr>
        <w:pStyle w:val="ListParagraph"/>
        <w:numPr>
          <w:ilvl w:val="0"/>
          <w:numId w:val="29"/>
        </w:numPr>
        <w:tabs>
          <w:tab w:pos="7475" w:val="left" w:leader="none"/>
        </w:tabs>
        <w:spacing w:line="240" w:lineRule="auto" w:before="1" w:after="0"/>
        <w:ind w:left="7474" w:right="0" w:hanging="245"/>
        <w:jc w:val="left"/>
        <w:rPr>
          <w:i/>
          <w:sz w:val="19"/>
        </w:rPr>
      </w:pPr>
      <w:r>
        <w:rPr>
          <w:i/>
          <w:w w:val="105"/>
          <w:sz w:val="19"/>
        </w:rPr>
        <w:t>- fundamentação legal por meio da qual o agente de fiscalização lavra a</w:t>
      </w:r>
      <w:r>
        <w:rPr>
          <w:i/>
          <w:spacing w:val="-6"/>
          <w:w w:val="105"/>
          <w:sz w:val="19"/>
        </w:rPr>
        <w:t> </w:t>
      </w:r>
      <w:r>
        <w:rPr>
          <w:i/>
          <w:w w:val="105"/>
          <w:sz w:val="19"/>
        </w:rPr>
        <w:t>notificação;</w:t>
      </w:r>
    </w:p>
    <w:p>
      <w:pPr>
        <w:pStyle w:val="ListParagraph"/>
        <w:numPr>
          <w:ilvl w:val="0"/>
          <w:numId w:val="29"/>
        </w:numPr>
        <w:tabs>
          <w:tab w:pos="7434" w:val="left" w:leader="none"/>
        </w:tabs>
        <w:spacing w:line="376" w:lineRule="auto" w:before="127" w:after="0"/>
        <w:ind w:left="7229" w:right="275" w:firstLine="0"/>
        <w:jc w:val="both"/>
        <w:rPr>
          <w:i/>
          <w:sz w:val="19"/>
        </w:rPr>
      </w:pPr>
      <w:r>
        <w:rPr>
          <w:i/>
          <w:w w:val="105"/>
          <w:sz w:val="19"/>
        </w:rPr>
        <w:t>- descrição detalhada da irregularidade constatada que caracteriza a infração, capitulação </w:t>
      </w:r>
      <w:r>
        <w:rPr>
          <w:i/>
          <w:w w:val="105"/>
          <w:sz w:val="19"/>
        </w:rPr>
        <w:t>desta e da penalidade cabível, e valor da multa a que estará sujeita a pessoa física ou</w:t>
      </w:r>
      <w:r>
        <w:rPr>
          <w:i/>
          <w:spacing w:val="55"/>
          <w:w w:val="105"/>
          <w:sz w:val="19"/>
        </w:rPr>
        <w:t> </w:t>
      </w:r>
      <w:r>
        <w:rPr>
          <w:i/>
          <w:w w:val="105"/>
          <w:sz w:val="19"/>
        </w:rPr>
        <w:t>jurídica notificada, caso não regularize a situação no prazo</w:t>
      </w:r>
      <w:r>
        <w:rPr>
          <w:i/>
          <w:spacing w:val="3"/>
          <w:w w:val="105"/>
          <w:sz w:val="19"/>
        </w:rPr>
        <w:t> </w:t>
      </w:r>
      <w:r>
        <w:rPr>
          <w:i/>
          <w:w w:val="105"/>
          <w:sz w:val="19"/>
        </w:rPr>
        <w:t>estabelecido;</w:t>
      </w:r>
    </w:p>
    <w:p>
      <w:pPr>
        <w:pStyle w:val="ListParagraph"/>
        <w:numPr>
          <w:ilvl w:val="0"/>
          <w:numId w:val="29"/>
        </w:numPr>
        <w:tabs>
          <w:tab w:pos="7503" w:val="left" w:leader="none"/>
        </w:tabs>
        <w:spacing w:line="379" w:lineRule="auto" w:before="3" w:after="0"/>
        <w:ind w:left="7229" w:right="281" w:firstLine="0"/>
        <w:jc w:val="both"/>
        <w:rPr>
          <w:i/>
          <w:sz w:val="19"/>
        </w:rPr>
      </w:pPr>
      <w:r>
        <w:rPr>
          <w:i/>
          <w:w w:val="105"/>
          <w:sz w:val="19"/>
        </w:rPr>
        <w:t>- indicação das providências a serem adotadas pela pessoa física ou jurídica notificada </w:t>
      </w:r>
      <w:r>
        <w:rPr>
          <w:i/>
          <w:w w:val="105"/>
          <w:sz w:val="19"/>
        </w:rPr>
        <w:t>para, no prazo estabelecido, regularizar a</w:t>
      </w:r>
      <w:r>
        <w:rPr>
          <w:i/>
          <w:spacing w:val="3"/>
          <w:w w:val="105"/>
          <w:sz w:val="19"/>
        </w:rPr>
        <w:t> </w:t>
      </w:r>
      <w:r>
        <w:rPr>
          <w:i/>
          <w:w w:val="105"/>
          <w:sz w:val="19"/>
        </w:rPr>
        <w:t>situação.</w:t>
      </w:r>
    </w:p>
    <w:p>
      <w:pPr>
        <w:pStyle w:val="BodyText"/>
        <w:spacing w:before="5"/>
        <w:rPr>
          <w:i/>
          <w:sz w:val="18"/>
        </w:rPr>
      </w:pPr>
    </w:p>
    <w:p>
      <w:pPr>
        <w:pStyle w:val="BodyText"/>
        <w:spacing w:line="376" w:lineRule="auto"/>
        <w:ind w:left="4394" w:right="275"/>
        <w:jc w:val="both"/>
      </w:pPr>
      <w:r>
        <w:rPr>
          <w:w w:val="105"/>
        </w:rPr>
        <w:t>Conforme estabelece o parágrafo único do art.13 da Resolução CAU/BR nº 22, de 2012, da notificação deverá constar o prazo de 10 (dez) dias, contados a partir do primeiro dia útil subsequente ao seu recebimento, para a regularização da infração. Quando a notificação for entregue em mãos pelo agente de fiscalização, um visto de recebimento deverá ser</w:t>
      </w:r>
      <w:r>
        <w:rPr>
          <w:spacing w:val="-9"/>
          <w:w w:val="105"/>
        </w:rPr>
        <w:t> </w:t>
      </w:r>
      <w:r>
        <w:rPr>
          <w:w w:val="105"/>
        </w:rPr>
        <w:t>aposto</w:t>
      </w:r>
    </w:p>
    <w:p>
      <w:pPr>
        <w:spacing w:after="0" w:line="376" w:lineRule="auto"/>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2032" type="#_x0000_t202" filled="true" fillcolor="#00666d" stroked="false">
            <v:textbox inset="0,0,0,0">
              <w:txbxContent>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10"/>
                    <w:rPr>
                      <w:i/>
                      <w:sz w:val="28"/>
                    </w:rPr>
                  </w:pPr>
                </w:p>
                <w:p>
                  <w:pPr>
                    <w:pStyle w:val="BodyText"/>
                    <w:ind w:left="1263" w:right="1394"/>
                    <w:jc w:val="center"/>
                  </w:pPr>
                  <w:r>
                    <w:rPr>
                      <w:color w:val="FFFFFF"/>
                      <w:w w:val="105"/>
                    </w:rPr>
                    <w:t>- 35 -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pStyle w:val="BodyText"/>
        <w:spacing w:line="379" w:lineRule="auto" w:before="100"/>
        <w:ind w:left="4394" w:right="274"/>
        <w:jc w:val="both"/>
      </w:pPr>
      <w:r>
        <w:rPr>
          <w:w w:val="105"/>
        </w:rPr>
        <w:t>na 2ª via do documento, a qual deverá retornar ao CAU/UF e servirá como prova da referida entrega, e quando esta ocorrer por via postal, a mesma deverá ser encaminhada com aviso de recebimento (A.R.).</w:t>
      </w:r>
    </w:p>
    <w:p>
      <w:pPr>
        <w:pStyle w:val="BodyText"/>
        <w:spacing w:before="5"/>
        <w:rPr>
          <w:sz w:val="18"/>
        </w:rPr>
      </w:pPr>
    </w:p>
    <w:p>
      <w:pPr>
        <w:pStyle w:val="BodyText"/>
        <w:spacing w:line="379" w:lineRule="auto"/>
        <w:ind w:left="4394" w:right="276"/>
        <w:jc w:val="both"/>
      </w:pPr>
      <w:r>
        <w:rPr>
          <w:w w:val="105"/>
        </w:rPr>
        <w:t>Caso a situação seja regularizada ou a defesa eventualmente apresentada seja acolhida dentro do prazo estabelecido, o agente de fiscalização encaminhará a notificação ao arquivamento, através de ato administrativo fundamentado. Neste caso tem-se a regularização tempestiva da situação, o que exime a pessoa física ou jurídica notificada das cominações legais.</w:t>
      </w:r>
    </w:p>
    <w:p>
      <w:pPr>
        <w:pStyle w:val="BodyText"/>
        <w:spacing w:before="1"/>
        <w:rPr>
          <w:sz w:val="18"/>
        </w:rPr>
      </w:pPr>
    </w:p>
    <w:p>
      <w:pPr>
        <w:pStyle w:val="BodyText"/>
        <w:spacing w:line="379" w:lineRule="auto"/>
        <w:ind w:left="4394" w:right="274"/>
        <w:jc w:val="both"/>
      </w:pPr>
      <w:r>
        <w:rPr>
          <w:w w:val="105"/>
        </w:rPr>
        <w:t>Por outro lado, caso se esgote o prazo estabelecido na notificação sem que a situação tenha sido regularizada, compete ao agente de fiscalização proceder à lavratura de auto de infração em desfavor da pessoa física ou jurídica  notificada, constando a capitulação da infração e a penalidade cabível, em cumprimento ao disposto no art. 15 da Resolução CAU/BR</w:t>
      </w:r>
      <w:r>
        <w:rPr>
          <w:spacing w:val="55"/>
          <w:w w:val="105"/>
        </w:rPr>
        <w:t> </w:t>
      </w:r>
      <w:r>
        <w:rPr>
          <w:w w:val="105"/>
        </w:rPr>
        <w:t>nº 22, de</w:t>
      </w:r>
      <w:r>
        <w:rPr>
          <w:spacing w:val="1"/>
          <w:w w:val="105"/>
        </w:rPr>
        <w:t> </w:t>
      </w:r>
      <w:r>
        <w:rPr>
          <w:w w:val="105"/>
        </w:rPr>
        <w:t>2012.</w:t>
      </w:r>
    </w:p>
    <w:p>
      <w:pPr>
        <w:pStyle w:val="BodyText"/>
        <w:spacing w:before="4"/>
        <w:rPr>
          <w:sz w:val="12"/>
        </w:rPr>
      </w:pPr>
    </w:p>
    <w:p>
      <w:pPr>
        <w:pStyle w:val="Heading3"/>
        <w:numPr>
          <w:ilvl w:val="2"/>
          <w:numId w:val="24"/>
        </w:numPr>
        <w:tabs>
          <w:tab w:pos="5114" w:val="left" w:leader="none"/>
          <w:tab w:pos="5115" w:val="left" w:leader="none"/>
          <w:tab w:pos="15589" w:val="left" w:leader="none"/>
        </w:tabs>
        <w:spacing w:line="240" w:lineRule="auto" w:before="100" w:after="0"/>
        <w:ind w:left="5114" w:right="0" w:hanging="720"/>
        <w:jc w:val="left"/>
      </w:pPr>
      <w:bookmarkStart w:name="_TOC_250007" w:id="10"/>
      <w:r>
        <w:rPr>
          <w:color w:val="F2F2F2"/>
          <w:shd w:fill="00666D" w:color="auto" w:val="clear"/>
        </w:rPr>
        <w:t>Auto de</w:t>
      </w:r>
      <w:r>
        <w:rPr>
          <w:color w:val="F2F2F2"/>
          <w:spacing w:val="-9"/>
          <w:shd w:fill="00666D" w:color="auto" w:val="clear"/>
        </w:rPr>
        <w:t> </w:t>
      </w:r>
      <w:bookmarkEnd w:id="10"/>
      <w:r>
        <w:rPr>
          <w:color w:val="F2F2F2"/>
          <w:shd w:fill="00666D" w:color="auto" w:val="clear"/>
        </w:rPr>
        <w:t>Infração</w:t>
        <w:tab/>
      </w:r>
    </w:p>
    <w:p>
      <w:pPr>
        <w:pStyle w:val="BodyText"/>
        <w:rPr>
          <w:rFonts w:ascii="DaxCondensed"/>
          <w:sz w:val="30"/>
        </w:rPr>
      </w:pPr>
    </w:p>
    <w:p>
      <w:pPr>
        <w:pStyle w:val="BodyText"/>
        <w:rPr>
          <w:rFonts w:ascii="DaxCondensed"/>
          <w:sz w:val="26"/>
        </w:rPr>
      </w:pPr>
    </w:p>
    <w:p>
      <w:pPr>
        <w:pStyle w:val="BodyText"/>
        <w:spacing w:line="379" w:lineRule="auto"/>
        <w:ind w:left="4394"/>
      </w:pPr>
      <w:r>
        <w:rPr>
          <w:w w:val="105"/>
        </w:rPr>
        <w:t>O auto de infração é o ato administrativo processual que, lavrado por agente de fiscalização do CAU/UF, instaura o processo administrativo, devendo conter, no mínimo:</w:t>
      </w:r>
    </w:p>
    <w:p>
      <w:pPr>
        <w:pStyle w:val="BodyText"/>
        <w:rPr>
          <w:sz w:val="18"/>
        </w:rPr>
      </w:pPr>
    </w:p>
    <w:p>
      <w:pPr>
        <w:pStyle w:val="ListParagraph"/>
        <w:numPr>
          <w:ilvl w:val="0"/>
          <w:numId w:val="30"/>
        </w:numPr>
        <w:tabs>
          <w:tab w:pos="7359" w:val="left" w:leader="none"/>
        </w:tabs>
        <w:spacing w:line="379" w:lineRule="auto" w:before="1" w:after="0"/>
        <w:ind w:left="7229" w:right="276" w:firstLine="0"/>
        <w:jc w:val="both"/>
        <w:rPr>
          <w:i/>
          <w:sz w:val="19"/>
        </w:rPr>
      </w:pPr>
      <w:r>
        <w:rPr>
          <w:i/>
          <w:w w:val="105"/>
          <w:sz w:val="19"/>
        </w:rPr>
        <w:t>- nome e endereço completos da pessoa física ou jurídica autuada, incluindo, se possível, </w:t>
      </w:r>
      <w:r>
        <w:rPr>
          <w:i/>
          <w:w w:val="105"/>
          <w:sz w:val="19"/>
        </w:rPr>
        <w:t>CPF ou CNPJ, conforme o</w:t>
      </w:r>
      <w:r>
        <w:rPr>
          <w:i/>
          <w:spacing w:val="5"/>
          <w:w w:val="105"/>
          <w:sz w:val="19"/>
        </w:rPr>
        <w:t> </w:t>
      </w:r>
      <w:r>
        <w:rPr>
          <w:i/>
          <w:w w:val="105"/>
          <w:sz w:val="19"/>
        </w:rPr>
        <w:t>caso;</w:t>
      </w:r>
    </w:p>
    <w:p>
      <w:pPr>
        <w:pStyle w:val="ListParagraph"/>
        <w:numPr>
          <w:ilvl w:val="0"/>
          <w:numId w:val="30"/>
        </w:numPr>
        <w:tabs>
          <w:tab w:pos="7420" w:val="left" w:leader="none"/>
        </w:tabs>
        <w:spacing w:line="379" w:lineRule="auto" w:before="0" w:after="0"/>
        <w:ind w:left="7229" w:right="276" w:firstLine="0"/>
        <w:jc w:val="both"/>
        <w:rPr>
          <w:i/>
          <w:sz w:val="19"/>
        </w:rPr>
      </w:pPr>
      <w:r>
        <w:rPr>
          <w:i/>
          <w:w w:val="105"/>
          <w:sz w:val="19"/>
        </w:rPr>
        <w:t>- data do auto de infração e nome completo, número de matrícula funcional e assinatura </w:t>
      </w:r>
      <w:r>
        <w:rPr>
          <w:i/>
          <w:w w:val="105"/>
          <w:sz w:val="19"/>
        </w:rPr>
        <w:t>digital do agente de</w:t>
      </w:r>
      <w:r>
        <w:rPr>
          <w:i/>
          <w:spacing w:val="3"/>
          <w:w w:val="105"/>
          <w:sz w:val="19"/>
        </w:rPr>
        <w:t> </w:t>
      </w:r>
      <w:r>
        <w:rPr>
          <w:i/>
          <w:w w:val="105"/>
          <w:sz w:val="19"/>
        </w:rPr>
        <w:t>fiscalização;</w:t>
      </w:r>
    </w:p>
    <w:p>
      <w:pPr>
        <w:pStyle w:val="ListParagraph"/>
        <w:numPr>
          <w:ilvl w:val="0"/>
          <w:numId w:val="30"/>
        </w:numPr>
        <w:tabs>
          <w:tab w:pos="7453" w:val="left" w:leader="none"/>
        </w:tabs>
        <w:spacing w:line="240" w:lineRule="auto" w:before="1" w:after="0"/>
        <w:ind w:left="7452" w:right="0" w:hanging="223"/>
        <w:jc w:val="left"/>
        <w:rPr>
          <w:i/>
          <w:sz w:val="19"/>
        </w:rPr>
      </w:pPr>
      <w:r>
        <w:rPr>
          <w:i/>
          <w:w w:val="105"/>
          <w:sz w:val="19"/>
        </w:rPr>
        <w:t>- fundamentação legal por meio da qual o CAU/UF lavra o auto de</w:t>
      </w:r>
      <w:r>
        <w:rPr>
          <w:i/>
          <w:spacing w:val="3"/>
          <w:w w:val="105"/>
          <w:sz w:val="19"/>
        </w:rPr>
        <w:t> </w:t>
      </w:r>
      <w:r>
        <w:rPr>
          <w:i/>
          <w:w w:val="105"/>
          <w:sz w:val="19"/>
        </w:rPr>
        <w:t>infração;</w:t>
      </w:r>
    </w:p>
    <w:p>
      <w:pPr>
        <w:pStyle w:val="ListParagraph"/>
        <w:numPr>
          <w:ilvl w:val="0"/>
          <w:numId w:val="30"/>
        </w:numPr>
        <w:tabs>
          <w:tab w:pos="7541" w:val="left" w:leader="none"/>
        </w:tabs>
        <w:spacing w:line="379" w:lineRule="auto" w:before="127" w:after="0"/>
        <w:ind w:left="7229" w:right="277" w:firstLine="0"/>
        <w:jc w:val="both"/>
        <w:rPr>
          <w:i/>
          <w:sz w:val="19"/>
        </w:rPr>
      </w:pPr>
      <w:r>
        <w:rPr>
          <w:i/>
          <w:w w:val="105"/>
          <w:sz w:val="19"/>
        </w:rPr>
        <w:t>- identificação da atividade técnica fiscalizada, indicando sua natureza, finalidade e </w:t>
      </w:r>
      <w:r>
        <w:rPr>
          <w:i/>
          <w:w w:val="105"/>
          <w:sz w:val="19"/>
        </w:rPr>
        <w:t>localização, além do nome e endereço do contratante, quando</w:t>
      </w:r>
      <w:r>
        <w:rPr>
          <w:i/>
          <w:spacing w:val="4"/>
          <w:w w:val="105"/>
          <w:sz w:val="19"/>
        </w:rPr>
        <w:t> </w:t>
      </w:r>
      <w:r>
        <w:rPr>
          <w:i/>
          <w:w w:val="105"/>
          <w:sz w:val="19"/>
        </w:rPr>
        <w:t>houver;</w:t>
      </w:r>
    </w:p>
    <w:p>
      <w:pPr>
        <w:pStyle w:val="ListParagraph"/>
        <w:numPr>
          <w:ilvl w:val="0"/>
          <w:numId w:val="30"/>
        </w:numPr>
        <w:tabs>
          <w:tab w:pos="7434" w:val="left" w:leader="none"/>
        </w:tabs>
        <w:spacing w:line="379" w:lineRule="auto" w:before="0" w:after="0"/>
        <w:ind w:left="7229" w:right="275" w:firstLine="0"/>
        <w:jc w:val="both"/>
        <w:rPr>
          <w:i/>
          <w:sz w:val="19"/>
        </w:rPr>
      </w:pPr>
      <w:r>
        <w:rPr>
          <w:i/>
          <w:w w:val="105"/>
          <w:sz w:val="19"/>
        </w:rPr>
        <w:t>- descrição detalhada da irregularidade constatada que caracteriza a infração, capitulação </w:t>
      </w:r>
      <w:r>
        <w:rPr>
          <w:i/>
          <w:w w:val="105"/>
          <w:sz w:val="19"/>
        </w:rPr>
        <w:t>desta e da penalidade cabível, e valor da multa a que está sujeita a pessoa física ou jurídica autuada;</w:t>
      </w:r>
    </w:p>
    <w:p>
      <w:pPr>
        <w:pStyle w:val="ListParagraph"/>
        <w:numPr>
          <w:ilvl w:val="0"/>
          <w:numId w:val="30"/>
        </w:numPr>
        <w:tabs>
          <w:tab w:pos="7475" w:val="left" w:leader="none"/>
        </w:tabs>
        <w:spacing w:line="240" w:lineRule="auto" w:before="0" w:after="0"/>
        <w:ind w:left="7474" w:right="0" w:hanging="245"/>
        <w:jc w:val="both"/>
        <w:rPr>
          <w:i/>
          <w:sz w:val="19"/>
        </w:rPr>
      </w:pPr>
      <w:r>
        <w:rPr>
          <w:i/>
          <w:w w:val="105"/>
          <w:sz w:val="19"/>
        </w:rPr>
        <w:t>- indicação de reincidência infracional, se for o</w:t>
      </w:r>
      <w:r>
        <w:rPr>
          <w:i/>
          <w:spacing w:val="5"/>
          <w:w w:val="105"/>
          <w:sz w:val="19"/>
        </w:rPr>
        <w:t> </w:t>
      </w:r>
      <w:r>
        <w:rPr>
          <w:i/>
          <w:w w:val="105"/>
          <w:sz w:val="19"/>
        </w:rPr>
        <w:t>caso;</w:t>
      </w:r>
    </w:p>
    <w:p>
      <w:pPr>
        <w:spacing w:after="0" w:line="240" w:lineRule="auto"/>
        <w:jc w:val="both"/>
        <w:rPr>
          <w:sz w:val="19"/>
        </w:rPr>
        <w:sectPr>
          <w:pgSz w:w="16840" w:h="11900" w:orient="landscape"/>
          <w:pgMar w:top="240" w:bottom="0" w:left="140" w:right="860"/>
        </w:sectPr>
      </w:pPr>
    </w:p>
    <w:p>
      <w:pPr>
        <w:pStyle w:val="BodyText"/>
        <w:rPr>
          <w:i/>
          <w:sz w:val="20"/>
        </w:rPr>
      </w:pPr>
      <w:r>
        <w:rPr/>
        <w:pict>
          <v:shape style="position:absolute;margin-left:12pt;margin-top:12pt;width:158.2pt;height:571pt;mso-position-horizontal-relative:page;mso-position-vertical-relative:page;z-index:2056"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- 36 -</w:t>
                  </w:r>
                </w:p>
              </w:txbxContent>
            </v:textbox>
            <v:fill type="solid"/>
            <w10:wrap type="none"/>
          </v:shape>
        </w:pict>
      </w:r>
    </w:p>
    <w:p>
      <w:pPr>
        <w:pStyle w:val="BodyText"/>
        <w:spacing w:before="10"/>
        <w:rPr>
          <w:i/>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pStyle w:val="ListParagraph"/>
        <w:numPr>
          <w:ilvl w:val="0"/>
          <w:numId w:val="30"/>
        </w:numPr>
        <w:tabs>
          <w:tab w:pos="7539" w:val="left" w:leader="none"/>
        </w:tabs>
        <w:spacing w:line="379" w:lineRule="auto" w:before="100" w:after="0"/>
        <w:ind w:left="7229" w:right="278" w:firstLine="0"/>
        <w:jc w:val="both"/>
        <w:rPr>
          <w:i/>
          <w:sz w:val="19"/>
        </w:rPr>
      </w:pPr>
      <w:r>
        <w:rPr>
          <w:i/>
          <w:w w:val="105"/>
          <w:sz w:val="19"/>
        </w:rPr>
        <w:t>- indicação do prazo de 10 (dez) dias para que a pessoa física ou jurídica autuada efetue </w:t>
      </w:r>
      <w:r>
        <w:rPr>
          <w:i/>
          <w:w w:val="105"/>
          <w:sz w:val="19"/>
        </w:rPr>
        <w:t>o pagamento da multa e regularize a situação ou apresente defesa à Comissão de Exercício Profissional do</w:t>
      </w:r>
      <w:r>
        <w:rPr>
          <w:i/>
          <w:spacing w:val="1"/>
          <w:w w:val="105"/>
          <w:sz w:val="19"/>
        </w:rPr>
        <w:t> </w:t>
      </w:r>
      <w:r>
        <w:rPr>
          <w:i/>
          <w:w w:val="105"/>
          <w:sz w:val="19"/>
        </w:rPr>
        <w:t>CAU/UF.</w:t>
      </w:r>
    </w:p>
    <w:p>
      <w:pPr>
        <w:pStyle w:val="BodyText"/>
        <w:spacing w:before="6"/>
        <w:rPr>
          <w:i/>
          <w:sz w:val="18"/>
        </w:rPr>
      </w:pPr>
    </w:p>
    <w:p>
      <w:pPr>
        <w:pStyle w:val="BodyText"/>
        <w:spacing w:line="376" w:lineRule="auto"/>
        <w:ind w:left="4394" w:right="274"/>
        <w:jc w:val="both"/>
      </w:pPr>
      <w:r>
        <w:rPr>
          <w:w w:val="105"/>
        </w:rPr>
        <w:t>Após a lavratura do auto de infração, a regularização da situação não exime a pessoa física ou jurídica autuada das cominações legais cabíveis. Todavia, não poderá ser lavrado novo auto de infração referente à mesma atividade técnica fiscalizada e contra a mesma pessoa física ou jurídica autuada antes do trânsito em julgado da decisão relativa à infração considerada.</w:t>
      </w:r>
    </w:p>
    <w:p>
      <w:pPr>
        <w:pStyle w:val="BodyText"/>
        <w:spacing w:before="1"/>
        <w:rPr>
          <w:sz w:val="13"/>
        </w:rPr>
      </w:pPr>
    </w:p>
    <w:p>
      <w:pPr>
        <w:pStyle w:val="Heading3"/>
        <w:numPr>
          <w:ilvl w:val="2"/>
          <w:numId w:val="24"/>
        </w:numPr>
        <w:tabs>
          <w:tab w:pos="5114" w:val="left" w:leader="none"/>
          <w:tab w:pos="5115" w:val="left" w:leader="none"/>
          <w:tab w:pos="15589" w:val="left" w:leader="none"/>
        </w:tabs>
        <w:spacing w:line="240" w:lineRule="auto" w:before="100" w:after="0"/>
        <w:ind w:left="5114" w:right="0" w:hanging="720"/>
        <w:jc w:val="left"/>
      </w:pPr>
      <w:bookmarkStart w:name="_TOC_250006" w:id="11"/>
      <w:bookmarkEnd w:id="11"/>
      <w:r>
        <w:rPr>
          <w:color w:val="F2F2F2"/>
          <w:shd w:fill="00666D" w:color="auto" w:val="clear"/>
        </w:rPr>
        <w:t>Recursos</w:t>
        <w:tab/>
      </w:r>
    </w:p>
    <w:p>
      <w:pPr>
        <w:pStyle w:val="BodyText"/>
        <w:spacing w:before="3"/>
        <w:rPr>
          <w:rFonts w:ascii="DaxCondensed"/>
          <w:sz w:val="33"/>
        </w:rPr>
      </w:pPr>
    </w:p>
    <w:p>
      <w:pPr>
        <w:pStyle w:val="BodyText"/>
        <w:spacing w:line="376" w:lineRule="auto"/>
        <w:ind w:left="4394" w:right="275"/>
        <w:jc w:val="both"/>
      </w:pPr>
      <w:r>
        <w:rPr>
          <w:w w:val="105"/>
        </w:rPr>
        <w:t>Caso seja apresentada defesa tempestiva junto ao CAU/UF, os autos devidamente instruídos serão encaminhados à Comissão de Exercício Profissional do CAU/UF, da qual será designado relator um conselheiro dela integrante, cabendo ao mesmo apresentar relatório e voto fundamentado para que a comissão decida pela manutenção do auto de infração ou pelo arquivamento do processo. Caso a deliberação da CEP-CAU/UF decida pelo cancelamento do auto com o consequente arquivamento do processo, o ato exime a pessoa física ou jurídica autuada das cominações legais. Caso o CAU/UF não possua Comissão de Exercício Profissional, a matéria será encaminhada à apreciação da instância que possuir suas atribuições no conselho, nos termos da Resolução CAU/BR nº 22, de 2012.</w:t>
      </w:r>
    </w:p>
    <w:p>
      <w:pPr>
        <w:pStyle w:val="BodyText"/>
        <w:spacing w:before="1"/>
      </w:pPr>
    </w:p>
    <w:p>
      <w:pPr>
        <w:pStyle w:val="BodyText"/>
        <w:spacing w:line="379" w:lineRule="auto" w:before="1"/>
        <w:ind w:left="4394" w:right="276"/>
        <w:jc w:val="both"/>
      </w:pPr>
      <w:r>
        <w:rPr>
          <w:w w:val="105"/>
        </w:rPr>
        <w:t>Caso não seja apresentada defesa, ou esta seja apresentada intempestivamente, a CEP-CAU/UF apreciará os autos devidamente instruídos e julgará à revelia a pessoa física ou jurídica autuada, que não perderá o direito ao contraditório e à ampla defesa nas etapas subsequentes, e decidirá pela manutenção do auto de infração ou pelo arquivamento</w:t>
      </w:r>
      <w:r>
        <w:rPr>
          <w:spacing w:val="55"/>
          <w:w w:val="105"/>
        </w:rPr>
        <w:t> </w:t>
      </w:r>
      <w:r>
        <w:rPr>
          <w:w w:val="105"/>
        </w:rPr>
        <w:t>fundamentado do</w:t>
      </w:r>
      <w:r>
        <w:rPr>
          <w:spacing w:val="2"/>
          <w:w w:val="105"/>
        </w:rPr>
        <w:t> </w:t>
      </w:r>
      <w:r>
        <w:rPr>
          <w:w w:val="105"/>
        </w:rPr>
        <w:t>processo.</w:t>
      </w:r>
    </w:p>
    <w:p>
      <w:pPr>
        <w:pStyle w:val="BodyText"/>
        <w:rPr>
          <w:sz w:val="18"/>
        </w:rPr>
      </w:pPr>
    </w:p>
    <w:p>
      <w:pPr>
        <w:pStyle w:val="BodyText"/>
        <w:spacing w:line="379" w:lineRule="auto" w:before="1"/>
        <w:ind w:left="4394" w:right="275"/>
        <w:jc w:val="both"/>
      </w:pPr>
      <w:r>
        <w:rPr>
          <w:w w:val="105"/>
        </w:rPr>
        <w:t>Em ambos os casos, a pessoa física ou jurídica autuada deverá ser comunicada da decisão emanada da comissão, sendo instada, se for o caso, a observar os prazos recursais referentes a processos que tratam desta matéria no âmbito do  CAU/UF. A correspondência, acompanhada de cópia da decisão proferida, informará do prazo de 30 (trinta) dias</w:t>
      </w:r>
      <w:r>
        <w:rPr>
          <w:spacing w:val="32"/>
          <w:w w:val="105"/>
        </w:rPr>
        <w:t> </w:t>
      </w:r>
      <w:r>
        <w:rPr>
          <w:w w:val="105"/>
        </w:rPr>
        <w:t>para</w:t>
      </w:r>
    </w:p>
    <w:p>
      <w:pPr>
        <w:spacing w:after="0" w:line="379" w:lineRule="auto"/>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2080"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- 37 -</w:t>
                  </w:r>
                </w:p>
              </w:txbxContent>
            </v:textbox>
            <v:fill type="solid"/>
            <w10:wrap type="none"/>
          </v:shape>
        </w:pict>
      </w:r>
    </w:p>
    <w:p>
      <w:pPr>
        <w:pStyle w:val="BodyText"/>
        <w:spacing w:before="10"/>
        <w:rPr>
          <w:sz w:val="21"/>
        </w:rPr>
      </w:pPr>
    </w:p>
    <w:p>
      <w:pPr>
        <w:pStyle w:val="Heading4"/>
      </w:pPr>
      <w:bookmarkStart w:name="_TOC_250005" w:id="12"/>
      <w:bookmarkEnd w:id="12"/>
      <w:r>
        <w:rPr>
          <w:color w:val="00666D"/>
        </w:rPr>
        <w:t>- Manual de Fiscalização do Exercício da Arquitetura e Urbanismo -</w:t>
      </w:r>
    </w:p>
    <w:p>
      <w:pPr>
        <w:pStyle w:val="BodyText"/>
        <w:spacing w:before="5"/>
        <w:rPr>
          <w:rFonts w:ascii="DaxCondensed"/>
          <w:sz w:val="29"/>
        </w:rPr>
      </w:pPr>
    </w:p>
    <w:p>
      <w:pPr>
        <w:pStyle w:val="BodyText"/>
        <w:spacing w:line="379" w:lineRule="auto" w:before="100"/>
        <w:ind w:left="4394" w:right="275"/>
        <w:jc w:val="both"/>
      </w:pPr>
      <w:r>
        <w:rPr>
          <w:w w:val="105"/>
        </w:rPr>
        <w:t>interpor recurso, com efeito suspensivo, contados a partir do primeiro dia útil subsequente ao do recebimento da comunicação.</w:t>
      </w:r>
    </w:p>
    <w:p>
      <w:pPr>
        <w:pStyle w:val="BodyText"/>
        <w:spacing w:before="5"/>
        <w:rPr>
          <w:sz w:val="18"/>
        </w:rPr>
      </w:pPr>
    </w:p>
    <w:p>
      <w:pPr>
        <w:pStyle w:val="BodyText"/>
        <w:spacing w:line="379" w:lineRule="auto"/>
        <w:ind w:left="4394" w:right="274"/>
        <w:jc w:val="both"/>
      </w:pPr>
      <w:r>
        <w:rPr>
          <w:w w:val="105"/>
        </w:rPr>
        <w:t>Apresentado recurso tempestivo ao Plenário do CAU/UF, o processo deverá ser distribuído para um conselheiro designado relator, a quem caberá apresentar relatório e voto fundamentado. Diante da apresentação do relatório e voto do conselheiro relator, o Plenário do CAU/UF decidirá pela manutenção da decisão da Comissão de Exercício Profissional ou pelo arquivamento do processo. Após a deliberação do Plenário, a pessoa física ou jurídica autuada deverá ser comunicada do resultado do julgamento por meio de correspondência acompanhada de cópia da decisão proferida, da qual deverá constar que é cabível o direito de recurso ao Plenário do CAU/BR, com efeito suspensivo, no prazo de 30 (trinta) dias, contados a partir do primeiro dia útil subsequente ao do recebimento da comunicação.</w:t>
      </w:r>
    </w:p>
    <w:p>
      <w:pPr>
        <w:pStyle w:val="BodyText"/>
        <w:spacing w:before="2"/>
        <w:rPr>
          <w:sz w:val="18"/>
        </w:rPr>
      </w:pPr>
    </w:p>
    <w:p>
      <w:pPr>
        <w:pStyle w:val="BodyText"/>
        <w:spacing w:line="379" w:lineRule="auto" w:before="1"/>
        <w:ind w:left="4394" w:right="276"/>
        <w:jc w:val="both"/>
      </w:pPr>
      <w:r>
        <w:rPr>
          <w:w w:val="105"/>
        </w:rPr>
        <w:t>Sendo apresentado recurso tempestivo à decisão do CAU/UF, o processo, ao ingressar no CAU/BR, será encaminhado para apreciação da Comissão de Exercício Profissional deste conselho. Nela, o processo será distribuído para um conselheiro relator designado para emitir relatório e voto fundamentado, que será submetido à comissão para posicionar-se. O posicionamento da Comissão de Exercício Profissional do CAU/BR deverá ser encaminhado ao Plenário do CAU/BR para decisão final.</w:t>
      </w:r>
    </w:p>
    <w:p>
      <w:pPr>
        <w:pStyle w:val="BodyText"/>
        <w:spacing w:before="1"/>
        <w:rPr>
          <w:sz w:val="18"/>
        </w:rPr>
      </w:pPr>
    </w:p>
    <w:p>
      <w:pPr>
        <w:pStyle w:val="BodyText"/>
        <w:spacing w:line="379" w:lineRule="auto"/>
        <w:ind w:left="4394" w:right="276"/>
        <w:jc w:val="both"/>
      </w:pPr>
      <w:r>
        <w:rPr>
          <w:w w:val="105"/>
        </w:rPr>
        <w:t>O CAU/BR examinará o posicionamento da CEP, cabendo ao coordenador desta comissão apresentá-lo ao Plenário do Conselho que decidirá pela manutenção do auto de infração ou pelo arquivamento do processo. Julgado o recurso pelo Plenário do CAU/BR, os autos serão encaminhados ao CAU/UF para execução da decisão e, como nas demais instâncias, o autuado, pessoa física ou jurídica, será comunicado do resultado do julgamento do Plenário do CAU/BR por meio de correspondência acompanhada de cópia da decisão proferida.</w:t>
      </w:r>
    </w:p>
    <w:p>
      <w:pPr>
        <w:pStyle w:val="BodyText"/>
        <w:spacing w:before="1"/>
        <w:rPr>
          <w:sz w:val="18"/>
        </w:rPr>
      </w:pPr>
    </w:p>
    <w:p>
      <w:pPr>
        <w:pStyle w:val="BodyText"/>
        <w:spacing w:line="379" w:lineRule="auto"/>
        <w:ind w:left="4394" w:right="278"/>
        <w:jc w:val="both"/>
      </w:pPr>
      <w:r>
        <w:rPr>
          <w:w w:val="105"/>
        </w:rPr>
        <w:t>Transitada em julgado a decisão que confirma o auto de infração, compete ao CAU/UF responsável pela autuação a execução da decisão proferida. O respectivo CAU/UF deverá oficiar a pessoa física ou jurídica autuada para, nos casos em que for possível, regularizar a situação que ensejou a lavratura do auto de infração, devendo este indicar as providências a serem adotadas, de acordo com a legislação vigente e informando-a da penalidade que lhe foi</w:t>
      </w:r>
      <w:r>
        <w:rPr>
          <w:spacing w:val="4"/>
          <w:w w:val="105"/>
        </w:rPr>
        <w:t> </w:t>
      </w:r>
      <w:r>
        <w:rPr>
          <w:w w:val="105"/>
        </w:rPr>
        <w:t>imposta.</w:t>
      </w:r>
    </w:p>
    <w:p>
      <w:pPr>
        <w:spacing w:after="0" w:line="379" w:lineRule="auto"/>
        <w:jc w:val="both"/>
        <w:sectPr>
          <w:pgSz w:w="16840" w:h="11900" w:orient="landscape"/>
          <w:pgMar w:top="240" w:bottom="0" w:left="140" w:right="860"/>
        </w:sectPr>
      </w:pPr>
    </w:p>
    <w:p>
      <w:pPr>
        <w:pStyle w:val="Heading4"/>
        <w:spacing w:before="82"/>
      </w:pPr>
      <w:r>
        <w:rPr/>
        <w:pict>
          <v:group style="position:absolute;margin-left:12pt;margin-top:12pt;width:774.5pt;height:571pt;mso-position-horizontal-relative:page;mso-position-vertical-relative:page;z-index:-146968" coordorigin="240,240" coordsize="15490,11420">
            <v:rect style="position:absolute;left:240;top:240;width:3164;height:11420" filled="true" fillcolor="#00666d" stroked="false">
              <v:fill type="solid"/>
            </v:rect>
            <v:line style="position:absolute" from="538,2400" to="15730,2400" stroked="true" strokeweight=".479981pt" strokecolor="#9db5bc">
              <v:stroke dashstyle="solid"/>
            </v:line>
            <w10:wrap type="none"/>
          </v:group>
        </w:pict>
      </w:r>
      <w:r>
        <w:rPr>
          <w:color w:val="00666D"/>
        </w:rPr>
        <w:t>- Manual de Fiscalização do Exercício da Arquitetura e Urbanismo -</w:t>
      </w:r>
    </w:p>
    <w:p>
      <w:pPr>
        <w:pStyle w:val="BodyText"/>
        <w:rPr>
          <w:rFonts w:ascii="DaxCondensed"/>
          <w:sz w:val="20"/>
        </w:rPr>
      </w:pPr>
    </w:p>
    <w:p>
      <w:pPr>
        <w:pStyle w:val="BodyText"/>
        <w:rPr>
          <w:rFonts w:ascii="DaxCondensed"/>
          <w:sz w:val="20"/>
        </w:rPr>
      </w:pPr>
    </w:p>
    <w:p>
      <w:pPr>
        <w:pStyle w:val="BodyText"/>
        <w:rPr>
          <w:rFonts w:ascii="DaxCondensed"/>
          <w:sz w:val="20"/>
        </w:rPr>
      </w:pPr>
    </w:p>
    <w:p>
      <w:pPr>
        <w:pStyle w:val="BodyText"/>
        <w:spacing w:before="7"/>
        <w:rPr>
          <w:rFonts w:ascii="DaxCondensed"/>
          <w:sz w:val="22"/>
        </w:rPr>
      </w:pPr>
    </w:p>
    <w:p>
      <w:pPr>
        <w:pStyle w:val="Heading1"/>
        <w:numPr>
          <w:ilvl w:val="1"/>
          <w:numId w:val="24"/>
        </w:numPr>
        <w:tabs>
          <w:tab w:pos="1247" w:val="left" w:leader="none"/>
          <w:tab w:pos="1248" w:val="left" w:leader="none"/>
        </w:tabs>
        <w:spacing w:line="240" w:lineRule="auto" w:before="107" w:after="0"/>
        <w:ind w:left="1247" w:right="0" w:hanging="822"/>
        <w:jc w:val="left"/>
        <w:rPr>
          <w:color w:val="FFFFFF"/>
          <w:sz w:val="28"/>
        </w:rPr>
      </w:pPr>
      <w:bookmarkStart w:name="_TOC_250004" w:id="13"/>
      <w:r>
        <w:rPr>
          <w:color w:val="FFFFFF"/>
        </w:rPr>
        <w:t>Fundamentação</w:t>
      </w:r>
      <w:r>
        <w:rPr>
          <w:color w:val="FFFFFF"/>
          <w:spacing w:val="6"/>
        </w:rPr>
        <w:t> </w:t>
      </w:r>
      <w:bookmarkEnd w:id="13"/>
      <w:r>
        <w:rPr>
          <w:color w:val="00666D"/>
        </w:rPr>
        <w:t>Legal</w:t>
      </w:r>
    </w:p>
    <w:p>
      <w:pPr>
        <w:pStyle w:val="BodyText"/>
        <w:rPr>
          <w:rFonts w:ascii="DaxCondensed"/>
          <w:sz w:val="20"/>
        </w:rPr>
      </w:pPr>
    </w:p>
    <w:p>
      <w:pPr>
        <w:pStyle w:val="BodyText"/>
        <w:rPr>
          <w:rFonts w:ascii="DaxCondensed"/>
          <w:sz w:val="20"/>
        </w:rPr>
      </w:pPr>
    </w:p>
    <w:p>
      <w:pPr>
        <w:tabs>
          <w:tab w:pos="15589" w:val="left" w:leader="none"/>
        </w:tabs>
        <w:spacing w:before="223"/>
        <w:ind w:left="1712" w:right="0" w:firstLine="0"/>
        <w:jc w:val="left"/>
        <w:rPr>
          <w:rFonts w:ascii="DaxCondensed"/>
          <w:sz w:val="31"/>
        </w:rPr>
      </w:pPr>
      <w:r>
        <w:rPr>
          <w:rFonts w:ascii="DaxCondensed"/>
          <w:color w:val="FFFFFF"/>
          <w:sz w:val="31"/>
          <w:shd w:fill="00666D" w:color="auto" w:val="clear"/>
        </w:rPr>
        <w:t>Leis</w:t>
        <w:tab/>
      </w:r>
    </w:p>
    <w:p>
      <w:pPr>
        <w:pStyle w:val="BodyText"/>
        <w:spacing w:line="379" w:lineRule="auto" w:before="251"/>
        <w:ind w:left="4394" w:right="251"/>
        <w:jc w:val="both"/>
      </w:pPr>
      <w:r>
        <w:rPr>
          <w:b/>
          <w:w w:val="105"/>
        </w:rPr>
        <w:t>Lei nº 12.378</w:t>
      </w:r>
      <w:r>
        <w:rPr>
          <w:w w:val="105"/>
        </w:rPr>
        <w:t>, de 31 de dezembro de 2012: Regulamenta o exercício da Arquitetura e Urbanismo; cria o Conselho de Arquitetura e Urbanismo do Brasil (CAU/BR) e os Conselhos de Arquitetura e Urbanismo dos Estados e do Distrito Federal (CAU/UF), e dá outras providências.</w:t>
      </w:r>
    </w:p>
    <w:p>
      <w:pPr>
        <w:pStyle w:val="BodyText"/>
        <w:rPr>
          <w:sz w:val="18"/>
        </w:rPr>
      </w:pPr>
    </w:p>
    <w:p>
      <w:pPr>
        <w:pStyle w:val="BodyText"/>
        <w:spacing w:line="379" w:lineRule="auto" w:before="1"/>
        <w:ind w:left="4394" w:right="252"/>
        <w:jc w:val="both"/>
      </w:pPr>
      <w:r>
        <w:rPr>
          <w:b/>
          <w:w w:val="105"/>
        </w:rPr>
        <w:t>Lei nº 9.610</w:t>
      </w:r>
      <w:r>
        <w:rPr>
          <w:w w:val="105"/>
        </w:rPr>
        <w:t>, de 19 de fevereiro de 1998: Altera, atualiza e consolida a legislação sobre direitos autorais e dá outras providências.</w:t>
      </w:r>
    </w:p>
    <w:p>
      <w:pPr>
        <w:pStyle w:val="BodyText"/>
      </w:pPr>
    </w:p>
    <w:p>
      <w:pPr>
        <w:pStyle w:val="BodyText"/>
        <w:spacing w:line="369" w:lineRule="auto"/>
        <w:ind w:left="4394" w:right="258"/>
        <w:jc w:val="both"/>
      </w:pPr>
      <w:r>
        <w:rPr>
          <w:b/>
          <w:w w:val="105"/>
        </w:rPr>
        <w:t>Lei n° 7.410</w:t>
      </w:r>
      <w:r>
        <w:rPr>
          <w:w w:val="105"/>
        </w:rPr>
        <w:t>, de 27 de novembro de 1985: </w:t>
      </w:r>
      <w:r>
        <w:rPr>
          <w:rFonts w:ascii="Cambria" w:hAnsi="Cambria"/>
          <w:w w:val="105"/>
        </w:rPr>
        <w:t>D</w:t>
      </w:r>
      <w:r>
        <w:rPr>
          <w:w w:val="105"/>
        </w:rPr>
        <w:t>ispõe sobre a Especialização de Engenheiros e Arquitetos em Engenharia de Segurança do Trabalho, a Profissão de Técnico de Segurança do Trabalho, e dá outras providências.</w:t>
      </w:r>
    </w:p>
    <w:p>
      <w:pPr>
        <w:pStyle w:val="BodyText"/>
        <w:spacing w:before="2"/>
      </w:pPr>
    </w:p>
    <w:p>
      <w:pPr>
        <w:pStyle w:val="BodyText"/>
        <w:spacing w:line="379" w:lineRule="auto"/>
        <w:ind w:left="4394" w:right="252"/>
        <w:jc w:val="both"/>
      </w:pPr>
      <w:r>
        <w:rPr>
          <w:b/>
          <w:w w:val="105"/>
        </w:rPr>
        <w:t>Lei nº 4.950-A</w:t>
      </w:r>
      <w:r>
        <w:rPr>
          <w:w w:val="105"/>
        </w:rPr>
        <w:t>, de 22 de abril de 1966: Dispõe sobre a remuneração de profissionais diplomados em Engenharia, Química, Arquitetura, Agronomia e Veterinária.</w:t>
      </w:r>
    </w:p>
    <w:p>
      <w:pPr>
        <w:pStyle w:val="BodyText"/>
        <w:spacing w:before="6"/>
      </w:pPr>
    </w:p>
    <w:p>
      <w:pPr>
        <w:pStyle w:val="Heading1"/>
        <w:tabs>
          <w:tab w:pos="15589" w:val="left" w:leader="none"/>
        </w:tabs>
        <w:spacing w:before="0"/>
        <w:ind w:left="1712" w:firstLine="0"/>
      </w:pPr>
      <w:r>
        <w:rPr>
          <w:color w:val="FFFFFF"/>
          <w:shd w:fill="00666D" w:color="auto" w:val="clear"/>
        </w:rPr>
        <w:t>Resoluções</w:t>
        <w:tab/>
      </w:r>
    </w:p>
    <w:p>
      <w:pPr>
        <w:pStyle w:val="BodyText"/>
        <w:spacing w:line="379" w:lineRule="auto" w:before="11"/>
        <w:ind w:left="4394" w:right="256"/>
        <w:jc w:val="both"/>
      </w:pPr>
      <w:r>
        <w:rPr>
          <w:b/>
          <w:w w:val="105"/>
        </w:rPr>
        <w:t>Resolução CAU/BR n° 10</w:t>
      </w:r>
      <w:r>
        <w:rPr>
          <w:w w:val="105"/>
        </w:rPr>
        <w:t>, de 16 de janeiro de 2012: Dispõe sobre o exercício profissional, o registro e as atividades do arquiteto e urbanista com especialização em Engenharia de Segurança do Trabalho e dá outras providências.</w:t>
      </w:r>
    </w:p>
    <w:p>
      <w:pPr>
        <w:pStyle w:val="BodyText"/>
        <w:rPr>
          <w:sz w:val="18"/>
        </w:rPr>
      </w:pPr>
    </w:p>
    <w:p>
      <w:pPr>
        <w:pStyle w:val="BodyText"/>
        <w:spacing w:line="379" w:lineRule="auto"/>
        <w:ind w:left="4394" w:right="255"/>
        <w:jc w:val="both"/>
      </w:pPr>
      <w:r>
        <w:rPr>
          <w:b/>
          <w:w w:val="105"/>
        </w:rPr>
        <w:t>Resolução CAU/BR nº 17</w:t>
      </w:r>
      <w:r>
        <w:rPr>
          <w:w w:val="105"/>
        </w:rPr>
        <w:t>, de 2 de março de 2012: Dispõe sobre o Registro de Responsabilidade Técnica (RRT) na prestação de serviços de arquitetura e urbanismo e dá outras providências.</w:t>
      </w:r>
    </w:p>
    <w:p>
      <w:pPr>
        <w:pStyle w:val="BodyText"/>
        <w:spacing w:before="5"/>
        <w:rPr>
          <w:sz w:val="18"/>
        </w:rPr>
      </w:pPr>
    </w:p>
    <w:p>
      <w:pPr>
        <w:pStyle w:val="BodyText"/>
        <w:spacing w:line="379" w:lineRule="auto"/>
        <w:ind w:left="4394" w:right="255"/>
        <w:jc w:val="both"/>
      </w:pPr>
      <w:r>
        <w:rPr>
          <w:b/>
          <w:w w:val="105"/>
        </w:rPr>
        <w:t>Resolução CAU/BR nº 18</w:t>
      </w:r>
      <w:r>
        <w:rPr>
          <w:w w:val="105"/>
        </w:rPr>
        <w:t>, de 2 de março de 2012: Dispõe sobre os registros definitivos e temporários de profissionais no Conselho de Arquitetura e Urbanismo e dá outras providências.</w:t>
      </w:r>
    </w:p>
    <w:p>
      <w:pPr>
        <w:pStyle w:val="BodyText"/>
        <w:rPr>
          <w:sz w:val="20"/>
        </w:rPr>
      </w:pPr>
    </w:p>
    <w:p>
      <w:pPr>
        <w:pStyle w:val="BodyText"/>
        <w:rPr>
          <w:sz w:val="20"/>
        </w:rPr>
      </w:pPr>
    </w:p>
    <w:p>
      <w:pPr>
        <w:pStyle w:val="BodyText"/>
        <w:spacing w:before="1"/>
        <w:rPr>
          <w:sz w:val="16"/>
        </w:rPr>
      </w:pPr>
    </w:p>
    <w:p>
      <w:pPr>
        <w:pStyle w:val="BodyText"/>
        <w:spacing w:before="100"/>
        <w:ind w:left="1381"/>
      </w:pPr>
      <w:r>
        <w:rPr>
          <w:color w:val="FFFFFF"/>
          <w:w w:val="105"/>
        </w:rPr>
        <w:t>- 38 -</w:t>
      </w:r>
    </w:p>
    <w:p>
      <w:pPr>
        <w:spacing w:after="0"/>
        <w:sectPr>
          <w:pgSz w:w="16840" w:h="11900" w:orient="landscape"/>
          <w:pgMar w:top="640" w:bottom="280" w:left="140" w:right="860"/>
        </w:sectPr>
      </w:pPr>
    </w:p>
    <w:p>
      <w:pPr>
        <w:pStyle w:val="BodyText"/>
        <w:rPr>
          <w:sz w:val="20"/>
        </w:rPr>
      </w:pPr>
      <w:r>
        <w:rPr/>
        <w:pict>
          <v:shape style="position:absolute;margin-left:12pt;margin-top:12pt;width:158.2pt;height:571pt;mso-position-horizontal-relative:page;mso-position-vertical-relative:page;z-index:2128"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- 39 -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pStyle w:val="BodyText"/>
        <w:spacing w:line="379" w:lineRule="auto" w:before="100"/>
        <w:ind w:left="4394" w:right="256"/>
        <w:jc w:val="both"/>
      </w:pPr>
      <w:r>
        <w:rPr>
          <w:b/>
          <w:w w:val="105"/>
        </w:rPr>
        <w:t>Resolução CAU/BR nº 21</w:t>
      </w:r>
      <w:r>
        <w:rPr>
          <w:w w:val="105"/>
        </w:rPr>
        <w:t>, de 5 de abril de 2012: Dispõe sobre as atividades e atribuições profissionais do arquiteto e urbanista e dá outras providências.</w:t>
      </w:r>
    </w:p>
    <w:p>
      <w:pPr>
        <w:pStyle w:val="BodyText"/>
        <w:spacing w:before="5"/>
        <w:rPr>
          <w:sz w:val="18"/>
        </w:rPr>
      </w:pPr>
    </w:p>
    <w:p>
      <w:pPr>
        <w:pStyle w:val="BodyText"/>
        <w:spacing w:line="379" w:lineRule="auto"/>
        <w:ind w:left="4394" w:right="255"/>
        <w:jc w:val="both"/>
      </w:pPr>
      <w:r>
        <w:rPr>
          <w:b/>
          <w:w w:val="105"/>
        </w:rPr>
        <w:t>Resolução CAU/BR nº 22</w:t>
      </w:r>
      <w:r>
        <w:rPr>
          <w:w w:val="105"/>
        </w:rPr>
        <w:t>, de 4 de maio de 2012: Dispõe sobre a fiscalização do exercício profissional da Arquitetura e Urbanismo, os procedimentos para formalização, instrução e julgamento de processos por infração à legislação e a aplicação de penalidades, e dá outras providências.</w:t>
      </w:r>
    </w:p>
    <w:p>
      <w:pPr>
        <w:pStyle w:val="BodyText"/>
        <w:spacing w:before="1"/>
        <w:rPr>
          <w:sz w:val="18"/>
        </w:rPr>
      </w:pPr>
    </w:p>
    <w:p>
      <w:pPr>
        <w:pStyle w:val="BodyText"/>
        <w:spacing w:line="379" w:lineRule="auto"/>
        <w:ind w:left="4394" w:right="254"/>
        <w:jc w:val="both"/>
      </w:pPr>
      <w:r>
        <w:rPr>
          <w:b/>
          <w:w w:val="105"/>
        </w:rPr>
        <w:t>Resolução CAU/BR nº 26</w:t>
      </w:r>
      <w:r>
        <w:rPr>
          <w:w w:val="105"/>
        </w:rPr>
        <w:t>, de 6 de junho de 2012: Dispõe sobre o registro de arquitetos e urbanistas, brasileiros ou estrangeiros portadores de visto permanente, diplomados por instituições de ensino estrangeiras, nos Conselhos de Arquitetura e Urbanismo dos Estados e do Distrito Federal (CAU/UF), e dá outras providências.</w:t>
      </w:r>
    </w:p>
    <w:p>
      <w:pPr>
        <w:pStyle w:val="BodyText"/>
        <w:spacing w:before="5"/>
        <w:rPr>
          <w:sz w:val="18"/>
        </w:rPr>
      </w:pPr>
    </w:p>
    <w:p>
      <w:pPr>
        <w:pStyle w:val="BodyText"/>
        <w:spacing w:line="376" w:lineRule="auto"/>
        <w:ind w:left="4394" w:right="255"/>
        <w:jc w:val="both"/>
      </w:pPr>
      <w:r>
        <w:rPr>
          <w:b/>
          <w:w w:val="105"/>
        </w:rPr>
        <w:t>Resolução CAU/BR nº 28</w:t>
      </w:r>
      <w:r>
        <w:rPr>
          <w:w w:val="105"/>
        </w:rPr>
        <w:t>, de 6 de julho de 2012: Dispõe sobre o registro e sobre a alteração e a baixa de registro de</w:t>
      </w:r>
      <w:r>
        <w:rPr>
          <w:spacing w:val="55"/>
          <w:w w:val="105"/>
        </w:rPr>
        <w:t> </w:t>
      </w:r>
      <w:r>
        <w:rPr>
          <w:w w:val="105"/>
        </w:rPr>
        <w:t>pessoa jurídica de Arquitetura e Urbanismo nos Conselhos de Arquitetura e Urbanismo dos Estados e do Distrito Federal e dá outras</w:t>
      </w:r>
      <w:r>
        <w:rPr>
          <w:spacing w:val="1"/>
          <w:w w:val="105"/>
        </w:rPr>
        <w:t> </w:t>
      </w:r>
      <w:r>
        <w:rPr>
          <w:w w:val="105"/>
        </w:rPr>
        <w:t>providências.</w:t>
      </w:r>
    </w:p>
    <w:p>
      <w:pPr>
        <w:pStyle w:val="BodyText"/>
        <w:spacing w:before="7"/>
        <w:rPr>
          <w:sz w:val="18"/>
        </w:rPr>
      </w:pPr>
    </w:p>
    <w:p>
      <w:pPr>
        <w:pStyle w:val="BodyText"/>
        <w:spacing w:line="379" w:lineRule="auto" w:before="1"/>
        <w:ind w:left="4394" w:right="255"/>
        <w:jc w:val="both"/>
      </w:pPr>
      <w:r>
        <w:rPr>
          <w:b/>
          <w:w w:val="105"/>
        </w:rPr>
        <w:t>Resolução CAU/BR nº 31</w:t>
      </w:r>
      <w:r>
        <w:rPr>
          <w:w w:val="105"/>
        </w:rPr>
        <w:t>, de 2 de agosto de 2012: Dispõe sobre o Registro de Responsabilidade Técnica (RRT) Extemporâneo, referente a atividade concluída ou em andamento e dá outras providências.</w:t>
      </w:r>
    </w:p>
    <w:p>
      <w:pPr>
        <w:pStyle w:val="BodyText"/>
        <w:rPr>
          <w:sz w:val="18"/>
        </w:rPr>
      </w:pPr>
    </w:p>
    <w:p>
      <w:pPr>
        <w:pStyle w:val="BodyText"/>
        <w:spacing w:line="379" w:lineRule="auto"/>
        <w:ind w:left="4394" w:right="255"/>
        <w:jc w:val="both"/>
      </w:pPr>
      <w:r>
        <w:rPr>
          <w:b/>
          <w:w w:val="105"/>
        </w:rPr>
        <w:t>Resolução CAU/BR nº 33</w:t>
      </w:r>
      <w:r>
        <w:rPr>
          <w:w w:val="105"/>
        </w:rPr>
        <w:t>, de 6 de setembro de 2012: Aprova o Regimento Geral do Conselho de Arquitetura e Urbanismo do Brasil (CAU/BR) e dá outras</w:t>
      </w:r>
      <w:r>
        <w:rPr>
          <w:spacing w:val="5"/>
          <w:w w:val="105"/>
        </w:rPr>
        <w:t> </w:t>
      </w:r>
      <w:r>
        <w:rPr>
          <w:w w:val="105"/>
        </w:rPr>
        <w:t>providências.</w:t>
      </w:r>
    </w:p>
    <w:p>
      <w:pPr>
        <w:pStyle w:val="BodyText"/>
        <w:spacing w:before="5"/>
        <w:rPr>
          <w:sz w:val="18"/>
        </w:rPr>
      </w:pPr>
    </w:p>
    <w:p>
      <w:pPr>
        <w:pStyle w:val="BodyText"/>
        <w:spacing w:line="379" w:lineRule="auto"/>
        <w:ind w:left="4394" w:right="256"/>
        <w:jc w:val="both"/>
      </w:pPr>
      <w:r>
        <w:rPr>
          <w:b/>
          <w:w w:val="105"/>
        </w:rPr>
        <w:t>Resolução CAU/BR nº 38</w:t>
      </w:r>
      <w:r>
        <w:rPr>
          <w:w w:val="105"/>
        </w:rPr>
        <w:t>, de 9 de novembro de 2012. Dispõe sobre a fiscalização do cumprimento do Salário Mínimo Profissional do Arquiteto e Urbanista e dá outras providências.</w:t>
      </w:r>
    </w:p>
    <w:p>
      <w:pPr>
        <w:spacing w:after="0" w:line="379" w:lineRule="auto"/>
        <w:jc w:val="both"/>
        <w:sectPr>
          <w:pgSz w:w="16840" w:h="11900" w:orient="landscape"/>
          <w:pgMar w:top="240" w:bottom="0" w:left="140" w:right="860"/>
        </w:sectPr>
      </w:pPr>
    </w:p>
    <w:p>
      <w:pPr>
        <w:pStyle w:val="Heading4"/>
        <w:spacing w:before="82"/>
      </w:pPr>
      <w:r>
        <w:rPr/>
        <w:pict>
          <v:group style="position:absolute;margin-left:12pt;margin-top:12pt;width:774.5pt;height:571pt;mso-position-horizontal-relative:page;mso-position-vertical-relative:page;z-index:-146896" coordorigin="240,240" coordsize="15490,11420">
            <v:rect style="position:absolute;left:240;top:240;width:3164;height:11420" filled="true" fillcolor="#00666d" stroked="false">
              <v:fill type="solid"/>
            </v:rect>
            <v:line style="position:absolute" from="538,1843" to="15730,1843" stroked="true" strokeweight=".479981pt" strokecolor="#9db5bc">
              <v:stroke dashstyle="solid"/>
            </v:line>
            <w10:wrap type="none"/>
          </v:group>
        </w:pict>
      </w:r>
      <w:r>
        <w:rPr>
          <w:color w:val="00666D"/>
        </w:rPr>
        <w:t>- Manual de Fiscalização do Exercício da Arquitetura e Urbanismo -</w:t>
      </w:r>
    </w:p>
    <w:p>
      <w:pPr>
        <w:pStyle w:val="BodyText"/>
        <w:rPr>
          <w:rFonts w:ascii="DaxCondensed"/>
          <w:sz w:val="20"/>
        </w:rPr>
      </w:pPr>
    </w:p>
    <w:p>
      <w:pPr>
        <w:pStyle w:val="Heading1"/>
        <w:numPr>
          <w:ilvl w:val="1"/>
          <w:numId w:val="24"/>
        </w:numPr>
        <w:tabs>
          <w:tab w:pos="992" w:val="left" w:leader="none"/>
          <w:tab w:pos="993" w:val="left" w:leader="none"/>
        </w:tabs>
        <w:spacing w:line="240" w:lineRule="auto" w:before="251" w:after="0"/>
        <w:ind w:left="992" w:right="0" w:hanging="567"/>
        <w:jc w:val="left"/>
        <w:rPr>
          <w:color w:val="FFFFFF"/>
          <w:sz w:val="28"/>
        </w:rPr>
      </w:pPr>
      <w:bookmarkStart w:name="_TOC_250003" w:id="14"/>
      <w:bookmarkEnd w:id="14"/>
      <w:r>
        <w:rPr>
          <w:color w:val="FFFFFF"/>
        </w:rPr>
        <w:t>Anexos</w:t>
      </w:r>
    </w:p>
    <w:p>
      <w:pPr>
        <w:pStyle w:val="BodyText"/>
        <w:rPr>
          <w:rFonts w:ascii="DaxCondensed"/>
          <w:sz w:val="20"/>
        </w:rPr>
      </w:pPr>
    </w:p>
    <w:p>
      <w:pPr>
        <w:pStyle w:val="BodyText"/>
        <w:rPr>
          <w:rFonts w:ascii="DaxCondensed"/>
          <w:sz w:val="20"/>
        </w:rPr>
      </w:pPr>
    </w:p>
    <w:p>
      <w:pPr>
        <w:pStyle w:val="BodyText"/>
        <w:spacing w:before="7"/>
        <w:rPr>
          <w:rFonts w:ascii="DaxCondensed"/>
          <w:sz w:val="29"/>
        </w:rPr>
      </w:pPr>
      <w:r>
        <w:rPr/>
        <w:pict>
          <v:shape style="position:absolute;margin-left:225.360001pt;margin-top:17.807489pt;width:561.15pt;height:16.3500pt;mso-position-horizontal-relative:page;mso-position-vertical-relative:paragraph;z-index:104;mso-wrap-distance-left:0;mso-wrap-distance-right:0" type="#_x0000_t202" filled="true" fillcolor="#00666d" stroked="false">
            <v:textbox inset="0,0,0,0">
              <w:txbxContent>
                <w:p>
                  <w:pPr>
                    <w:tabs>
                      <w:tab w:pos="895" w:val="left" w:leader="none"/>
                    </w:tabs>
                    <w:spacing w:before="9"/>
                    <w:ind w:left="27" w:right="0" w:firstLine="0"/>
                    <w:jc w:val="left"/>
                    <w:rPr>
                      <w:rFonts w:ascii="DaxCondensed" w:hAnsi="DaxCondensed"/>
                      <w:sz w:val="28"/>
                    </w:rPr>
                  </w:pPr>
                  <w:r>
                    <w:rPr>
                      <w:rFonts w:ascii="DaxCondensed" w:hAnsi="DaxCondensed"/>
                      <w:color w:val="F2F2F2"/>
                      <w:sz w:val="28"/>
                    </w:rPr>
                    <w:t>7.1.</w:t>
                    <w:tab/>
                    <w:t>Glossário</w:t>
                  </w:r>
                </w:p>
              </w:txbxContent>
            </v:textbox>
            <v:fill type="solid"/>
            <w10:wrap type="topAndBottom"/>
          </v:shape>
        </w:pict>
      </w:r>
    </w:p>
    <w:p>
      <w:pPr>
        <w:pStyle w:val="BodyText"/>
        <w:spacing w:before="6"/>
        <w:rPr>
          <w:rFonts w:ascii="DaxCondensed"/>
          <w:sz w:val="20"/>
        </w:rPr>
      </w:pPr>
    </w:p>
    <w:p>
      <w:pPr>
        <w:pStyle w:val="BodyText"/>
        <w:spacing w:line="379" w:lineRule="auto" w:before="100"/>
        <w:ind w:left="4394" w:right="277"/>
        <w:jc w:val="both"/>
      </w:pPr>
      <w:r>
        <w:rPr>
          <w:b/>
          <w:w w:val="105"/>
        </w:rPr>
        <w:t>Acessibilidade</w:t>
      </w:r>
      <w:r>
        <w:rPr>
          <w:w w:val="105"/>
        </w:rPr>
        <w:t>: possibilidade e condição de alcance para utilização, com segurança e autonomia, dos espaços, mobiliários e equipamentos urbanos, das edificações, dos transportes e dos sistemas e meios de comunicação, por pessoa portadora de deficiência ou com mobilidade reduzida;</w:t>
      </w:r>
    </w:p>
    <w:p>
      <w:pPr>
        <w:pStyle w:val="BodyText"/>
        <w:spacing w:before="11"/>
        <w:rPr>
          <w:sz w:val="20"/>
        </w:rPr>
      </w:pPr>
    </w:p>
    <w:p>
      <w:pPr>
        <w:pStyle w:val="BodyText"/>
        <w:spacing w:line="379" w:lineRule="auto"/>
        <w:ind w:left="4394" w:right="277"/>
        <w:jc w:val="both"/>
      </w:pPr>
      <w:r>
        <w:rPr>
          <w:b/>
          <w:w w:val="105"/>
        </w:rPr>
        <w:t>Acompanhamento de obra ou serviço técnico</w:t>
      </w:r>
      <w:r>
        <w:rPr>
          <w:w w:val="105"/>
        </w:rPr>
        <w:t>: atividade exercida por profissional ou empresa de arquitetura e urbanismo para verificação da implantação do projeto na obra, visando assegurar que sua execução obedeça fielmente às definições e especificações técnicas nele contidas;</w:t>
      </w:r>
    </w:p>
    <w:p>
      <w:pPr>
        <w:pStyle w:val="BodyText"/>
        <w:spacing w:before="6"/>
        <w:rPr>
          <w:sz w:val="20"/>
        </w:rPr>
      </w:pPr>
    </w:p>
    <w:p>
      <w:pPr>
        <w:pStyle w:val="BodyText"/>
        <w:spacing w:line="379" w:lineRule="auto" w:before="1"/>
        <w:ind w:left="4394" w:right="277"/>
        <w:jc w:val="both"/>
      </w:pPr>
      <w:r>
        <w:rPr>
          <w:b/>
          <w:w w:val="105"/>
        </w:rPr>
        <w:t>Adequação ergonômica</w:t>
      </w:r>
      <w:r>
        <w:rPr>
          <w:w w:val="105"/>
        </w:rPr>
        <w:t>: atividade técnica que consiste em dotar as edificações, espaços urbanos, mobiliário e</w:t>
      </w:r>
      <w:r>
        <w:rPr>
          <w:spacing w:val="55"/>
          <w:w w:val="105"/>
        </w:rPr>
        <w:t> </w:t>
      </w:r>
      <w:r>
        <w:rPr>
          <w:w w:val="105"/>
        </w:rPr>
        <w:t>equipamento das condições de acessibilidade, com vistas à utilização destes com segurança e</w:t>
      </w:r>
      <w:r>
        <w:rPr>
          <w:spacing w:val="2"/>
          <w:w w:val="105"/>
        </w:rPr>
        <w:t> </w:t>
      </w:r>
      <w:r>
        <w:rPr>
          <w:w w:val="105"/>
        </w:rPr>
        <w:t>autonomia;</w:t>
      </w:r>
    </w:p>
    <w:p>
      <w:pPr>
        <w:pStyle w:val="BodyText"/>
        <w:spacing w:before="10"/>
        <w:rPr>
          <w:sz w:val="20"/>
        </w:rPr>
      </w:pPr>
    </w:p>
    <w:p>
      <w:pPr>
        <w:pStyle w:val="BodyText"/>
        <w:spacing w:line="379" w:lineRule="auto"/>
        <w:ind w:left="4394" w:right="275" w:firstLine="55"/>
        <w:jc w:val="both"/>
      </w:pPr>
      <w:r>
        <w:rPr>
          <w:b/>
          <w:w w:val="105"/>
        </w:rPr>
        <w:t>Análise</w:t>
      </w:r>
      <w:r>
        <w:rPr>
          <w:w w:val="105"/>
        </w:rPr>
        <w:t>: atividade que consiste na identificação e no exame das partes constituintes de um todo, buscando conhecer sua natureza e/ou avaliar seus aspectos técnicos;</w:t>
      </w:r>
    </w:p>
    <w:p>
      <w:pPr>
        <w:pStyle w:val="BodyText"/>
        <w:spacing w:before="11"/>
        <w:rPr>
          <w:sz w:val="20"/>
        </w:rPr>
      </w:pPr>
    </w:p>
    <w:p>
      <w:pPr>
        <w:pStyle w:val="BodyText"/>
        <w:spacing w:line="379" w:lineRule="auto"/>
        <w:ind w:left="4394" w:right="275"/>
        <w:jc w:val="both"/>
      </w:pPr>
      <w:r>
        <w:rPr>
          <w:b/>
          <w:w w:val="105"/>
        </w:rPr>
        <w:t>Atividades compartilhadas: </w:t>
      </w:r>
      <w:r>
        <w:rPr>
          <w:w w:val="105"/>
        </w:rPr>
        <w:t>atividades técnicas concernentes às atribuições e campos de atuação profissional que são comuns a duas ou mais profissões regulamentadas, e diferem das atividades multidisciplinares, estas caracterizadas pela interdisciplinaridade de áreas de conhecimento com vistas ao desenvolvimento de trabalho específico;</w:t>
      </w:r>
    </w:p>
    <w:p>
      <w:pPr>
        <w:pStyle w:val="BodyText"/>
        <w:spacing w:before="2"/>
        <w:rPr>
          <w:sz w:val="17"/>
        </w:rPr>
      </w:pPr>
    </w:p>
    <w:p>
      <w:pPr>
        <w:pStyle w:val="BodyText"/>
        <w:spacing w:line="379" w:lineRule="auto" w:before="1"/>
        <w:ind w:left="4394" w:right="275"/>
        <w:jc w:val="both"/>
      </w:pPr>
      <w:r>
        <w:rPr>
          <w:b/>
          <w:w w:val="105"/>
        </w:rPr>
        <w:t>Arbitragem</w:t>
      </w:r>
      <w:r>
        <w:rPr>
          <w:w w:val="105"/>
        </w:rPr>
        <w:t>: atividade técnica que consiste na solução de conflito a partir de decisão proferida por árbitro escolhido pelas partes envolvidas entre profissionais versados na matéria objeto da controvérsia;</w:t>
      </w:r>
    </w:p>
    <w:p>
      <w:pPr>
        <w:pStyle w:val="BodyText"/>
        <w:spacing w:before="10"/>
        <w:rPr>
          <w:sz w:val="20"/>
        </w:rPr>
      </w:pPr>
    </w:p>
    <w:p>
      <w:pPr>
        <w:pStyle w:val="BodyText"/>
        <w:spacing w:line="379" w:lineRule="auto"/>
        <w:ind w:left="4394" w:right="276"/>
        <w:jc w:val="both"/>
      </w:pPr>
      <w:r>
        <w:rPr>
          <w:b/>
          <w:w w:val="105"/>
        </w:rPr>
        <w:t>Arquitetura de Interiores</w:t>
      </w:r>
      <w:r>
        <w:rPr>
          <w:w w:val="105"/>
        </w:rPr>
        <w:t>: campo de atuação profissional da Arquitetura e Urbanismo que envolve atividades técnicas relacionadas à reordenação do espaço interno de uma edificação, visando a otimização e adequação de usos e consistindo</w:t>
      </w:r>
    </w:p>
    <w:p>
      <w:pPr>
        <w:pStyle w:val="BodyText"/>
        <w:rPr>
          <w:sz w:val="20"/>
        </w:rPr>
      </w:pPr>
    </w:p>
    <w:p>
      <w:pPr>
        <w:pStyle w:val="BodyText"/>
        <w:spacing w:before="4"/>
        <w:rPr>
          <w:sz w:val="27"/>
        </w:rPr>
      </w:pPr>
    </w:p>
    <w:p>
      <w:pPr>
        <w:pStyle w:val="BodyText"/>
        <w:spacing w:before="100"/>
        <w:ind w:left="1381"/>
      </w:pPr>
      <w:r>
        <w:rPr>
          <w:color w:val="FFFFFF"/>
          <w:w w:val="105"/>
        </w:rPr>
        <w:t>- 40 -</w:t>
      </w:r>
    </w:p>
    <w:p>
      <w:pPr>
        <w:spacing w:after="0"/>
        <w:sectPr>
          <w:pgSz w:w="16840" w:h="11900" w:orient="landscape"/>
          <w:pgMar w:top="640" w:bottom="280" w:left="140" w:right="860"/>
        </w:sectPr>
      </w:pPr>
    </w:p>
    <w:p>
      <w:pPr>
        <w:pStyle w:val="BodyText"/>
        <w:rPr>
          <w:sz w:val="20"/>
        </w:rPr>
      </w:pPr>
      <w:r>
        <w:rPr/>
        <w:pict>
          <v:shape style="position:absolute;margin-left:12pt;margin-top:12pt;width:158.2pt;height:571pt;mso-position-horizontal-relative:page;mso-position-vertical-relative:page;z-index:2200"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- 41 -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pStyle w:val="BodyText"/>
        <w:spacing w:line="379" w:lineRule="auto" w:before="100"/>
        <w:ind w:left="4394" w:right="275"/>
        <w:jc w:val="both"/>
      </w:pPr>
      <w:r>
        <w:rPr>
          <w:w w:val="105"/>
        </w:rPr>
        <w:t>em alterações como: modificações na divisão interna com adição ou retirada de paredes (</w:t>
      </w:r>
      <w:r>
        <w:rPr>
          <w:i/>
          <w:w w:val="105"/>
        </w:rPr>
        <w:t>stands</w:t>
      </w:r>
      <w:r>
        <w:rPr>
          <w:w w:val="105"/>
        </w:rPr>
        <w:t>) ou esquadrias, modificações na estrutura; colocação ou substituição de materiais de acabamento em pisos, forros e paredes (madeira,</w:t>
      </w:r>
      <w:r>
        <w:rPr>
          <w:spacing w:val="55"/>
          <w:w w:val="105"/>
        </w:rPr>
        <w:t> </w:t>
      </w:r>
      <w:r>
        <w:rPr>
          <w:w w:val="105"/>
        </w:rPr>
        <w:t>gesso etc.); colocação de mobiliário fixo em alvenaria ou outro material; colocação de mobiliário de grandes dimensões como pórticos ou totens, mesmo que temporário; colocação repetitiva de mobiliário</w:t>
      </w:r>
      <w:r>
        <w:rPr>
          <w:spacing w:val="6"/>
          <w:w w:val="105"/>
        </w:rPr>
        <w:t> </w:t>
      </w:r>
      <w:r>
        <w:rPr>
          <w:w w:val="105"/>
        </w:rPr>
        <w:t>padrão.</w:t>
      </w:r>
    </w:p>
    <w:p>
      <w:pPr>
        <w:pStyle w:val="BodyText"/>
        <w:rPr>
          <w:sz w:val="21"/>
        </w:rPr>
      </w:pPr>
    </w:p>
    <w:p>
      <w:pPr>
        <w:pStyle w:val="BodyText"/>
        <w:spacing w:line="379" w:lineRule="auto"/>
        <w:ind w:left="4394" w:right="274"/>
        <w:jc w:val="both"/>
      </w:pPr>
      <w:r>
        <w:rPr>
          <w:b/>
          <w:w w:val="105"/>
        </w:rPr>
        <w:t>Arquitetura paisagística</w:t>
      </w:r>
      <w:r>
        <w:rPr>
          <w:w w:val="105"/>
        </w:rPr>
        <w:t>: campo de atuação profissional da Arquitetura e Urbanismo que envolve atividades técnicas relacionadas à concepção e execução de projetos para espaços externos, livres e abertos, privados ou públicos, como parques e praças, considerados isoladamente ou em sistemas, dentro de várias escalas, inclusive a territorial.</w:t>
      </w:r>
    </w:p>
    <w:p>
      <w:pPr>
        <w:pStyle w:val="BodyText"/>
        <w:spacing w:before="7"/>
        <w:rPr>
          <w:sz w:val="20"/>
        </w:rPr>
      </w:pPr>
    </w:p>
    <w:p>
      <w:pPr>
        <w:pStyle w:val="BodyText"/>
        <w:spacing w:line="379" w:lineRule="auto"/>
        <w:ind w:left="4394" w:right="275"/>
        <w:jc w:val="both"/>
      </w:pPr>
      <w:r>
        <w:rPr>
          <w:b/>
          <w:i/>
          <w:w w:val="105"/>
        </w:rPr>
        <w:t>As built</w:t>
      </w:r>
      <w:r>
        <w:rPr>
          <w:w w:val="105"/>
        </w:rPr>
        <w:t>: atividade técnica que consiste na revisão do projeto conforme executado, objetivando sua regularidade junto aos órgãos públicos, ou sua atualização e manutenção ao término da construção, fabricação ou montagem da obra;</w:t>
      </w:r>
    </w:p>
    <w:p>
      <w:pPr>
        <w:pStyle w:val="BodyText"/>
        <w:spacing w:before="11"/>
        <w:rPr>
          <w:sz w:val="20"/>
        </w:rPr>
      </w:pPr>
    </w:p>
    <w:p>
      <w:pPr>
        <w:pStyle w:val="BodyText"/>
        <w:spacing w:line="379" w:lineRule="auto"/>
        <w:ind w:left="4394" w:right="276"/>
        <w:jc w:val="both"/>
      </w:pPr>
      <w:r>
        <w:rPr>
          <w:b/>
          <w:w w:val="105"/>
        </w:rPr>
        <w:t>Assessoria</w:t>
      </w:r>
      <w:r>
        <w:rPr>
          <w:w w:val="105"/>
        </w:rPr>
        <w:t>: atividade técnica que consiste na prestação de serviços por arquiteto e urbanista no âmbito das atividades, atribuições e campos de atuação de sua profissão, visando ao auxílio técnico à elaboração de projeto ou execução de obra ou</w:t>
      </w:r>
      <w:r>
        <w:rPr>
          <w:spacing w:val="1"/>
          <w:w w:val="105"/>
        </w:rPr>
        <w:t> </w:t>
      </w:r>
      <w:r>
        <w:rPr>
          <w:w w:val="105"/>
        </w:rPr>
        <w:t>instalação;</w:t>
      </w:r>
    </w:p>
    <w:p>
      <w:pPr>
        <w:pStyle w:val="BodyText"/>
        <w:spacing w:before="11"/>
        <w:rPr>
          <w:sz w:val="20"/>
        </w:rPr>
      </w:pPr>
    </w:p>
    <w:p>
      <w:pPr>
        <w:pStyle w:val="BodyText"/>
        <w:spacing w:line="379" w:lineRule="auto"/>
        <w:ind w:left="4394" w:right="276"/>
        <w:jc w:val="both"/>
      </w:pPr>
      <w:r>
        <w:rPr>
          <w:b/>
          <w:w w:val="105"/>
        </w:rPr>
        <w:t>Assistência técnica</w:t>
      </w:r>
      <w:r>
        <w:rPr>
          <w:w w:val="105"/>
        </w:rPr>
        <w:t>: atividade que consiste na orientação técnica, prestada por profissional habilitado, visando subsidiar a tomada de decisão em relação a elaboração de projetos ou à execução de obra ou instalação no âmbito de atuação da Arquitetura e Urbanismo;</w:t>
      </w:r>
    </w:p>
    <w:p>
      <w:pPr>
        <w:pStyle w:val="BodyText"/>
        <w:spacing w:before="6"/>
        <w:rPr>
          <w:sz w:val="20"/>
        </w:rPr>
      </w:pPr>
    </w:p>
    <w:p>
      <w:pPr>
        <w:pStyle w:val="BodyText"/>
        <w:spacing w:line="379" w:lineRule="auto"/>
        <w:ind w:left="4394" w:right="275"/>
        <w:jc w:val="both"/>
      </w:pPr>
      <w:r>
        <w:rPr>
          <w:b/>
          <w:w w:val="105"/>
        </w:rPr>
        <w:t>Atividades compartilhadas</w:t>
      </w:r>
      <w:r>
        <w:rPr>
          <w:w w:val="105"/>
        </w:rPr>
        <w:t>: atividades técnicas concernentes às atribuições e campos de atuação profissional que são comuns a duas ou mais profissões regulamentadas, e diferem das atividades multidisciplinares, estas caracterizadas pela interdisciplinaridade de áreas de conhecimento com vistas ao desenvolvimento de trabalho específico;</w:t>
      </w:r>
    </w:p>
    <w:p>
      <w:pPr>
        <w:pStyle w:val="BodyText"/>
        <w:rPr>
          <w:sz w:val="21"/>
        </w:rPr>
      </w:pPr>
    </w:p>
    <w:p>
      <w:pPr>
        <w:pStyle w:val="BodyText"/>
        <w:spacing w:line="379" w:lineRule="auto"/>
        <w:ind w:left="4394" w:right="276"/>
        <w:jc w:val="both"/>
      </w:pPr>
      <w:r>
        <w:rPr>
          <w:b/>
          <w:w w:val="105"/>
        </w:rPr>
        <w:t>Auditoria</w:t>
      </w:r>
      <w:r>
        <w:rPr>
          <w:w w:val="105"/>
        </w:rPr>
        <w:t>: atividade técnica que consiste no exame e verificação de obediência a condições formais estabelecidas para o controle de processos e a lisura de procedimentos relacionados à elaboração de projetos ou à execução de obra ou serviço técnico;</w:t>
      </w:r>
    </w:p>
    <w:p>
      <w:pPr>
        <w:spacing w:after="0" w:line="379" w:lineRule="auto"/>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2224"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- 42 -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pStyle w:val="BodyText"/>
        <w:spacing w:line="379" w:lineRule="auto" w:before="100"/>
        <w:ind w:left="4394" w:right="277"/>
        <w:jc w:val="both"/>
      </w:pPr>
      <w:r>
        <w:rPr>
          <w:b/>
          <w:w w:val="105"/>
        </w:rPr>
        <w:t>Auto de infração</w:t>
      </w:r>
      <w:r>
        <w:rPr>
          <w:w w:val="105"/>
        </w:rPr>
        <w:t>: ato administrativo processual lavrado por agente de fiscalização do CAU/UF que instaura o processo administrativo e expõe os fatos ilícitos atribuídos à pessoa física ou jurídica autuada, indicando a legislação infringida.</w:t>
      </w:r>
    </w:p>
    <w:p>
      <w:pPr>
        <w:pStyle w:val="BodyText"/>
        <w:spacing w:before="11"/>
        <w:rPr>
          <w:sz w:val="20"/>
        </w:rPr>
      </w:pPr>
    </w:p>
    <w:p>
      <w:pPr>
        <w:pStyle w:val="BodyText"/>
        <w:spacing w:line="379" w:lineRule="auto"/>
        <w:ind w:left="4394" w:right="276"/>
        <w:jc w:val="both"/>
      </w:pPr>
      <w:r>
        <w:rPr>
          <w:b/>
          <w:w w:val="105"/>
        </w:rPr>
        <w:t>Automação predial</w:t>
      </w:r>
      <w:r>
        <w:rPr>
          <w:w w:val="105"/>
        </w:rPr>
        <w:t>: atividade técnica que consiste na utilização racional e planejada de diversos itens de  consumo aplicados à elaboração de projeto ou à execução de obra ou serviço no âmbito da arquitetura da edificação, objetivando segurança, economia, sustentabilidade e</w:t>
      </w:r>
      <w:r>
        <w:rPr>
          <w:spacing w:val="2"/>
          <w:w w:val="105"/>
        </w:rPr>
        <w:t> </w:t>
      </w:r>
      <w:r>
        <w:rPr>
          <w:w w:val="105"/>
        </w:rPr>
        <w:t>conforto;</w:t>
      </w:r>
    </w:p>
    <w:p>
      <w:pPr>
        <w:pStyle w:val="BodyText"/>
        <w:rPr>
          <w:sz w:val="21"/>
        </w:rPr>
      </w:pPr>
    </w:p>
    <w:p>
      <w:pPr>
        <w:pStyle w:val="BodyText"/>
        <w:spacing w:line="379" w:lineRule="auto"/>
        <w:ind w:left="4394" w:right="276"/>
        <w:jc w:val="both"/>
      </w:pPr>
      <w:r>
        <w:rPr>
          <w:b/>
          <w:w w:val="105"/>
        </w:rPr>
        <w:t>Avaliação</w:t>
      </w:r>
      <w:r>
        <w:rPr>
          <w:w w:val="105"/>
        </w:rPr>
        <w:t>: atividade técnica que se constitui na determinação do valor qualitativo, quantitativo ou monetário de um bem, um direito ou um empreendimento.</w:t>
      </w:r>
    </w:p>
    <w:p>
      <w:pPr>
        <w:pStyle w:val="BodyText"/>
        <w:spacing w:before="6"/>
        <w:rPr>
          <w:sz w:val="20"/>
        </w:rPr>
      </w:pPr>
    </w:p>
    <w:p>
      <w:pPr>
        <w:pStyle w:val="BodyText"/>
        <w:spacing w:line="379" w:lineRule="auto"/>
        <w:ind w:left="4394" w:right="273"/>
        <w:jc w:val="both"/>
      </w:pPr>
      <w:r>
        <w:rPr>
          <w:b/>
          <w:w w:val="105"/>
        </w:rPr>
        <w:t>Avaliação do estado de conservação</w:t>
      </w:r>
      <w:r>
        <w:rPr>
          <w:w w:val="105"/>
        </w:rPr>
        <w:t>: atividade técnica que consiste na verificação das condições de uso e conservação dos espaços, mobiliários e equipamentos urbanos, das edificações, dos sistemas e meios de transporte e de comunicação, com vistas a estabelecer um conjunto de medidas permanentes que impeçam sua deterioração.</w:t>
      </w:r>
    </w:p>
    <w:p>
      <w:pPr>
        <w:pStyle w:val="BodyText"/>
        <w:spacing w:before="11"/>
        <w:rPr>
          <w:sz w:val="20"/>
        </w:rPr>
      </w:pPr>
    </w:p>
    <w:p>
      <w:pPr>
        <w:pStyle w:val="BodyText"/>
        <w:spacing w:line="379" w:lineRule="auto"/>
        <w:ind w:left="4394" w:right="275"/>
        <w:jc w:val="both"/>
      </w:pPr>
      <w:r>
        <w:rPr>
          <w:b/>
          <w:w w:val="105"/>
        </w:rPr>
        <w:t>Avaliação pós-ocupação</w:t>
      </w:r>
      <w:r>
        <w:rPr>
          <w:w w:val="105"/>
        </w:rPr>
        <w:t>: atividade técnica que consiste da avaliação de resultado de projeto, voltada para diagnosticar aspectos positivos e negativos do ambiente construído em uso;</w:t>
      </w:r>
    </w:p>
    <w:p>
      <w:pPr>
        <w:pStyle w:val="BodyText"/>
        <w:spacing w:before="11"/>
        <w:rPr>
          <w:sz w:val="20"/>
        </w:rPr>
      </w:pPr>
    </w:p>
    <w:p>
      <w:pPr>
        <w:pStyle w:val="BodyText"/>
        <w:spacing w:line="379" w:lineRule="auto"/>
        <w:ind w:left="4394" w:right="273"/>
        <w:jc w:val="both"/>
      </w:pPr>
      <w:r>
        <w:rPr>
          <w:b/>
          <w:w w:val="105"/>
        </w:rPr>
        <w:t>Cadastro técnico multifinalitário</w:t>
      </w:r>
      <w:r>
        <w:rPr>
          <w:w w:val="105"/>
        </w:rPr>
        <w:t>: registro de dados que servem de base para toda a infraestrutura de dados geoespaciais referentes a parcelas territoriais de um país;</w:t>
      </w:r>
    </w:p>
    <w:p>
      <w:pPr>
        <w:pStyle w:val="BodyText"/>
        <w:spacing w:before="11"/>
        <w:rPr>
          <w:sz w:val="20"/>
        </w:rPr>
      </w:pPr>
    </w:p>
    <w:p>
      <w:pPr>
        <w:pStyle w:val="BodyText"/>
        <w:spacing w:line="374" w:lineRule="auto"/>
        <w:ind w:left="4394" w:right="280"/>
        <w:jc w:val="both"/>
      </w:pPr>
      <w:r>
        <w:rPr>
          <w:b/>
          <w:w w:val="105"/>
        </w:rPr>
        <w:t>Caderno de encargos</w:t>
      </w:r>
      <w:r>
        <w:rPr>
          <w:w w:val="105"/>
        </w:rPr>
        <w:t>: instrumento que estabelece requisitos, condições e diretrizes técnicas e administrativas para a execução de obra ou serviço técnico;</w:t>
      </w:r>
    </w:p>
    <w:p>
      <w:pPr>
        <w:pStyle w:val="BodyText"/>
        <w:spacing w:before="3"/>
        <w:rPr>
          <w:sz w:val="21"/>
        </w:rPr>
      </w:pPr>
    </w:p>
    <w:p>
      <w:pPr>
        <w:pStyle w:val="BodyText"/>
        <w:spacing w:line="379" w:lineRule="auto"/>
        <w:ind w:left="4394" w:right="274"/>
        <w:jc w:val="both"/>
      </w:pPr>
      <w:r>
        <w:rPr>
          <w:b/>
          <w:w w:val="105"/>
        </w:rPr>
        <w:t>Caderno de especificações</w:t>
      </w:r>
      <w:r>
        <w:rPr>
          <w:w w:val="105"/>
        </w:rPr>
        <w:t>: instrumento que estabelece as condições de execução e o padrão de acabamento para cada tipo de serviço, indicando os materiais especificados e os locais de sua aplicação, obedecendo à legislação pertinente e podendo ser parte integrante do Caderno de Encargos;</w:t>
      </w:r>
    </w:p>
    <w:p>
      <w:pPr>
        <w:spacing w:after="0" w:line="379" w:lineRule="auto"/>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2248"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- 43 -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pStyle w:val="BodyText"/>
        <w:spacing w:line="379" w:lineRule="auto" w:before="100"/>
        <w:ind w:left="4394" w:right="273"/>
        <w:jc w:val="both"/>
      </w:pPr>
      <w:r>
        <w:rPr>
          <w:b/>
          <w:w w:val="105"/>
        </w:rPr>
        <w:t>Certificação ambiental</w:t>
      </w:r>
      <w:r>
        <w:rPr>
          <w:w w:val="105"/>
        </w:rPr>
        <w:t>: adequação de projetos e planos às normas técnicas, nacionais e internacionais dos selos de eficiência energética e construtiva, a fim de aumentar o ciclo de vida útil, melhorar o desempenho e reduzir o impacto sobre o meio ambiente;</w:t>
      </w:r>
    </w:p>
    <w:p>
      <w:pPr>
        <w:pStyle w:val="BodyText"/>
        <w:rPr>
          <w:sz w:val="21"/>
        </w:rPr>
      </w:pPr>
    </w:p>
    <w:p>
      <w:pPr>
        <w:pStyle w:val="BodyText"/>
        <w:spacing w:line="379" w:lineRule="auto"/>
        <w:ind w:left="4394" w:right="276"/>
        <w:jc w:val="both"/>
      </w:pPr>
      <w:r>
        <w:rPr>
          <w:b/>
          <w:w w:val="105"/>
        </w:rPr>
        <w:t>Coleta de dados</w:t>
      </w:r>
      <w:r>
        <w:rPr>
          <w:w w:val="105"/>
        </w:rPr>
        <w:t>: atividade que consiste em reunir, de maneira organizada e consistente, dados necessários ao</w:t>
      </w:r>
      <w:r>
        <w:rPr>
          <w:spacing w:val="55"/>
          <w:w w:val="105"/>
        </w:rPr>
        <w:t> </w:t>
      </w:r>
      <w:r>
        <w:rPr>
          <w:w w:val="105"/>
        </w:rPr>
        <w:t>desempenho de tarefas relacionadas a estudo, planejamento, pesquisa, desenvolvimento, experimentação, ensaio e</w:t>
      </w:r>
      <w:r>
        <w:rPr>
          <w:spacing w:val="-27"/>
          <w:w w:val="105"/>
        </w:rPr>
        <w:t> </w:t>
      </w:r>
      <w:r>
        <w:rPr>
          <w:w w:val="105"/>
        </w:rPr>
        <w:t>afins;</w:t>
      </w:r>
    </w:p>
    <w:p>
      <w:pPr>
        <w:pStyle w:val="BodyText"/>
        <w:spacing w:before="11"/>
        <w:rPr>
          <w:sz w:val="20"/>
        </w:rPr>
      </w:pPr>
    </w:p>
    <w:p>
      <w:pPr>
        <w:pStyle w:val="BodyText"/>
        <w:spacing w:line="376" w:lineRule="auto"/>
        <w:ind w:left="4394" w:right="275"/>
        <w:jc w:val="both"/>
      </w:pPr>
      <w:r>
        <w:rPr>
          <w:b/>
          <w:w w:val="105"/>
        </w:rPr>
        <w:t>Comunicação visual para edificações</w:t>
      </w:r>
      <w:r>
        <w:rPr>
          <w:w w:val="105"/>
        </w:rPr>
        <w:t>: atividade técnica que consiste na concepção ou realização de elementos de comunicação visual no âmbito da edificação, por meio de signos, imagens, desenhos ou gráficos, com o intuito de identificar espaços, circulações, acessos e equipamentos.</w:t>
      </w:r>
    </w:p>
    <w:p>
      <w:pPr>
        <w:pStyle w:val="BodyText"/>
        <w:spacing w:before="1"/>
        <w:rPr>
          <w:sz w:val="21"/>
        </w:rPr>
      </w:pPr>
    </w:p>
    <w:p>
      <w:pPr>
        <w:pStyle w:val="BodyText"/>
        <w:spacing w:line="379" w:lineRule="auto"/>
        <w:ind w:left="4394" w:right="273"/>
        <w:jc w:val="both"/>
      </w:pPr>
      <w:r>
        <w:rPr>
          <w:b/>
          <w:w w:val="105"/>
        </w:rPr>
        <w:t>Comunicação visual urbanística</w:t>
      </w:r>
      <w:r>
        <w:rPr>
          <w:w w:val="105"/>
        </w:rPr>
        <w:t>: atividade técnica que consiste na concepção ou realização de elementos de comunicação visual no âmbito do urbano, por meio de signos, imagens, desenhos ou gráficos, com o intuito de identificar espaços, circulações, acessos e equipamentos.</w:t>
      </w:r>
    </w:p>
    <w:p>
      <w:pPr>
        <w:pStyle w:val="BodyText"/>
        <w:rPr>
          <w:sz w:val="21"/>
        </w:rPr>
      </w:pPr>
    </w:p>
    <w:p>
      <w:pPr>
        <w:pStyle w:val="BodyText"/>
        <w:spacing w:line="379" w:lineRule="auto"/>
        <w:ind w:left="4394" w:right="277"/>
        <w:jc w:val="both"/>
      </w:pPr>
      <w:r>
        <w:rPr>
          <w:b/>
          <w:w w:val="105"/>
        </w:rPr>
        <w:t>Condução</w:t>
      </w:r>
      <w:r>
        <w:rPr>
          <w:w w:val="105"/>
        </w:rPr>
        <w:t>: atividade técnica que consiste no comando ou chefia de equipe de trabalho relacionado à elaboração de projeto ou à execução de obra ou serviço no âmbito da arquitetura e urbanismo;</w:t>
      </w:r>
    </w:p>
    <w:p>
      <w:pPr>
        <w:pStyle w:val="BodyText"/>
        <w:spacing w:before="11"/>
        <w:rPr>
          <w:sz w:val="20"/>
        </w:rPr>
      </w:pPr>
    </w:p>
    <w:p>
      <w:pPr>
        <w:pStyle w:val="BodyText"/>
        <w:spacing w:line="376" w:lineRule="auto"/>
        <w:ind w:left="4394" w:right="276"/>
        <w:jc w:val="both"/>
      </w:pPr>
      <w:r>
        <w:rPr>
          <w:b/>
          <w:w w:val="105"/>
        </w:rPr>
        <w:t>Conjunto Arquitetônico</w:t>
      </w:r>
      <w:r>
        <w:rPr>
          <w:w w:val="105"/>
        </w:rPr>
        <w:t>: agrupamento de edificações projetadas, construídas e ou ampliadas em uma mesma área, obedecendo um mesmo planejamento físico integrado e executado por um mesmo profissional ou equipe de arquitetos e urbanistas;</w:t>
      </w:r>
    </w:p>
    <w:p>
      <w:pPr>
        <w:pStyle w:val="BodyText"/>
        <w:spacing w:before="1"/>
        <w:rPr>
          <w:sz w:val="21"/>
        </w:rPr>
      </w:pPr>
    </w:p>
    <w:p>
      <w:pPr>
        <w:pStyle w:val="BodyText"/>
        <w:spacing w:line="379" w:lineRule="auto"/>
        <w:ind w:left="4394" w:right="276"/>
        <w:jc w:val="both"/>
      </w:pPr>
      <w:r>
        <w:rPr>
          <w:b/>
          <w:w w:val="105"/>
        </w:rPr>
        <w:t>Conservação</w:t>
      </w:r>
      <w:r>
        <w:rPr>
          <w:w w:val="105"/>
        </w:rPr>
        <w:t>: atividade que consiste num conjunto de práticas, baseadas em medidas preventivas e de manutenção continuada, que visam à utilização de recursos naturais, construtivos, tecnológicos etc., de modo a permitir que estes se preservem ou se renovem;</w:t>
      </w:r>
    </w:p>
    <w:p>
      <w:pPr>
        <w:pStyle w:val="BodyText"/>
        <w:rPr>
          <w:sz w:val="21"/>
        </w:rPr>
      </w:pPr>
    </w:p>
    <w:p>
      <w:pPr>
        <w:pStyle w:val="BodyText"/>
        <w:spacing w:line="379" w:lineRule="auto"/>
        <w:ind w:left="4394" w:right="276"/>
        <w:jc w:val="both"/>
      </w:pPr>
      <w:r>
        <w:rPr>
          <w:b/>
          <w:w w:val="105"/>
        </w:rPr>
        <w:t>Consultoria</w:t>
      </w:r>
      <w:r>
        <w:rPr>
          <w:w w:val="105"/>
        </w:rPr>
        <w:t>: atividade de prestação de serviços de aconselhamento, mediante exame de questões específicas, e elaboração de parecer ou trabalho teórico pertinente, devidamente fundamentado;</w:t>
      </w:r>
    </w:p>
    <w:p>
      <w:pPr>
        <w:spacing w:after="0" w:line="379" w:lineRule="auto"/>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2272"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- 44 -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pStyle w:val="BodyText"/>
        <w:spacing w:line="379" w:lineRule="auto" w:before="100"/>
        <w:ind w:left="4394" w:right="274"/>
        <w:jc w:val="both"/>
      </w:pPr>
      <w:r>
        <w:rPr>
          <w:b/>
          <w:w w:val="105"/>
        </w:rPr>
        <w:t>Coordenação e compatibilização de projetos</w:t>
      </w:r>
      <w:r>
        <w:rPr>
          <w:w w:val="105"/>
        </w:rPr>
        <w:t>: atividade técnica que consiste em coordenar e compatibilizar o projeto arquitetônico, urbanístico ou paisagístico com os demais projetos a ele complementares, podendo incluir a análise das alternativas de viabilização do empreendimento;</w:t>
      </w:r>
    </w:p>
    <w:p>
      <w:pPr>
        <w:pStyle w:val="BodyText"/>
        <w:rPr>
          <w:sz w:val="21"/>
        </w:rPr>
      </w:pPr>
    </w:p>
    <w:p>
      <w:pPr>
        <w:pStyle w:val="BodyText"/>
        <w:spacing w:line="379" w:lineRule="auto"/>
        <w:ind w:left="4394" w:right="275"/>
        <w:jc w:val="both"/>
      </w:pPr>
      <w:r>
        <w:rPr>
          <w:b/>
          <w:w w:val="105"/>
        </w:rPr>
        <w:t>Cronograma</w:t>
      </w:r>
      <w:r>
        <w:rPr>
          <w:w w:val="105"/>
        </w:rPr>
        <w:t>: atividade técnica que consiste na distribuição temporal das etapas de determinada obra ou serviço de Arquitetura e Urbanismo, relacionando as operações, os objetivos, os prazos e demais limites referentes a cada etapa;</w:t>
      </w:r>
    </w:p>
    <w:p>
      <w:pPr>
        <w:pStyle w:val="BodyText"/>
        <w:spacing w:before="11"/>
        <w:rPr>
          <w:sz w:val="20"/>
        </w:rPr>
      </w:pPr>
    </w:p>
    <w:p>
      <w:pPr>
        <w:pStyle w:val="BodyText"/>
        <w:spacing w:line="376" w:lineRule="auto"/>
        <w:ind w:left="4394" w:right="276"/>
        <w:jc w:val="both"/>
      </w:pPr>
      <w:r>
        <w:rPr>
          <w:b/>
          <w:w w:val="105"/>
        </w:rPr>
        <w:t>Diagnóstico ambiental</w:t>
      </w:r>
      <w:r>
        <w:rPr>
          <w:w w:val="105"/>
        </w:rPr>
        <w:t>: atividade técnica que consiste em um levantamento sistemático dos fatores ambientais relacionados a uma determinada atividade, aferindo-se as condições de desempenho ambiental, com vistas à completa descrição e</w:t>
      </w:r>
      <w:r>
        <w:rPr>
          <w:spacing w:val="55"/>
          <w:w w:val="105"/>
        </w:rPr>
        <w:t> </w:t>
      </w:r>
      <w:r>
        <w:rPr>
          <w:w w:val="105"/>
        </w:rPr>
        <w:t>análise dos recursos ambientais e suas interações, tal como existem, considerando o meio físico, o meio biológico e o meio socioeconômico;</w:t>
      </w:r>
    </w:p>
    <w:p>
      <w:pPr>
        <w:pStyle w:val="BodyText"/>
        <w:spacing w:before="4"/>
        <w:rPr>
          <w:sz w:val="21"/>
        </w:rPr>
      </w:pPr>
    </w:p>
    <w:p>
      <w:pPr>
        <w:pStyle w:val="BodyText"/>
        <w:spacing w:line="379" w:lineRule="auto"/>
        <w:ind w:left="4394" w:right="277"/>
        <w:jc w:val="both"/>
      </w:pPr>
      <w:r>
        <w:rPr>
          <w:b/>
          <w:w w:val="105"/>
        </w:rPr>
        <w:t>Desempenho de Cargo ou Função Técnica</w:t>
      </w:r>
      <w:r>
        <w:rPr>
          <w:w w:val="105"/>
        </w:rPr>
        <w:t>: atividade exercida de forma continuada, no âmbito das atividades, atribuições e campos de atuação profissional da Arquitetura e Urbanismo, em decorrência de ato de nomeação, designação ou contrato de</w:t>
      </w:r>
      <w:r>
        <w:rPr>
          <w:spacing w:val="1"/>
          <w:w w:val="105"/>
        </w:rPr>
        <w:t> </w:t>
      </w:r>
      <w:r>
        <w:rPr>
          <w:w w:val="105"/>
        </w:rPr>
        <w:t>trabalho;</w:t>
      </w:r>
    </w:p>
    <w:p>
      <w:pPr>
        <w:pStyle w:val="BodyText"/>
        <w:spacing w:before="11"/>
        <w:rPr>
          <w:sz w:val="20"/>
        </w:rPr>
      </w:pPr>
    </w:p>
    <w:p>
      <w:pPr>
        <w:pStyle w:val="BodyText"/>
        <w:spacing w:line="379" w:lineRule="auto"/>
        <w:ind w:left="4394" w:right="276"/>
        <w:jc w:val="both"/>
      </w:pPr>
      <w:r>
        <w:rPr>
          <w:b/>
          <w:w w:val="105"/>
        </w:rPr>
        <w:t>Desmembramento</w:t>
      </w:r>
      <w:r>
        <w:rPr>
          <w:w w:val="105"/>
        </w:rPr>
        <w:t>: subdivisão da área, menor que 20.000,00m², em lotes edificáveis para fins urbanos com aproveitamento do sistema viário existente, não implicando na obrigatoriedade de abertura de novas vias públicas;</w:t>
      </w:r>
    </w:p>
    <w:p>
      <w:pPr>
        <w:pStyle w:val="BodyText"/>
        <w:spacing w:before="11"/>
        <w:rPr>
          <w:sz w:val="20"/>
        </w:rPr>
      </w:pPr>
    </w:p>
    <w:p>
      <w:pPr>
        <w:pStyle w:val="BodyText"/>
        <w:spacing w:line="374" w:lineRule="auto"/>
        <w:ind w:left="4394" w:right="276"/>
        <w:jc w:val="both"/>
      </w:pPr>
      <w:r>
        <w:rPr>
          <w:b/>
          <w:w w:val="105"/>
        </w:rPr>
        <w:t>Direção ou condução de obra ou serviço técnico</w:t>
      </w:r>
      <w:r>
        <w:rPr>
          <w:w w:val="105"/>
        </w:rPr>
        <w:t>: atividade técnica de determinar, comandar e essencialmente decidir na consecução de obra ou serviço, definindo uma orientação ou diretriz a ser seguida durante a sua execução por terceiros;</w:t>
      </w:r>
    </w:p>
    <w:p>
      <w:pPr>
        <w:pStyle w:val="BodyText"/>
        <w:spacing w:before="3"/>
        <w:rPr>
          <w:sz w:val="21"/>
        </w:rPr>
      </w:pPr>
    </w:p>
    <w:p>
      <w:pPr>
        <w:pStyle w:val="BodyText"/>
        <w:spacing w:line="379" w:lineRule="auto"/>
        <w:ind w:left="4394" w:right="274"/>
        <w:jc w:val="both"/>
      </w:pPr>
      <w:r>
        <w:rPr>
          <w:b/>
          <w:w w:val="105"/>
        </w:rPr>
        <w:t>Ensaio</w:t>
      </w:r>
      <w:r>
        <w:rPr>
          <w:w w:val="105"/>
        </w:rPr>
        <w:t>: atividade que consiste no estudo ou investigação sumária de aspectos técnicos ou científicos de determinado assunto;</w:t>
      </w:r>
    </w:p>
    <w:p>
      <w:pPr>
        <w:pStyle w:val="BodyText"/>
        <w:spacing w:before="11"/>
        <w:rPr>
          <w:sz w:val="20"/>
        </w:rPr>
      </w:pPr>
    </w:p>
    <w:p>
      <w:pPr>
        <w:pStyle w:val="BodyText"/>
        <w:spacing w:line="379" w:lineRule="auto"/>
        <w:ind w:left="4394" w:right="273"/>
        <w:jc w:val="both"/>
      </w:pPr>
      <w:r>
        <w:rPr>
          <w:b/>
          <w:w w:val="105"/>
        </w:rPr>
        <w:t>Ensino</w:t>
      </w:r>
      <w:r>
        <w:rPr>
          <w:w w:val="105"/>
        </w:rPr>
        <w:t>: atividade técnica que consiste na transmissão de conhecimentos de maneira sistemática, formal e institucionalizada; Edifícios ou instalações efêmeras: espaços edificados ou instalações de arquitetura de caráter transitório, destinados a serem utilizados como espaços cênicos ou cenográficos, assim como feiras, exposições, mostras e outros eventos de  curta duração</w:t>
      </w:r>
      <w:r>
        <w:rPr>
          <w:color w:val="FF0000"/>
          <w:w w:val="105"/>
        </w:rPr>
        <w:t>;</w:t>
      </w:r>
    </w:p>
    <w:p>
      <w:pPr>
        <w:spacing w:after="0" w:line="379" w:lineRule="auto"/>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2296"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- 45 -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spacing w:line="379" w:lineRule="auto" w:before="100"/>
        <w:ind w:left="4394" w:right="275" w:firstLine="0"/>
        <w:jc w:val="both"/>
        <w:rPr>
          <w:sz w:val="19"/>
        </w:rPr>
      </w:pPr>
      <w:r>
        <w:rPr>
          <w:b/>
          <w:w w:val="105"/>
          <w:sz w:val="19"/>
        </w:rPr>
        <w:t>Equipamento de Proteção Individual (EPI)</w:t>
      </w:r>
      <w:r>
        <w:rPr>
          <w:w w:val="105"/>
          <w:sz w:val="19"/>
        </w:rPr>
        <w:t>: quaisquer meios ou dispositivos destinados a proteger a saúde e a integridade física do trabalhador.</w:t>
      </w:r>
    </w:p>
    <w:p>
      <w:pPr>
        <w:pStyle w:val="BodyText"/>
        <w:spacing w:before="11"/>
        <w:rPr>
          <w:sz w:val="20"/>
        </w:rPr>
      </w:pPr>
    </w:p>
    <w:p>
      <w:pPr>
        <w:pStyle w:val="BodyText"/>
        <w:spacing w:line="379" w:lineRule="auto"/>
        <w:ind w:left="4394" w:right="276"/>
        <w:jc w:val="both"/>
      </w:pPr>
      <w:r>
        <w:rPr>
          <w:b/>
          <w:w w:val="105"/>
        </w:rPr>
        <w:t>Equipamento de Proteção Coletiva (EPC)</w:t>
      </w:r>
      <w:r>
        <w:rPr>
          <w:w w:val="105"/>
        </w:rPr>
        <w:t>: equipamento destinado à proteção e segurança de grupo de trabalhadores na realização de determinada tarefa ou atividade, devendo associar-se ao uso do Equipamento de Proteção Individual (EPI).</w:t>
      </w:r>
    </w:p>
    <w:p>
      <w:pPr>
        <w:pStyle w:val="BodyText"/>
        <w:spacing w:before="11"/>
        <w:rPr>
          <w:sz w:val="20"/>
        </w:rPr>
      </w:pPr>
    </w:p>
    <w:p>
      <w:pPr>
        <w:pStyle w:val="BodyText"/>
        <w:spacing w:line="379" w:lineRule="auto"/>
        <w:ind w:left="4394" w:right="276"/>
        <w:jc w:val="both"/>
      </w:pPr>
      <w:r>
        <w:rPr>
          <w:b/>
          <w:w w:val="105"/>
        </w:rPr>
        <w:t>Especificação</w:t>
      </w:r>
      <w:r>
        <w:rPr>
          <w:w w:val="105"/>
        </w:rPr>
        <w:t>: atividade que consiste na fixação das características, condições ou requisitos relativos a materiais, equipamentos, instalações ou técnicas de execução a serem empregadas em obra ou serviço técnico;</w:t>
      </w:r>
    </w:p>
    <w:p>
      <w:pPr>
        <w:pStyle w:val="BodyText"/>
        <w:spacing w:before="11"/>
        <w:rPr>
          <w:sz w:val="20"/>
        </w:rPr>
      </w:pPr>
    </w:p>
    <w:p>
      <w:pPr>
        <w:pStyle w:val="BodyText"/>
        <w:spacing w:line="376" w:lineRule="auto"/>
        <w:ind w:left="4394" w:right="275"/>
        <w:jc w:val="both"/>
      </w:pPr>
      <w:r>
        <w:rPr>
          <w:b/>
          <w:w w:val="105"/>
        </w:rPr>
        <w:t>Estudo</w:t>
      </w:r>
      <w:r>
        <w:rPr>
          <w:w w:val="105"/>
        </w:rPr>
        <w:t>: atividade que envolve simultaneamente o levantamento, a coleta, a observação, o tratamento e a análise de dados de natureza técnica, necessários à execução de obra ou serviço técnico, ou ao desenvolvimento de métodos ou processos</w:t>
      </w:r>
      <w:r>
        <w:rPr>
          <w:spacing w:val="55"/>
          <w:w w:val="105"/>
        </w:rPr>
        <w:t> </w:t>
      </w:r>
      <w:r>
        <w:rPr>
          <w:w w:val="105"/>
        </w:rPr>
        <w:t>de produção ou à determinação de viabilidade técnica ou</w:t>
      </w:r>
      <w:r>
        <w:rPr>
          <w:spacing w:val="9"/>
          <w:w w:val="105"/>
        </w:rPr>
        <w:t> </w:t>
      </w:r>
      <w:r>
        <w:rPr>
          <w:w w:val="105"/>
        </w:rPr>
        <w:t>econômica;</w:t>
      </w:r>
    </w:p>
    <w:p>
      <w:pPr>
        <w:pStyle w:val="BodyText"/>
        <w:spacing w:before="1"/>
        <w:rPr>
          <w:sz w:val="21"/>
        </w:rPr>
      </w:pPr>
    </w:p>
    <w:p>
      <w:pPr>
        <w:pStyle w:val="BodyText"/>
        <w:spacing w:line="379" w:lineRule="auto"/>
        <w:ind w:left="4394" w:right="276"/>
        <w:jc w:val="both"/>
      </w:pPr>
      <w:r>
        <w:rPr>
          <w:b/>
          <w:w w:val="105"/>
        </w:rPr>
        <w:t>Estudo de Impacto Ambiental (EIA)</w:t>
      </w:r>
      <w:r>
        <w:rPr>
          <w:w w:val="105"/>
        </w:rPr>
        <w:t>: atividade técnica que consiste em estudo realizado com fins de licenciamento de empreendimentos que, direta ou indiretamente, afetam o meio ambiente ou que são potencialmente poluidores, devendo incluir, no mínimo, diagnóstico ambiental da área de influência, análise dos impactos ambientais previstos e de suas alternativas, definição de medidas mitigadoras e elaboração de um programa de acompanhamento e o monitoramento</w:t>
      </w:r>
      <w:r>
        <w:rPr>
          <w:spacing w:val="55"/>
          <w:w w:val="105"/>
        </w:rPr>
        <w:t> </w:t>
      </w:r>
      <w:r>
        <w:rPr>
          <w:w w:val="105"/>
        </w:rPr>
        <w:t>desses</w:t>
      </w:r>
      <w:r>
        <w:rPr>
          <w:spacing w:val="1"/>
          <w:w w:val="105"/>
        </w:rPr>
        <w:t> </w:t>
      </w:r>
      <w:r>
        <w:rPr>
          <w:w w:val="105"/>
        </w:rPr>
        <w:t>impactos;</w:t>
      </w:r>
    </w:p>
    <w:p>
      <w:pPr>
        <w:pStyle w:val="BodyText"/>
        <w:spacing w:before="1"/>
        <w:rPr>
          <w:sz w:val="21"/>
        </w:rPr>
      </w:pPr>
    </w:p>
    <w:p>
      <w:pPr>
        <w:spacing w:line="374" w:lineRule="auto" w:before="0"/>
        <w:ind w:left="4394" w:right="276" w:firstLine="0"/>
        <w:jc w:val="both"/>
        <w:rPr>
          <w:sz w:val="19"/>
        </w:rPr>
      </w:pPr>
      <w:r>
        <w:rPr>
          <w:b/>
          <w:w w:val="105"/>
          <w:sz w:val="19"/>
        </w:rPr>
        <w:t>Estudo de Impacto Ambiental complementar (EIAc)</w:t>
      </w:r>
      <w:r>
        <w:rPr>
          <w:w w:val="105"/>
          <w:sz w:val="19"/>
        </w:rPr>
        <w:t>: estudo que, quando necessário, complementa e atualiza o Estudo de Impacto Ambiental (EIA) anteriormente realizado;</w:t>
      </w:r>
    </w:p>
    <w:p>
      <w:pPr>
        <w:pStyle w:val="BodyText"/>
        <w:spacing w:before="3"/>
        <w:rPr>
          <w:sz w:val="21"/>
        </w:rPr>
      </w:pPr>
    </w:p>
    <w:p>
      <w:pPr>
        <w:pStyle w:val="BodyText"/>
        <w:spacing w:line="379" w:lineRule="auto"/>
        <w:ind w:left="4394" w:right="276"/>
        <w:jc w:val="both"/>
      </w:pPr>
      <w:r>
        <w:rPr>
          <w:b/>
          <w:w w:val="105"/>
        </w:rPr>
        <w:t>Estudo de Impacto de Vizinhança (EIV)</w:t>
      </w:r>
      <w:r>
        <w:rPr>
          <w:w w:val="105"/>
        </w:rPr>
        <w:t>: estudo executado de forma a contemplar os efeitos positivos e negativos de um empreendimento ou atividade quanto à qualidade de vida da população residente na área e suas proximidades;</w:t>
      </w:r>
    </w:p>
    <w:p>
      <w:pPr>
        <w:pStyle w:val="BodyText"/>
        <w:spacing w:before="11"/>
        <w:rPr>
          <w:sz w:val="20"/>
        </w:rPr>
      </w:pPr>
    </w:p>
    <w:p>
      <w:pPr>
        <w:pStyle w:val="BodyText"/>
        <w:spacing w:line="379" w:lineRule="auto"/>
        <w:ind w:left="4394" w:right="275"/>
        <w:jc w:val="both"/>
      </w:pPr>
      <w:r>
        <w:rPr>
          <w:b/>
          <w:w w:val="105"/>
        </w:rPr>
        <w:t>Estudo de Viabilidade Ambiental (EVA)</w:t>
      </w:r>
      <w:r>
        <w:rPr>
          <w:w w:val="105"/>
        </w:rPr>
        <w:t>: parecer ou estudo técnico que aponta, em determinada de interesse, os aspectos físicos, ambientais e legais, que constituem condicionantes, impedimentos ou limitações em relação ao empreendimento ou projeto que se pretende instalar;</w:t>
      </w:r>
    </w:p>
    <w:p>
      <w:pPr>
        <w:spacing w:after="0" w:line="379" w:lineRule="auto"/>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2320"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- 46 -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pStyle w:val="BodyText"/>
        <w:spacing w:line="379" w:lineRule="auto" w:before="100"/>
        <w:ind w:left="4394" w:right="278"/>
        <w:jc w:val="both"/>
      </w:pPr>
      <w:r>
        <w:rPr>
          <w:b/>
          <w:w w:val="105"/>
        </w:rPr>
        <w:t>Estudo de viabilidade econômico-financeira</w:t>
      </w:r>
      <w:r>
        <w:rPr>
          <w:w w:val="105"/>
        </w:rPr>
        <w:t>: atividade que consiste da análise técnico-econômico-financeira de um empreendimento arquitetônico, urbanístico ou paisagístico para fins de subsidiar planos, estudos e projetos da mesma natureza;</w:t>
      </w:r>
    </w:p>
    <w:p>
      <w:pPr>
        <w:pStyle w:val="BodyText"/>
        <w:rPr>
          <w:sz w:val="21"/>
        </w:rPr>
      </w:pPr>
    </w:p>
    <w:p>
      <w:pPr>
        <w:pStyle w:val="BodyText"/>
        <w:spacing w:line="379" w:lineRule="auto"/>
        <w:ind w:left="4394" w:right="275"/>
        <w:jc w:val="both"/>
      </w:pPr>
      <w:r>
        <w:rPr>
          <w:b/>
          <w:w w:val="105"/>
        </w:rPr>
        <w:t>Execução</w:t>
      </w:r>
      <w:r>
        <w:rPr>
          <w:w w:val="105"/>
        </w:rPr>
        <w:t>: atividade em que o profissional, por conta própria ou a serviço de terceiros, exerce trabalho técnico visando a efetivação de um serviço ou obra, compreendendo, execução ou demolição de obra, execução de serviços técnicos, execução de trabalhos de classificação, padronização, mensuração e/ou locação, execução de trabalhos de  desenho técnicos e assistência</w:t>
      </w:r>
      <w:r>
        <w:rPr>
          <w:spacing w:val="3"/>
          <w:w w:val="105"/>
        </w:rPr>
        <w:t> </w:t>
      </w:r>
      <w:r>
        <w:rPr>
          <w:w w:val="105"/>
        </w:rPr>
        <w:t>técnica;</w:t>
      </w:r>
    </w:p>
    <w:p>
      <w:pPr>
        <w:pStyle w:val="BodyText"/>
        <w:spacing w:before="7"/>
        <w:rPr>
          <w:sz w:val="20"/>
        </w:rPr>
      </w:pPr>
    </w:p>
    <w:p>
      <w:pPr>
        <w:pStyle w:val="BodyText"/>
        <w:spacing w:line="379" w:lineRule="auto"/>
        <w:ind w:left="4394" w:right="277"/>
        <w:jc w:val="both"/>
      </w:pPr>
      <w:r>
        <w:rPr>
          <w:b/>
          <w:w w:val="105"/>
        </w:rPr>
        <w:t>Experimentação</w:t>
      </w:r>
      <w:r>
        <w:rPr>
          <w:w w:val="105"/>
        </w:rPr>
        <w:t>: atividade que consiste em observar manifestações de um determinado fenômeno, sob condições previamente estabelecidas;</w:t>
      </w:r>
    </w:p>
    <w:p>
      <w:pPr>
        <w:pStyle w:val="BodyText"/>
        <w:spacing w:before="11"/>
        <w:rPr>
          <w:sz w:val="20"/>
        </w:rPr>
      </w:pPr>
    </w:p>
    <w:p>
      <w:pPr>
        <w:pStyle w:val="BodyText"/>
        <w:spacing w:line="379" w:lineRule="auto"/>
        <w:ind w:left="4394" w:right="275"/>
        <w:jc w:val="both"/>
      </w:pPr>
      <w:r>
        <w:rPr>
          <w:b/>
          <w:w w:val="105"/>
        </w:rPr>
        <w:t>Extensão</w:t>
      </w:r>
      <w:r>
        <w:rPr>
          <w:w w:val="105"/>
        </w:rPr>
        <w:t>: atividade técnica que se caracteriza pela transmissão de conhecimentos técnicos através da utilização de sistemas informais de</w:t>
      </w:r>
      <w:r>
        <w:rPr>
          <w:spacing w:val="3"/>
          <w:w w:val="105"/>
        </w:rPr>
        <w:t> </w:t>
      </w:r>
      <w:r>
        <w:rPr>
          <w:w w:val="105"/>
        </w:rPr>
        <w:t>aprendizado;</w:t>
      </w:r>
    </w:p>
    <w:p>
      <w:pPr>
        <w:pStyle w:val="BodyText"/>
        <w:spacing w:before="10"/>
        <w:rPr>
          <w:sz w:val="20"/>
        </w:rPr>
      </w:pPr>
    </w:p>
    <w:p>
      <w:pPr>
        <w:pStyle w:val="BodyText"/>
        <w:spacing w:line="379" w:lineRule="auto" w:before="1"/>
        <w:ind w:left="4394" w:right="275"/>
        <w:jc w:val="both"/>
      </w:pPr>
      <w:r>
        <w:rPr>
          <w:b/>
          <w:w w:val="105"/>
        </w:rPr>
        <w:t>Fiscalização de obra ou serviço técnico</w:t>
      </w:r>
      <w:r>
        <w:rPr>
          <w:w w:val="105"/>
        </w:rPr>
        <w:t>: atividade que consiste na inspeção e controle técnico sistemático de obra ou serviço técnico, tendo por finalidade examinar ou verificar se a execução obedece às especificações, aos prazos estabelecidos e ao projeto;</w:t>
      </w:r>
    </w:p>
    <w:p>
      <w:pPr>
        <w:pStyle w:val="BodyText"/>
        <w:spacing w:before="11"/>
        <w:rPr>
          <w:sz w:val="20"/>
        </w:rPr>
      </w:pPr>
    </w:p>
    <w:p>
      <w:pPr>
        <w:pStyle w:val="BodyText"/>
        <w:spacing w:line="376" w:lineRule="auto"/>
        <w:ind w:left="4394" w:right="275"/>
        <w:jc w:val="both"/>
      </w:pPr>
      <w:r>
        <w:rPr>
          <w:b/>
          <w:w w:val="105"/>
        </w:rPr>
        <w:t>Fotointerpretação</w:t>
      </w:r>
      <w:r>
        <w:rPr>
          <w:w w:val="105"/>
        </w:rPr>
        <w:t>: atividade técnica que consiste no exame de imagens, mediante identificação de sinais conhecidos ou interpretados, referentes a objetos diretamente visíveis ou à detecção de objetos e de suas relações através de análise metódica e sistemática;</w:t>
      </w:r>
    </w:p>
    <w:p>
      <w:pPr>
        <w:pStyle w:val="BodyText"/>
        <w:spacing w:before="1"/>
        <w:rPr>
          <w:sz w:val="21"/>
        </w:rPr>
      </w:pPr>
    </w:p>
    <w:p>
      <w:pPr>
        <w:pStyle w:val="BodyText"/>
        <w:spacing w:line="379" w:lineRule="auto"/>
        <w:ind w:left="4394" w:right="276"/>
        <w:jc w:val="both"/>
      </w:pPr>
      <w:r>
        <w:rPr>
          <w:b/>
          <w:w w:val="105"/>
        </w:rPr>
        <w:t>Georreferenciamento</w:t>
      </w:r>
      <w:r>
        <w:rPr>
          <w:w w:val="105"/>
        </w:rPr>
        <w:t>: atividade técnica que consiste na obtenção de coordenadas de pontos de controle para torná-las conhecidas num dado sistema de referência;</w:t>
      </w:r>
    </w:p>
    <w:p>
      <w:pPr>
        <w:pStyle w:val="BodyText"/>
        <w:spacing w:before="11"/>
        <w:rPr>
          <w:sz w:val="20"/>
        </w:rPr>
      </w:pPr>
    </w:p>
    <w:p>
      <w:pPr>
        <w:pStyle w:val="BodyText"/>
        <w:spacing w:line="379" w:lineRule="auto"/>
        <w:ind w:left="4394" w:right="275"/>
        <w:jc w:val="both"/>
      </w:pPr>
      <w:r>
        <w:rPr>
          <w:b/>
          <w:w w:val="105"/>
        </w:rPr>
        <w:t>Gerenciamento de obra ou serviço técnico</w:t>
      </w:r>
      <w:r>
        <w:rPr>
          <w:w w:val="105"/>
        </w:rPr>
        <w:t>: atividade que consiste no controle dos aspectos técnicos e econômicos do desenvolvimento de uma obra, envolvendo a administração do contrato de construção ou implantação da edificação, com rigoroso controle do cronograma físico-financeiro estabelecido;</w:t>
      </w:r>
    </w:p>
    <w:p>
      <w:pPr>
        <w:spacing w:after="0" w:line="379" w:lineRule="auto"/>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2344"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- 47 -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pStyle w:val="BodyText"/>
        <w:spacing w:line="379" w:lineRule="auto" w:before="100"/>
        <w:ind w:left="4394" w:right="275"/>
        <w:jc w:val="both"/>
      </w:pPr>
      <w:r>
        <w:rPr>
          <w:b/>
          <w:w w:val="105"/>
        </w:rPr>
        <w:t>Infração</w:t>
      </w:r>
      <w:r>
        <w:rPr>
          <w:w w:val="105"/>
        </w:rPr>
        <w:t>: toda ação ou omissão relacionada à realização das atividades técnicas de Arquitetura e Urbanismo que importe no descumprimento do que dispõe a legislação que regulamenta o exercício da profissão;</w:t>
      </w:r>
    </w:p>
    <w:p>
      <w:pPr>
        <w:pStyle w:val="BodyText"/>
        <w:spacing w:before="11"/>
        <w:rPr>
          <w:sz w:val="20"/>
        </w:rPr>
      </w:pPr>
    </w:p>
    <w:p>
      <w:pPr>
        <w:pStyle w:val="BodyText"/>
        <w:spacing w:line="379" w:lineRule="auto"/>
        <w:ind w:left="4394" w:right="275"/>
        <w:jc w:val="both"/>
      </w:pPr>
      <w:r>
        <w:rPr>
          <w:b/>
          <w:w w:val="105"/>
        </w:rPr>
        <w:t>Instalações elétricas prediais de baixa tensão</w:t>
      </w:r>
      <w:r>
        <w:rPr>
          <w:w w:val="105"/>
        </w:rPr>
        <w:t>: atividade técnica que consiste em projeto ou execução de ligações  elétricas nas edificações alimentadas sob uma tensão nominal igual ou inferior a 1.000 V em corrente alternada, com frequências inferiores a 400 Hz, ou a 1.500 V em corrente</w:t>
      </w:r>
      <w:r>
        <w:rPr>
          <w:spacing w:val="11"/>
          <w:w w:val="105"/>
        </w:rPr>
        <w:t> </w:t>
      </w:r>
      <w:r>
        <w:rPr>
          <w:w w:val="105"/>
        </w:rPr>
        <w:t>contínua;</w:t>
      </w:r>
    </w:p>
    <w:p>
      <w:pPr>
        <w:pStyle w:val="BodyText"/>
        <w:rPr>
          <w:sz w:val="21"/>
        </w:rPr>
      </w:pPr>
    </w:p>
    <w:p>
      <w:pPr>
        <w:pStyle w:val="BodyText"/>
        <w:spacing w:line="376" w:lineRule="auto"/>
        <w:ind w:left="4394" w:right="274"/>
        <w:jc w:val="both"/>
      </w:pPr>
      <w:r>
        <w:rPr>
          <w:b/>
          <w:w w:val="105"/>
        </w:rPr>
        <w:t>Instalações prediais de prevenção e combate a incêndio</w:t>
      </w:r>
      <w:r>
        <w:rPr>
          <w:w w:val="105"/>
        </w:rPr>
        <w:t>: atividade técnica que consiste em projeto ou execução das instalações que constituem o sistema de proteção contra incêndio e pânico nas edificações, incluindo hidrante de recalque, coluna de incêndio, central de GLP, hidrante de parede e reserva técnica de incêndio.</w:t>
      </w:r>
    </w:p>
    <w:p>
      <w:pPr>
        <w:pStyle w:val="BodyText"/>
        <w:spacing w:before="1"/>
        <w:rPr>
          <w:sz w:val="21"/>
        </w:rPr>
      </w:pPr>
    </w:p>
    <w:p>
      <w:pPr>
        <w:pStyle w:val="BodyText"/>
        <w:spacing w:line="379" w:lineRule="auto"/>
        <w:ind w:left="4394" w:right="275"/>
        <w:jc w:val="both"/>
      </w:pPr>
      <w:r>
        <w:rPr>
          <w:b/>
          <w:w w:val="105"/>
        </w:rPr>
        <w:t>Inventário</w:t>
      </w:r>
      <w:r>
        <w:rPr>
          <w:w w:val="105"/>
        </w:rPr>
        <w:t>: constitui instrumento inicial de proteção ao patrimônio histórico, artístico e cultural por meio de ação ou conjunto de ações de reconhecimento e registro ordenado de um bem cultural ou de um conjunto de bens culturais de determinado contexto.</w:t>
      </w:r>
    </w:p>
    <w:p>
      <w:pPr>
        <w:pStyle w:val="BodyText"/>
        <w:rPr>
          <w:sz w:val="21"/>
        </w:rPr>
      </w:pPr>
    </w:p>
    <w:p>
      <w:pPr>
        <w:pStyle w:val="BodyText"/>
        <w:spacing w:line="379" w:lineRule="auto"/>
        <w:ind w:left="4394" w:right="277"/>
        <w:jc w:val="both"/>
      </w:pPr>
      <w:r>
        <w:rPr>
          <w:b/>
          <w:w w:val="105"/>
        </w:rPr>
        <w:t>Laudo técnico</w:t>
      </w:r>
      <w:r>
        <w:rPr>
          <w:w w:val="105"/>
        </w:rPr>
        <w:t>: peça na qual, com fundamentação técnica, o profissional habilitado como perito relata o que observou e apresenta suas conclusões;</w:t>
      </w:r>
    </w:p>
    <w:p>
      <w:pPr>
        <w:pStyle w:val="BodyText"/>
        <w:spacing w:before="11"/>
        <w:rPr>
          <w:sz w:val="20"/>
        </w:rPr>
      </w:pPr>
    </w:p>
    <w:p>
      <w:pPr>
        <w:pStyle w:val="BodyText"/>
        <w:spacing w:line="376" w:lineRule="auto"/>
        <w:ind w:left="4394" w:right="275"/>
        <w:jc w:val="both"/>
      </w:pPr>
      <w:r>
        <w:rPr>
          <w:b/>
          <w:w w:val="105"/>
        </w:rPr>
        <w:t>Laudo de Inspeção Sobre Atividades Insalubres</w:t>
      </w:r>
      <w:r>
        <w:rPr>
          <w:w w:val="105"/>
        </w:rPr>
        <w:t>: atividade que consiste na elaboração de documento técnico de caracterização da insalubridade por meio de inspeção realizada no local de trabalho, regulamentada pela NR-15 e seus anexos;</w:t>
      </w:r>
    </w:p>
    <w:p>
      <w:pPr>
        <w:pStyle w:val="BodyText"/>
        <w:spacing w:before="1"/>
        <w:rPr>
          <w:sz w:val="21"/>
        </w:rPr>
      </w:pPr>
    </w:p>
    <w:p>
      <w:pPr>
        <w:pStyle w:val="BodyText"/>
        <w:spacing w:line="379" w:lineRule="auto"/>
        <w:ind w:left="4394" w:right="274"/>
        <w:jc w:val="both"/>
      </w:pPr>
      <w:r>
        <w:rPr>
          <w:b/>
          <w:w w:val="105"/>
        </w:rPr>
        <w:t>Laudo Técnico de Condições de Trabalho (LTCAT): </w:t>
      </w:r>
      <w:r>
        <w:rPr>
          <w:w w:val="105"/>
        </w:rPr>
        <w:t>atividade que consiste na elaboração de documento em que se descrevem os ambientes de trabalho de modo a identificar possíveis agentes agressivos sejam eles físicos, químicos, biológicos, ergonômicos, causadores de acidentes ou de risco à integridade física do trabalhador, bem como a intensidade de cada um deles, as medidas de prevenção a serem adotadas, e possível direito do trabalhador ao adicional de insalubridade ou</w:t>
      </w:r>
      <w:r>
        <w:rPr>
          <w:spacing w:val="1"/>
          <w:w w:val="105"/>
        </w:rPr>
        <w:t> </w:t>
      </w:r>
      <w:r>
        <w:rPr>
          <w:w w:val="105"/>
        </w:rPr>
        <w:t>periculosidade;</w:t>
      </w:r>
    </w:p>
    <w:p>
      <w:pPr>
        <w:spacing w:after="0" w:line="379" w:lineRule="auto"/>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2368"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- 48 -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pStyle w:val="BodyText"/>
        <w:spacing w:line="379" w:lineRule="auto" w:before="100"/>
        <w:ind w:left="4394" w:right="277"/>
        <w:jc w:val="both"/>
      </w:pPr>
      <w:r>
        <w:rPr>
          <w:b/>
          <w:w w:val="105"/>
        </w:rPr>
        <w:t>Levantamento</w:t>
      </w:r>
      <w:r>
        <w:rPr>
          <w:w w:val="105"/>
        </w:rPr>
        <w:t>: atividade que consiste na observação, mensuração ou quantificação, e o registro de dados de natureza técnica, necessários à elaboração de projeto ou à execução de obra ou instalação no âmbito da Arquitetura e Urbanismo;</w:t>
      </w:r>
    </w:p>
    <w:p>
      <w:pPr>
        <w:pStyle w:val="BodyText"/>
        <w:spacing w:before="11"/>
        <w:rPr>
          <w:sz w:val="20"/>
        </w:rPr>
      </w:pPr>
    </w:p>
    <w:p>
      <w:pPr>
        <w:pStyle w:val="BodyText"/>
        <w:spacing w:line="379" w:lineRule="auto"/>
        <w:ind w:left="4394" w:right="276"/>
        <w:jc w:val="both"/>
      </w:pPr>
      <w:r>
        <w:rPr>
          <w:b/>
          <w:w w:val="105"/>
        </w:rPr>
        <w:t>Loteamento</w:t>
      </w:r>
      <w:r>
        <w:rPr>
          <w:w w:val="105"/>
        </w:rPr>
        <w:t>: atividade técnica que consiste em subdivisão de gleba, igual ou maior que 20.000,00m²; em lotes edificáveis urbanos, com abertura ou alargamento de vias públicas e destinação de áreas para equipamentos urbanos e áreas verdes;</w:t>
      </w:r>
    </w:p>
    <w:p>
      <w:pPr>
        <w:pStyle w:val="BodyText"/>
        <w:spacing w:before="11"/>
        <w:rPr>
          <w:sz w:val="20"/>
        </w:rPr>
      </w:pPr>
    </w:p>
    <w:p>
      <w:pPr>
        <w:pStyle w:val="BodyText"/>
        <w:spacing w:line="379" w:lineRule="auto"/>
        <w:ind w:left="4394" w:right="276"/>
        <w:jc w:val="both"/>
      </w:pPr>
      <w:r>
        <w:rPr>
          <w:b/>
          <w:w w:val="105"/>
        </w:rPr>
        <w:t>Manutenção</w:t>
      </w:r>
      <w:r>
        <w:rPr>
          <w:w w:val="105"/>
        </w:rPr>
        <w:t>: atividade técnica que consiste em um conjunto de ações sistemáticas que visam conservar espaços edificados e urbanos, estruturas, instalações e equipamentos em bom estado de conservação e operação ou em manter um bem</w:t>
      </w:r>
      <w:r>
        <w:rPr>
          <w:spacing w:val="55"/>
          <w:w w:val="105"/>
        </w:rPr>
        <w:t> </w:t>
      </w:r>
      <w:r>
        <w:rPr>
          <w:w w:val="105"/>
        </w:rPr>
        <w:t>cultural em condições de uso ou</w:t>
      </w:r>
      <w:r>
        <w:rPr>
          <w:spacing w:val="7"/>
          <w:w w:val="105"/>
        </w:rPr>
        <w:t> </w:t>
      </w:r>
      <w:r>
        <w:rPr>
          <w:w w:val="105"/>
        </w:rPr>
        <w:t>fruição;</w:t>
      </w:r>
    </w:p>
    <w:p>
      <w:pPr>
        <w:pStyle w:val="BodyText"/>
        <w:spacing w:before="6"/>
        <w:rPr>
          <w:sz w:val="20"/>
        </w:rPr>
      </w:pPr>
    </w:p>
    <w:p>
      <w:pPr>
        <w:pStyle w:val="BodyText"/>
        <w:spacing w:line="379" w:lineRule="auto"/>
        <w:ind w:left="4394" w:right="275"/>
        <w:jc w:val="both"/>
      </w:pPr>
      <w:r>
        <w:rPr>
          <w:b/>
          <w:w w:val="105"/>
        </w:rPr>
        <w:t>Memorial descritivo</w:t>
      </w:r>
      <w:r>
        <w:rPr>
          <w:w w:val="105"/>
        </w:rPr>
        <w:t>: atividade que consiste na elaboração de documento que discrimina as atividades técnicas, as especificações e os métodos construtivos a serem empregados na execução de determinada obra ou serviço de acordo com o</w:t>
      </w:r>
      <w:r>
        <w:rPr>
          <w:spacing w:val="1"/>
          <w:w w:val="105"/>
        </w:rPr>
        <w:t> </w:t>
      </w:r>
      <w:r>
        <w:rPr>
          <w:w w:val="105"/>
        </w:rPr>
        <w:t>projeto;</w:t>
      </w:r>
    </w:p>
    <w:p>
      <w:pPr>
        <w:pStyle w:val="BodyText"/>
        <w:rPr>
          <w:sz w:val="21"/>
        </w:rPr>
      </w:pPr>
    </w:p>
    <w:p>
      <w:pPr>
        <w:pStyle w:val="BodyText"/>
        <w:spacing w:line="379" w:lineRule="auto"/>
        <w:ind w:left="4394" w:right="277"/>
        <w:jc w:val="both"/>
      </w:pPr>
      <w:r>
        <w:rPr>
          <w:b/>
          <w:w w:val="105"/>
        </w:rPr>
        <w:t>Mensuração</w:t>
      </w:r>
      <w:r>
        <w:rPr>
          <w:w w:val="105"/>
        </w:rPr>
        <w:t>: atividade que consiste na apuração de aspectos quantitativos de determinado fenômeno, produto, obra ou serviço técnico, num determinado período de tempo;</w:t>
      </w:r>
    </w:p>
    <w:p>
      <w:pPr>
        <w:pStyle w:val="BodyText"/>
        <w:spacing w:before="11"/>
        <w:rPr>
          <w:sz w:val="20"/>
        </w:rPr>
      </w:pPr>
    </w:p>
    <w:p>
      <w:pPr>
        <w:pStyle w:val="BodyText"/>
        <w:spacing w:line="379" w:lineRule="auto"/>
        <w:ind w:left="4394" w:right="277"/>
        <w:jc w:val="both"/>
      </w:pPr>
      <w:r>
        <w:rPr>
          <w:b/>
          <w:w w:val="105"/>
        </w:rPr>
        <w:t>Mobiliário urbano</w:t>
      </w:r>
      <w:r>
        <w:rPr>
          <w:w w:val="105"/>
        </w:rPr>
        <w:t>: peças ou equipamentos instalados em meio público, para uso dos cidadãos ou em suporte à infraestrutura</w:t>
      </w:r>
      <w:r>
        <w:rPr>
          <w:spacing w:val="1"/>
          <w:w w:val="105"/>
        </w:rPr>
        <w:t> </w:t>
      </w:r>
      <w:r>
        <w:rPr>
          <w:w w:val="105"/>
        </w:rPr>
        <w:t>urbana;</w:t>
      </w:r>
    </w:p>
    <w:p>
      <w:pPr>
        <w:pStyle w:val="BodyText"/>
        <w:spacing w:before="11"/>
        <w:rPr>
          <w:sz w:val="20"/>
        </w:rPr>
      </w:pPr>
    </w:p>
    <w:p>
      <w:pPr>
        <w:pStyle w:val="BodyText"/>
        <w:spacing w:line="374" w:lineRule="auto"/>
        <w:ind w:left="4394" w:right="276"/>
        <w:jc w:val="both"/>
      </w:pPr>
      <w:r>
        <w:rPr>
          <w:b/>
          <w:w w:val="105"/>
        </w:rPr>
        <w:t>Monumento</w:t>
      </w:r>
      <w:r>
        <w:rPr>
          <w:w w:val="105"/>
        </w:rPr>
        <w:t>: estrutura, edificação ou conjunto arquitetônico, notável pelo valor artístico, pelo porte, pelo significado histórico- cultural ou pela antiguidade;</w:t>
      </w:r>
    </w:p>
    <w:p>
      <w:pPr>
        <w:pStyle w:val="BodyText"/>
        <w:spacing w:before="3"/>
        <w:rPr>
          <w:sz w:val="21"/>
        </w:rPr>
      </w:pPr>
    </w:p>
    <w:p>
      <w:pPr>
        <w:pStyle w:val="BodyText"/>
        <w:spacing w:line="379" w:lineRule="auto"/>
        <w:ind w:left="4394" w:right="275"/>
        <w:jc w:val="both"/>
      </w:pPr>
      <w:r>
        <w:rPr>
          <w:b/>
          <w:w w:val="105"/>
        </w:rPr>
        <w:t>Notificação</w:t>
      </w:r>
      <w:r>
        <w:rPr>
          <w:w w:val="105"/>
        </w:rPr>
        <w:t>: ato administrativo inicial que identifica e comunica o descumprimento da legislação que disciplina o exercício da Arquitetura e Urbanismo, concedendo ao responsável prazo para sua devida regularização, sob pena de originar o auto de infração.</w:t>
      </w:r>
    </w:p>
    <w:p>
      <w:pPr>
        <w:pStyle w:val="BodyText"/>
        <w:rPr>
          <w:sz w:val="21"/>
        </w:rPr>
      </w:pPr>
    </w:p>
    <w:p>
      <w:pPr>
        <w:pStyle w:val="BodyText"/>
        <w:spacing w:line="379" w:lineRule="auto"/>
        <w:ind w:left="4394" w:right="276"/>
        <w:jc w:val="both"/>
      </w:pPr>
      <w:r>
        <w:rPr>
          <w:b/>
          <w:w w:val="105"/>
        </w:rPr>
        <w:t>Orçamento</w:t>
      </w:r>
      <w:r>
        <w:rPr>
          <w:w w:val="105"/>
        </w:rPr>
        <w:t>: atividade técnica que consiste no levantamento de custos de todos os elementos inerentes à elaboração de um projeto ou à execução de um serviço, obra ou instalação no âmbito da Arquitetura e Urbanismo;</w:t>
      </w:r>
    </w:p>
    <w:p>
      <w:pPr>
        <w:spacing w:after="0" w:line="379" w:lineRule="auto"/>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2392"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- 49 -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pStyle w:val="BodyText"/>
        <w:spacing w:line="379" w:lineRule="auto" w:before="100"/>
        <w:ind w:left="4394" w:right="275"/>
        <w:jc w:val="both"/>
      </w:pPr>
      <w:r>
        <w:rPr>
          <w:b/>
          <w:w w:val="105"/>
        </w:rPr>
        <w:t>Padronização</w:t>
      </w:r>
      <w:r>
        <w:rPr>
          <w:w w:val="105"/>
        </w:rPr>
        <w:t>: atividade técnica realizada por profissional habilitado, que consiste na determinação ou estabelecimento de características ou parâmetros, visando à uniformização de processos ou produtos desenvolvidos ou executados por outrem;</w:t>
      </w:r>
    </w:p>
    <w:p>
      <w:pPr>
        <w:pStyle w:val="BodyText"/>
        <w:spacing w:before="11"/>
        <w:rPr>
          <w:sz w:val="20"/>
        </w:rPr>
      </w:pPr>
    </w:p>
    <w:p>
      <w:pPr>
        <w:pStyle w:val="BodyText"/>
        <w:spacing w:line="379" w:lineRule="auto"/>
        <w:ind w:left="4394" w:right="275"/>
        <w:jc w:val="both"/>
      </w:pPr>
      <w:r>
        <w:rPr>
          <w:b/>
          <w:w w:val="105"/>
        </w:rPr>
        <w:t>Parcelamento do Solo</w:t>
      </w:r>
      <w:r>
        <w:rPr>
          <w:w w:val="105"/>
        </w:rPr>
        <w:t>: atividade técnica que consiste na subdivisão de gleba urbana, sob a forma de loteamento ou desmembramento observada às disposições da legislação federal, estaduais e municipais pertinentes;</w:t>
      </w:r>
    </w:p>
    <w:p>
      <w:pPr>
        <w:pStyle w:val="BodyText"/>
        <w:spacing w:before="11"/>
        <w:rPr>
          <w:sz w:val="20"/>
        </w:rPr>
      </w:pPr>
    </w:p>
    <w:p>
      <w:pPr>
        <w:pStyle w:val="BodyText"/>
        <w:spacing w:line="379" w:lineRule="auto"/>
        <w:ind w:left="4394" w:right="274"/>
        <w:jc w:val="both"/>
      </w:pPr>
      <w:r>
        <w:rPr>
          <w:b/>
          <w:w w:val="105"/>
        </w:rPr>
        <w:t>Parecer técnico</w:t>
      </w:r>
      <w:r>
        <w:rPr>
          <w:w w:val="105"/>
        </w:rPr>
        <w:t>: expressão de opinião tecnicamente fundamentada sobre determinado assunto, emitida por profissional legalmente habilitado;</w:t>
      </w:r>
    </w:p>
    <w:p>
      <w:pPr>
        <w:pStyle w:val="BodyText"/>
        <w:spacing w:before="11"/>
        <w:rPr>
          <w:sz w:val="20"/>
        </w:rPr>
      </w:pPr>
    </w:p>
    <w:p>
      <w:pPr>
        <w:pStyle w:val="BodyText"/>
        <w:spacing w:line="374" w:lineRule="auto"/>
        <w:ind w:left="4394" w:right="278"/>
        <w:jc w:val="both"/>
      </w:pPr>
      <w:r>
        <w:rPr>
          <w:b/>
          <w:w w:val="105"/>
        </w:rPr>
        <w:t>Perícia</w:t>
      </w:r>
      <w:r>
        <w:rPr>
          <w:w w:val="105"/>
        </w:rPr>
        <w:t>: atividade que consiste na apuração das causas de determinado evento, na qual o profissional, por conta própria ou a serviço de terceiros, efetua trabalho técnico visando a emissão de conclusão fundamentada;</w:t>
      </w:r>
    </w:p>
    <w:p>
      <w:pPr>
        <w:pStyle w:val="BodyText"/>
        <w:spacing w:before="3"/>
        <w:rPr>
          <w:sz w:val="21"/>
        </w:rPr>
      </w:pPr>
    </w:p>
    <w:p>
      <w:pPr>
        <w:pStyle w:val="BodyText"/>
        <w:spacing w:line="379" w:lineRule="auto"/>
        <w:ind w:left="4394" w:right="277"/>
        <w:jc w:val="both"/>
      </w:pPr>
      <w:r>
        <w:rPr>
          <w:b/>
          <w:w w:val="105"/>
        </w:rPr>
        <w:t>Pesquisa</w:t>
      </w:r>
      <w:r>
        <w:rPr>
          <w:w w:val="105"/>
        </w:rPr>
        <w:t>: atividade que consiste na investigação minuciosa, sistemática e metódica para a elucidação ou o conhecimento dos aspectos técnicos ou científicos de determinado fato, processo ou fenômeno;</w:t>
      </w:r>
    </w:p>
    <w:p>
      <w:pPr>
        <w:pStyle w:val="BodyText"/>
        <w:spacing w:before="11"/>
        <w:rPr>
          <w:sz w:val="20"/>
        </w:rPr>
      </w:pPr>
    </w:p>
    <w:p>
      <w:pPr>
        <w:pStyle w:val="BodyText"/>
        <w:spacing w:line="379" w:lineRule="auto"/>
        <w:ind w:left="4394" w:right="276"/>
        <w:jc w:val="both"/>
      </w:pPr>
      <w:r>
        <w:rPr>
          <w:b/>
          <w:w w:val="105"/>
        </w:rPr>
        <w:t>Planejamento</w:t>
      </w:r>
      <w:r>
        <w:rPr>
          <w:w w:val="105"/>
        </w:rPr>
        <w:t>: atividade que envolve a formulação sistematizada de um conjunto de decisões devidamente integrantes, expressa em objetivos e metas e que explicita os meios disponíveis e/ou necessários para alcançá-los, num dado prazo;</w:t>
      </w:r>
    </w:p>
    <w:p>
      <w:pPr>
        <w:pStyle w:val="BodyText"/>
        <w:spacing w:before="11"/>
        <w:rPr>
          <w:sz w:val="20"/>
        </w:rPr>
      </w:pPr>
    </w:p>
    <w:p>
      <w:pPr>
        <w:pStyle w:val="BodyText"/>
        <w:spacing w:line="379" w:lineRule="auto"/>
        <w:ind w:left="4394" w:right="274"/>
        <w:jc w:val="both"/>
      </w:pPr>
      <w:r>
        <w:rPr>
          <w:b/>
          <w:w w:val="105"/>
        </w:rPr>
        <w:t>Planejamento setorial urbano: </w:t>
      </w:r>
      <w:r>
        <w:rPr>
          <w:w w:val="105"/>
        </w:rPr>
        <w:t>atividade técnica de planejamento voltada para o desenvolvimento local, que é expresso em metas e objetivos de curto e médio prazo e submete-se a constantes revisões, apresentando-se na forma de planos diversos, tais como Planos de Mobilidade, de Habitação, de Saneamento Ambiental etc.</w:t>
      </w:r>
    </w:p>
    <w:p>
      <w:pPr>
        <w:pStyle w:val="BodyText"/>
        <w:spacing w:line="379" w:lineRule="auto" w:before="198"/>
        <w:ind w:left="4394" w:right="274"/>
        <w:jc w:val="both"/>
      </w:pPr>
      <w:r>
        <w:rPr>
          <w:b/>
          <w:w w:val="105"/>
        </w:rPr>
        <w:t>Plano de contingência</w:t>
      </w:r>
      <w:r>
        <w:rPr>
          <w:w w:val="105"/>
        </w:rPr>
        <w:t>: instrumento técnico em que são definidas as responsabilidades estabelecidas em uma organização, contendo informações detalhadas sobre as características da área ou sistemas envolvidos, com o intuito de treinar,  organizar, orientar, facilitar, agilizar e uniformizar as ações necessárias às respostas de controle e combate às ocorrências anormais;</w:t>
      </w:r>
    </w:p>
    <w:p>
      <w:pPr>
        <w:pStyle w:val="BodyText"/>
        <w:rPr>
          <w:sz w:val="21"/>
        </w:rPr>
      </w:pPr>
    </w:p>
    <w:p>
      <w:pPr>
        <w:pStyle w:val="BodyText"/>
        <w:spacing w:line="374" w:lineRule="auto"/>
        <w:ind w:left="4394" w:right="275"/>
        <w:jc w:val="both"/>
      </w:pPr>
      <w:r>
        <w:rPr>
          <w:b/>
          <w:w w:val="105"/>
        </w:rPr>
        <w:t>Plano de Controle Ambiental (PCA)</w:t>
      </w:r>
      <w:r>
        <w:rPr>
          <w:w w:val="105"/>
        </w:rPr>
        <w:t>: instrumento técnico que norteia os programas e ações mitigadoras de projetos executivos para minimização de impactos ambientais avaliados pelo EIA/RIMA de acordo com a legislação;</w:t>
      </w:r>
    </w:p>
    <w:p>
      <w:pPr>
        <w:spacing w:after="0" w:line="374" w:lineRule="auto"/>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2416"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- 50 -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spacing w:line="379" w:lineRule="auto" w:before="100"/>
        <w:ind w:left="4394" w:right="275" w:firstLine="0"/>
        <w:jc w:val="both"/>
        <w:rPr>
          <w:sz w:val="19"/>
        </w:rPr>
      </w:pPr>
      <w:r>
        <w:rPr>
          <w:b/>
          <w:w w:val="105"/>
          <w:sz w:val="19"/>
        </w:rPr>
        <w:t>Plano de Desenvolvimento Integrado do Turismo Sustentável (PDITS)</w:t>
      </w:r>
      <w:r>
        <w:rPr>
          <w:w w:val="105"/>
          <w:sz w:val="19"/>
        </w:rPr>
        <w:t>: instrumento técnico voltado para a promoção do desenvolvimento da atividade turística, orientando investimentos, estratégias e ações, com vistas à melhoria da capacidade de gestão dos polos</w:t>
      </w:r>
      <w:r>
        <w:rPr>
          <w:spacing w:val="4"/>
          <w:w w:val="105"/>
          <w:sz w:val="19"/>
        </w:rPr>
        <w:t> </w:t>
      </w:r>
      <w:r>
        <w:rPr>
          <w:w w:val="105"/>
          <w:sz w:val="19"/>
        </w:rPr>
        <w:t>turísticos;</w:t>
      </w:r>
    </w:p>
    <w:p>
      <w:pPr>
        <w:pStyle w:val="BodyText"/>
        <w:rPr>
          <w:sz w:val="21"/>
        </w:rPr>
      </w:pPr>
    </w:p>
    <w:p>
      <w:pPr>
        <w:pStyle w:val="BodyText"/>
        <w:spacing w:line="379" w:lineRule="auto"/>
        <w:ind w:left="4394" w:right="274"/>
        <w:jc w:val="both"/>
      </w:pPr>
      <w:r>
        <w:rPr>
          <w:b/>
          <w:w w:val="105"/>
        </w:rPr>
        <w:t>Plano de Gerenciamento de Resíduos Sólidos (PGRS)</w:t>
      </w:r>
      <w:r>
        <w:rPr>
          <w:w w:val="105"/>
        </w:rPr>
        <w:t>: </w:t>
      </w:r>
      <w:r>
        <w:rPr>
          <w:b/>
          <w:w w:val="105"/>
        </w:rPr>
        <w:t>i</w:t>
      </w:r>
      <w:r>
        <w:rPr>
          <w:w w:val="105"/>
        </w:rPr>
        <w:t>nstrumento técnico que busca minimizar a geração de resíduos</w:t>
      </w:r>
      <w:r>
        <w:rPr>
          <w:spacing w:val="55"/>
          <w:w w:val="105"/>
        </w:rPr>
        <w:t> </w:t>
      </w:r>
      <w:r>
        <w:rPr>
          <w:w w:val="105"/>
        </w:rPr>
        <w:t>na fonte, adequar a segregação na origem, controlar e reduzir riscos ao meio ambiente e assegurar o correto manuseio e disposição final, em conformidade com a legislação</w:t>
      </w:r>
      <w:r>
        <w:rPr>
          <w:spacing w:val="8"/>
          <w:w w:val="105"/>
        </w:rPr>
        <w:t> </w:t>
      </w:r>
      <w:r>
        <w:rPr>
          <w:w w:val="105"/>
        </w:rPr>
        <w:t>vigente;</w:t>
      </w:r>
    </w:p>
    <w:p>
      <w:pPr>
        <w:pStyle w:val="BodyText"/>
        <w:rPr>
          <w:sz w:val="21"/>
        </w:rPr>
      </w:pPr>
    </w:p>
    <w:p>
      <w:pPr>
        <w:pStyle w:val="BodyText"/>
        <w:spacing w:line="376" w:lineRule="auto"/>
        <w:ind w:left="4394" w:right="274"/>
        <w:jc w:val="both"/>
      </w:pPr>
      <w:r>
        <w:rPr>
          <w:b/>
          <w:w w:val="105"/>
        </w:rPr>
        <w:t>Plano de gestão patrimonial: </w:t>
      </w:r>
      <w:r>
        <w:rPr>
          <w:w w:val="105"/>
        </w:rPr>
        <w:t>instrumento de planejamento integrado para a gestão do patrimônio cultural com enfoque territorial, que não se restringe ao perímetro protegido ou ao conjunto de bens tombados, mas considera a dinâmica urbana e define objetivos, ações e metas com vistas a orientar a atuação integrada do poder público, em suas diferentes instâncias, do setor privado e da sociedade civil organizada;</w:t>
      </w:r>
    </w:p>
    <w:p>
      <w:pPr>
        <w:pStyle w:val="BodyText"/>
        <w:rPr>
          <w:sz w:val="18"/>
        </w:rPr>
      </w:pPr>
    </w:p>
    <w:p>
      <w:pPr>
        <w:pStyle w:val="BodyText"/>
        <w:spacing w:line="376" w:lineRule="auto"/>
        <w:ind w:left="4394" w:right="274"/>
        <w:jc w:val="both"/>
      </w:pPr>
      <w:r>
        <w:rPr>
          <w:b/>
          <w:w w:val="105"/>
        </w:rPr>
        <w:t>Plano de manejo e conservação</w:t>
      </w:r>
      <w:r>
        <w:rPr>
          <w:w w:val="105"/>
        </w:rPr>
        <w:t>: atividade que consiste na elaboração de documento técnico mediante o qual, com fundamento nos objetivos gerais de uma área sujeita a regime especial de proteção, se estabelece o seu zoneamento e as normas que devem presidir o uso da área e o manejo dos recursos naturais, inclusive a implantação das estruturas físicas necessárias à sua gestão;</w:t>
      </w:r>
    </w:p>
    <w:p>
      <w:pPr>
        <w:pStyle w:val="BodyText"/>
        <w:spacing w:before="4"/>
        <w:rPr>
          <w:sz w:val="21"/>
        </w:rPr>
      </w:pPr>
    </w:p>
    <w:p>
      <w:pPr>
        <w:pStyle w:val="BodyText"/>
        <w:spacing w:line="379" w:lineRule="auto"/>
        <w:ind w:left="4394" w:right="275"/>
        <w:jc w:val="both"/>
      </w:pPr>
      <w:r>
        <w:rPr>
          <w:b/>
          <w:w w:val="105"/>
        </w:rPr>
        <w:t>Plano de monitoramento ambiental</w:t>
      </w:r>
      <w:r>
        <w:rPr>
          <w:w w:val="105"/>
        </w:rPr>
        <w:t>: instrumento técnico que consiste em um conjunto de medidas preventivas, de controle e de acompanhamento, com soluções para atenuar ou compensar impactos ambientais adversos gerados ou previsíveis ao sistema ambiental pelas ações de determinado empreendimento;</w:t>
      </w:r>
    </w:p>
    <w:p>
      <w:pPr>
        <w:pStyle w:val="BodyText"/>
        <w:rPr>
          <w:sz w:val="21"/>
        </w:rPr>
      </w:pPr>
    </w:p>
    <w:p>
      <w:pPr>
        <w:pStyle w:val="BodyText"/>
        <w:spacing w:line="379" w:lineRule="auto"/>
        <w:ind w:left="4394" w:right="274"/>
        <w:jc w:val="both"/>
      </w:pPr>
      <w:r>
        <w:rPr>
          <w:b/>
          <w:w w:val="105"/>
        </w:rPr>
        <w:t>Plano de Recuperação de Áreas Degradadas (PRAD</w:t>
      </w:r>
      <w:r>
        <w:rPr>
          <w:w w:val="105"/>
        </w:rPr>
        <w:t>): instrumento técnico que reúne informações, diagnósticos, levantamentos e estudos que permitam a avaliação da degradação ou alteração e a consequente definição de medidas adequadas à recuperação de uma área, em conformidade com a legislação pertinente;</w:t>
      </w:r>
    </w:p>
    <w:p>
      <w:pPr>
        <w:pStyle w:val="BodyText"/>
        <w:spacing w:before="6"/>
        <w:rPr>
          <w:sz w:val="20"/>
        </w:rPr>
      </w:pPr>
    </w:p>
    <w:p>
      <w:pPr>
        <w:pStyle w:val="BodyText"/>
        <w:spacing w:line="379" w:lineRule="auto"/>
        <w:ind w:left="4394" w:right="274"/>
        <w:jc w:val="both"/>
      </w:pPr>
      <w:r>
        <w:rPr>
          <w:b/>
          <w:w w:val="105"/>
        </w:rPr>
        <w:t>Plano Diretor</w:t>
      </w:r>
      <w:r>
        <w:rPr>
          <w:w w:val="105"/>
        </w:rPr>
        <w:t>: instrumento técnico que constitui a base para a política de desenvolvimento e de ordenamento do uso do solo e expansão urbana, da mobilidade e transporte ou da drenagem pluvial, em áreas de município ou em regiões</w:t>
      </w:r>
      <w:r>
        <w:rPr>
          <w:spacing w:val="55"/>
          <w:w w:val="105"/>
        </w:rPr>
        <w:t> </w:t>
      </w:r>
      <w:r>
        <w:rPr>
          <w:w w:val="105"/>
        </w:rPr>
        <w:t>metropolitanas;</w:t>
      </w:r>
    </w:p>
    <w:p>
      <w:pPr>
        <w:spacing w:after="0" w:line="379" w:lineRule="auto"/>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2440"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- 51 -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pStyle w:val="BodyText"/>
        <w:spacing w:line="379" w:lineRule="auto" w:before="100"/>
        <w:ind w:left="4394" w:right="276"/>
        <w:jc w:val="both"/>
      </w:pPr>
      <w:r>
        <w:rPr>
          <w:b/>
          <w:w w:val="105"/>
        </w:rPr>
        <w:t>Preservação</w:t>
      </w:r>
      <w:r>
        <w:rPr>
          <w:w w:val="105"/>
        </w:rPr>
        <w:t>: conjunto de procedimentos e ações organizadas e integradas, objetivando manter a integridade e perenidade de patrimônio edificado, urbanístico ou natural;</w:t>
      </w:r>
    </w:p>
    <w:p>
      <w:pPr>
        <w:pStyle w:val="BodyText"/>
        <w:spacing w:before="11"/>
        <w:rPr>
          <w:sz w:val="20"/>
        </w:rPr>
      </w:pPr>
    </w:p>
    <w:p>
      <w:pPr>
        <w:pStyle w:val="BodyText"/>
        <w:spacing w:line="379" w:lineRule="auto"/>
        <w:ind w:left="4394" w:right="275"/>
        <w:jc w:val="both"/>
      </w:pPr>
      <w:r>
        <w:rPr>
          <w:b/>
          <w:w w:val="105"/>
        </w:rPr>
        <w:t>Produção Técnica ou Especializada</w:t>
      </w:r>
      <w:r>
        <w:rPr>
          <w:w w:val="105"/>
        </w:rPr>
        <w:t>: atividade que o profissional, por conta própria ou a serviço de terceiros, exerce trabalho técnico envolvendo tratamento e/ou transformação de matéria-prima visando gerar produtos acabados ou semiacabados, compreendendo: fabricação de máquinas e equipamentos montagem ou instalações, reparo, adaptação ou reforma de equipamentos e instalações e desenvolvimento de métodos operacionais e de controle de qualidade;</w:t>
      </w:r>
    </w:p>
    <w:p>
      <w:pPr>
        <w:pStyle w:val="BodyText"/>
        <w:rPr>
          <w:sz w:val="21"/>
        </w:rPr>
      </w:pPr>
    </w:p>
    <w:p>
      <w:pPr>
        <w:spacing w:line="376" w:lineRule="auto" w:before="0"/>
        <w:ind w:left="4394" w:right="275" w:firstLine="0"/>
        <w:jc w:val="both"/>
        <w:rPr>
          <w:sz w:val="19"/>
        </w:rPr>
      </w:pPr>
      <w:r>
        <w:rPr>
          <w:b/>
          <w:w w:val="105"/>
          <w:sz w:val="19"/>
        </w:rPr>
        <w:t>Programa de Condições e Meio Ambiente de Trabalho na Indústria da Construção (PCMAT)</w:t>
      </w:r>
      <w:r>
        <w:rPr>
          <w:w w:val="105"/>
          <w:sz w:val="19"/>
        </w:rPr>
        <w:t>: plano que estabelece condições e diretrizes de segurança do trabalho em obras e outras atividades relativas à construção civil, visando garantir, através de ações preventivas, a integridade física e a saúde dos trabalhadores da construção, dos funcionários terceirizados, dos fornecedores, contratantes e dos visitantes;</w:t>
      </w:r>
    </w:p>
    <w:p>
      <w:pPr>
        <w:pStyle w:val="BodyText"/>
        <w:spacing w:before="4"/>
        <w:rPr>
          <w:sz w:val="21"/>
        </w:rPr>
      </w:pPr>
    </w:p>
    <w:p>
      <w:pPr>
        <w:pStyle w:val="BodyText"/>
        <w:spacing w:line="379" w:lineRule="auto"/>
        <w:ind w:left="4394" w:right="277"/>
        <w:jc w:val="both"/>
      </w:pPr>
      <w:r>
        <w:rPr>
          <w:b/>
          <w:w w:val="105"/>
        </w:rPr>
        <w:t>Programa de Gerenciamento de Riscos </w:t>
      </w:r>
      <w:r>
        <w:rPr>
          <w:w w:val="105"/>
        </w:rPr>
        <w:t>(</w:t>
      </w:r>
      <w:r>
        <w:rPr>
          <w:b/>
          <w:w w:val="105"/>
        </w:rPr>
        <w:t>PGR</w:t>
      </w:r>
      <w:r>
        <w:rPr>
          <w:w w:val="105"/>
        </w:rPr>
        <w:t>): formulação e implantação de medidas e procedimentos técnicos e administrativos que têm por objetivo prevenir, reduzir e controlar os riscos, bem como manter uma instalação operando</w:t>
      </w:r>
      <w:r>
        <w:rPr>
          <w:spacing w:val="55"/>
          <w:w w:val="105"/>
        </w:rPr>
        <w:t> </w:t>
      </w:r>
      <w:r>
        <w:rPr>
          <w:w w:val="105"/>
        </w:rPr>
        <w:t>dentro de padrões de segurança considerados toleráveis ao longo de sua vida</w:t>
      </w:r>
      <w:r>
        <w:rPr>
          <w:spacing w:val="9"/>
          <w:w w:val="105"/>
        </w:rPr>
        <w:t> </w:t>
      </w:r>
      <w:r>
        <w:rPr>
          <w:w w:val="105"/>
        </w:rPr>
        <w:t>útil;</w:t>
      </w:r>
    </w:p>
    <w:p>
      <w:pPr>
        <w:pStyle w:val="BodyText"/>
        <w:rPr>
          <w:sz w:val="21"/>
        </w:rPr>
      </w:pPr>
    </w:p>
    <w:p>
      <w:pPr>
        <w:pStyle w:val="BodyText"/>
        <w:spacing w:line="376" w:lineRule="auto"/>
        <w:ind w:left="4394" w:right="276"/>
        <w:jc w:val="both"/>
      </w:pPr>
      <w:r>
        <w:rPr>
          <w:b/>
          <w:w w:val="105"/>
        </w:rPr>
        <w:t>Programa de Prevenção da Exposição Ocupacional ao Benzeno (PPEOB)</w:t>
      </w:r>
      <w:r>
        <w:rPr>
          <w:w w:val="105"/>
        </w:rPr>
        <w:t>: programa que visa à preservação da saúde e da integridade dos trabalhadores, através da antecipação, reconhecimento, avaliação e consequente controle da ocorrência de exposição ao benzeno, que existam ou que venham a existir no ambiente de trabalho, tendo em consideração a proteção do meio ambiente e dos recursos naturais;</w:t>
      </w:r>
    </w:p>
    <w:p>
      <w:pPr>
        <w:pStyle w:val="BodyText"/>
        <w:spacing w:before="4"/>
        <w:rPr>
          <w:sz w:val="21"/>
        </w:rPr>
      </w:pPr>
    </w:p>
    <w:p>
      <w:pPr>
        <w:spacing w:line="379" w:lineRule="auto" w:before="0"/>
        <w:ind w:left="4394" w:right="274" w:firstLine="0"/>
        <w:jc w:val="both"/>
        <w:rPr>
          <w:sz w:val="19"/>
        </w:rPr>
      </w:pPr>
      <w:r>
        <w:rPr>
          <w:b/>
          <w:w w:val="105"/>
          <w:sz w:val="19"/>
        </w:rPr>
        <w:t>Programa de Prevenção de Riscos Ambientais (PPRA)</w:t>
      </w:r>
      <w:r>
        <w:rPr>
          <w:w w:val="105"/>
          <w:sz w:val="19"/>
        </w:rPr>
        <w:t>: programa cujo objetivo principal é identificar e analisar os riscos ambientais aos quais os empregados estão expostos, além de fornecer meios de controle e proteção eficaz;</w:t>
      </w:r>
    </w:p>
    <w:p>
      <w:pPr>
        <w:pStyle w:val="BodyText"/>
        <w:spacing w:before="11"/>
        <w:rPr>
          <w:sz w:val="20"/>
        </w:rPr>
      </w:pPr>
    </w:p>
    <w:p>
      <w:pPr>
        <w:pStyle w:val="BodyText"/>
        <w:spacing w:line="379" w:lineRule="auto"/>
        <w:ind w:left="4394" w:right="274"/>
        <w:jc w:val="both"/>
      </w:pPr>
      <w:r>
        <w:rPr>
          <w:b/>
          <w:w w:val="105"/>
        </w:rPr>
        <w:t>Projeto</w:t>
      </w:r>
      <w:r>
        <w:rPr>
          <w:w w:val="105"/>
        </w:rPr>
        <w:t>: criação do espírito, documentada através de representação gráfica ou escrita de modo a permitir sua materialização, podendo referir-se a uma obra ou instalação, a ser realizada através de princípios técnicos e científicos, visando à consecução de um objetivo ou meta e adequando-se aos recursos disponíveis e às alternativas que conduzem à viabilidade de sua</w:t>
      </w:r>
      <w:r>
        <w:rPr>
          <w:spacing w:val="2"/>
          <w:w w:val="105"/>
        </w:rPr>
        <w:t> </w:t>
      </w:r>
      <w:r>
        <w:rPr>
          <w:w w:val="105"/>
        </w:rPr>
        <w:t>execução;</w:t>
      </w:r>
    </w:p>
    <w:p>
      <w:pPr>
        <w:spacing w:after="0" w:line="379" w:lineRule="auto"/>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2464"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- 52 -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pStyle w:val="BodyText"/>
        <w:spacing w:line="379" w:lineRule="auto" w:before="100"/>
        <w:ind w:left="4394" w:right="276"/>
        <w:jc w:val="both"/>
      </w:pPr>
      <w:r>
        <w:rPr>
          <w:b/>
          <w:w w:val="105"/>
        </w:rPr>
        <w:t>Projeto de consolidação</w:t>
      </w:r>
      <w:r>
        <w:rPr>
          <w:w w:val="105"/>
        </w:rPr>
        <w:t>: atividade técnica que consiste em um grupo de medidas para deter o processo de deterioração ou para recuperar lesões estruturais de um edifício, conjunto ou monumento arquitetônico;</w:t>
      </w:r>
    </w:p>
    <w:p>
      <w:pPr>
        <w:pStyle w:val="BodyText"/>
        <w:spacing w:before="11"/>
        <w:rPr>
          <w:sz w:val="20"/>
        </w:rPr>
      </w:pPr>
    </w:p>
    <w:p>
      <w:pPr>
        <w:pStyle w:val="BodyText"/>
        <w:spacing w:line="379" w:lineRule="auto"/>
        <w:ind w:left="4394" w:right="275"/>
        <w:jc w:val="both"/>
      </w:pPr>
      <w:r>
        <w:rPr>
          <w:b/>
          <w:w w:val="105"/>
        </w:rPr>
        <w:t>Projeto de estabilização</w:t>
      </w:r>
      <w:r>
        <w:rPr>
          <w:w w:val="105"/>
        </w:rPr>
        <w:t>: atividade técnica que consiste em um grupo de medidas para restituir o equilíbrio estrutural de determinado edifício, conjunto ou monumento arquitetônico;</w:t>
      </w:r>
    </w:p>
    <w:p>
      <w:pPr>
        <w:pStyle w:val="BodyText"/>
        <w:spacing w:before="11"/>
        <w:rPr>
          <w:sz w:val="20"/>
        </w:rPr>
      </w:pPr>
    </w:p>
    <w:p>
      <w:pPr>
        <w:pStyle w:val="BodyText"/>
        <w:spacing w:line="379" w:lineRule="auto"/>
        <w:ind w:left="4394" w:right="273"/>
        <w:jc w:val="both"/>
      </w:pPr>
      <w:r>
        <w:rPr>
          <w:b/>
          <w:w w:val="105"/>
        </w:rPr>
        <w:t>Projeto de requalificação</w:t>
      </w:r>
      <w:r>
        <w:rPr>
          <w:w w:val="105"/>
        </w:rPr>
        <w:t>: atividade técnica que consiste em elaborar proposta de recuperação de espaço edificado, urbanístico ou paisagístico usualmente para a mesma função;</w:t>
      </w:r>
    </w:p>
    <w:p>
      <w:pPr>
        <w:pStyle w:val="BodyText"/>
        <w:spacing w:before="11"/>
        <w:rPr>
          <w:sz w:val="20"/>
        </w:rPr>
      </w:pPr>
    </w:p>
    <w:p>
      <w:pPr>
        <w:pStyle w:val="BodyText"/>
        <w:spacing w:line="376" w:lineRule="auto"/>
        <w:ind w:left="4394" w:right="275"/>
        <w:jc w:val="both"/>
      </w:pPr>
      <w:r>
        <w:rPr>
          <w:b/>
          <w:w w:val="105"/>
        </w:rPr>
        <w:t>Projeto de conversão funcional</w:t>
      </w:r>
      <w:r>
        <w:rPr>
          <w:w w:val="105"/>
        </w:rPr>
        <w:t>: atividade técnica que consiste na reutilização de um edifício, conjunto ou monumento arquitetônico, através da alteração do uso original, considerando suas características essenciais para garantir funções apropriadas ao espaço objeto de restauração, conservação ou preservação;</w:t>
      </w:r>
    </w:p>
    <w:p>
      <w:pPr>
        <w:pStyle w:val="BodyText"/>
        <w:spacing w:before="1"/>
        <w:rPr>
          <w:sz w:val="21"/>
        </w:rPr>
      </w:pPr>
    </w:p>
    <w:p>
      <w:pPr>
        <w:pStyle w:val="BodyText"/>
        <w:spacing w:line="379" w:lineRule="auto"/>
        <w:ind w:left="4394" w:right="275"/>
        <w:jc w:val="both"/>
      </w:pPr>
      <w:r>
        <w:rPr>
          <w:b/>
          <w:w w:val="105"/>
        </w:rPr>
        <w:t>Projeto de restauração</w:t>
      </w:r>
      <w:r>
        <w:rPr>
          <w:w w:val="105"/>
        </w:rPr>
        <w:t>: atividade técnica que consiste em recuperar ou reintegrar, em parte ou no todo, os elementos de</w:t>
      </w:r>
      <w:r>
        <w:rPr>
          <w:spacing w:val="55"/>
          <w:w w:val="105"/>
        </w:rPr>
        <w:t> </w:t>
      </w:r>
      <w:r>
        <w:rPr>
          <w:w w:val="105"/>
        </w:rPr>
        <w:t>um edifício, conjunto ou monumento arquitetônico, por meio das diversas formas de intervenção física, de caráter técnico e científico, que visem a sua</w:t>
      </w:r>
      <w:r>
        <w:rPr>
          <w:spacing w:val="6"/>
          <w:w w:val="105"/>
        </w:rPr>
        <w:t> </w:t>
      </w:r>
      <w:r>
        <w:rPr>
          <w:w w:val="105"/>
        </w:rPr>
        <w:t>preservação;</w:t>
      </w:r>
    </w:p>
    <w:p>
      <w:pPr>
        <w:pStyle w:val="BodyText"/>
        <w:rPr>
          <w:sz w:val="21"/>
        </w:rPr>
      </w:pPr>
    </w:p>
    <w:p>
      <w:pPr>
        <w:pStyle w:val="BodyText"/>
        <w:spacing w:line="379" w:lineRule="auto"/>
        <w:ind w:left="4394" w:right="274"/>
        <w:jc w:val="both"/>
      </w:pPr>
      <w:r>
        <w:rPr>
          <w:b/>
          <w:w w:val="105"/>
        </w:rPr>
        <w:t>Prospecção</w:t>
      </w:r>
      <w:r>
        <w:rPr>
          <w:w w:val="105"/>
        </w:rPr>
        <w:t>: atividade que consiste na utilização do conjunto de técnicas relativas à pesquisa arqueológica e construtiva relacionadas ao âmbito de atuação da Arquitetura e Urbanismo;</w:t>
      </w:r>
    </w:p>
    <w:p>
      <w:pPr>
        <w:pStyle w:val="BodyText"/>
        <w:spacing w:before="11"/>
        <w:rPr>
          <w:sz w:val="20"/>
        </w:rPr>
      </w:pPr>
    </w:p>
    <w:p>
      <w:pPr>
        <w:pStyle w:val="BodyText"/>
        <w:spacing w:line="379" w:lineRule="auto"/>
        <w:ind w:left="4394" w:right="275"/>
        <w:jc w:val="both"/>
      </w:pPr>
      <w:r>
        <w:rPr>
          <w:b/>
          <w:w w:val="105"/>
        </w:rPr>
        <w:t>Relatório Ambiental Simplificado (RAS)</w:t>
      </w:r>
      <w:r>
        <w:rPr>
          <w:w w:val="105"/>
        </w:rPr>
        <w:t>: instrumento técnico que consiste no estudo dos aspectos ambientais relacionados à localização, instalação, operação e ampliação de uma atividade ou empreendimento, apresentado como subsídio para a concessão da licença prévia requerida, o qual deverá conter, dentre outras, as informações relativas ao  diagnóstico ambiental da região de inserção do referido empreendimento, sua caracterização, a identificação dos aspectos ambientais e das medidas de controle, de mitigação e de</w:t>
      </w:r>
      <w:r>
        <w:rPr>
          <w:spacing w:val="7"/>
          <w:w w:val="105"/>
        </w:rPr>
        <w:t> </w:t>
      </w:r>
      <w:r>
        <w:rPr>
          <w:w w:val="105"/>
        </w:rPr>
        <w:t>compensação;</w:t>
      </w:r>
    </w:p>
    <w:p>
      <w:pPr>
        <w:pStyle w:val="BodyText"/>
        <w:spacing w:before="7"/>
        <w:rPr>
          <w:sz w:val="20"/>
        </w:rPr>
      </w:pPr>
    </w:p>
    <w:p>
      <w:pPr>
        <w:pStyle w:val="BodyText"/>
        <w:spacing w:line="379" w:lineRule="auto"/>
        <w:ind w:left="4394" w:right="274"/>
        <w:jc w:val="both"/>
      </w:pPr>
      <w:r>
        <w:rPr>
          <w:b/>
          <w:w w:val="105"/>
        </w:rPr>
        <w:t>Relatório de Controle Ambiental </w:t>
      </w:r>
      <w:r>
        <w:rPr>
          <w:w w:val="105"/>
        </w:rPr>
        <w:t>(</w:t>
      </w:r>
      <w:r>
        <w:rPr>
          <w:b/>
          <w:w w:val="105"/>
        </w:rPr>
        <w:t>RCA): </w:t>
      </w:r>
      <w:r>
        <w:rPr>
          <w:w w:val="105"/>
        </w:rPr>
        <w:t>instrumento técnico a ser apresentado no licenciamento de empreendimentos ou de atividades que fazem uso de recursos ambientais, e que é utilizado nos casos em que a legislação permite a dispensa do EIA/RIMA;</w:t>
      </w:r>
    </w:p>
    <w:p>
      <w:pPr>
        <w:spacing w:after="0" w:line="379" w:lineRule="auto"/>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2488"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- 53 -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spacing w:line="379" w:lineRule="auto" w:before="100"/>
        <w:ind w:left="4394" w:right="279" w:firstLine="0"/>
        <w:jc w:val="both"/>
        <w:rPr>
          <w:sz w:val="19"/>
        </w:rPr>
      </w:pPr>
      <w:r>
        <w:rPr>
          <w:b/>
          <w:w w:val="105"/>
          <w:sz w:val="19"/>
        </w:rPr>
        <w:t>Relatório de Impacto no Meio Ambiente (RIMA)</w:t>
      </w:r>
      <w:r>
        <w:rPr>
          <w:w w:val="105"/>
          <w:sz w:val="19"/>
        </w:rPr>
        <w:t>: instrumento técnico que reflete as conclusões do estudo de impacto ambiental (EIA), devendo ser elaborado após a implantação do empreendimento;</w:t>
      </w:r>
    </w:p>
    <w:p>
      <w:pPr>
        <w:pStyle w:val="BodyText"/>
        <w:spacing w:before="11"/>
        <w:rPr>
          <w:sz w:val="20"/>
        </w:rPr>
      </w:pPr>
    </w:p>
    <w:p>
      <w:pPr>
        <w:pStyle w:val="BodyText"/>
        <w:spacing w:line="379" w:lineRule="auto"/>
        <w:ind w:left="4394" w:right="273"/>
        <w:jc w:val="both"/>
      </w:pPr>
      <w:r>
        <w:rPr>
          <w:b/>
          <w:w w:val="105"/>
        </w:rPr>
        <w:t>Região Integrada de Desenvolvimento </w:t>
      </w:r>
      <w:r>
        <w:rPr>
          <w:w w:val="105"/>
        </w:rPr>
        <w:t>(</w:t>
      </w:r>
      <w:r>
        <w:rPr>
          <w:b/>
          <w:w w:val="105"/>
        </w:rPr>
        <w:t>RIDE): </w:t>
      </w:r>
      <w:r>
        <w:rPr>
          <w:w w:val="105"/>
        </w:rPr>
        <w:t>região metropolitana que se situa em mais de uma Unidade da Federação, criada por legislação federal específica, que delimita os municípios que a integram e fixa as competências assumidas pelo colegiado dos mesmos;</w:t>
      </w:r>
    </w:p>
    <w:p>
      <w:pPr>
        <w:pStyle w:val="BodyText"/>
        <w:rPr>
          <w:sz w:val="21"/>
        </w:rPr>
      </w:pPr>
    </w:p>
    <w:p>
      <w:pPr>
        <w:pStyle w:val="BodyText"/>
        <w:spacing w:line="379" w:lineRule="auto"/>
        <w:ind w:left="4394" w:right="276"/>
        <w:jc w:val="both"/>
      </w:pPr>
      <w:r>
        <w:rPr>
          <w:b/>
          <w:w w:val="105"/>
        </w:rPr>
        <w:t>Recuperação paisagística</w:t>
      </w:r>
      <w:r>
        <w:rPr>
          <w:w w:val="105"/>
        </w:rPr>
        <w:t>: atividade técnica de projeto ou execução que consiste na recomposição de um ecossistema degradado, que pode resultar diferente de sua condição original;</w:t>
      </w:r>
    </w:p>
    <w:p>
      <w:pPr>
        <w:pStyle w:val="BodyText"/>
        <w:spacing w:before="6"/>
        <w:rPr>
          <w:sz w:val="20"/>
        </w:rPr>
      </w:pPr>
    </w:p>
    <w:p>
      <w:pPr>
        <w:pStyle w:val="BodyText"/>
        <w:spacing w:line="379" w:lineRule="auto"/>
        <w:ind w:left="4394" w:right="274"/>
        <w:jc w:val="both"/>
      </w:pPr>
      <w:r>
        <w:rPr>
          <w:b/>
          <w:w w:val="105"/>
        </w:rPr>
        <w:t>Registro da evolução do edifício</w:t>
      </w:r>
      <w:r>
        <w:rPr>
          <w:w w:val="105"/>
        </w:rPr>
        <w:t>: atividade técnica que consiste na elaboração de documentação histórica de determinado edifício, identificando as características arquitetônicas e sua contextualização, bem como os usos e as intervenções, ou indícios de intervenções, impetradas ao longo do tempo;</w:t>
      </w:r>
    </w:p>
    <w:p>
      <w:pPr>
        <w:pStyle w:val="BodyText"/>
        <w:spacing w:before="11"/>
        <w:rPr>
          <w:sz w:val="20"/>
        </w:rPr>
      </w:pPr>
    </w:p>
    <w:p>
      <w:pPr>
        <w:pStyle w:val="BodyText"/>
        <w:spacing w:line="379" w:lineRule="auto"/>
        <w:ind w:left="4394" w:right="275"/>
        <w:jc w:val="both"/>
      </w:pPr>
      <w:r>
        <w:rPr>
          <w:b/>
          <w:w w:val="105"/>
        </w:rPr>
        <w:t>Regularização fundiária</w:t>
      </w:r>
      <w:r>
        <w:rPr>
          <w:w w:val="105"/>
        </w:rPr>
        <w:t>: atividade técnica que consiste em um conjunto de medidas jurídicas, urbanísticas, ambientais e sociais que visam à regularização de assentamentos irregulares e à titulação de seus ocupantes, de modo a garantir o direito social à moradia, o pleno desenvolvimento das funções sociais da propriedade urbana e o direito ao meio ambiente ecologicamente equilibrado;</w:t>
      </w:r>
    </w:p>
    <w:p>
      <w:pPr>
        <w:pStyle w:val="BodyText"/>
        <w:rPr>
          <w:sz w:val="21"/>
        </w:rPr>
      </w:pPr>
    </w:p>
    <w:p>
      <w:pPr>
        <w:pStyle w:val="BodyText"/>
        <w:spacing w:line="374" w:lineRule="auto"/>
        <w:ind w:left="4394" w:right="275"/>
        <w:jc w:val="both"/>
      </w:pPr>
      <w:r>
        <w:rPr>
          <w:b/>
          <w:w w:val="105"/>
        </w:rPr>
        <w:t>Remembramento</w:t>
      </w:r>
      <w:r>
        <w:rPr>
          <w:w w:val="105"/>
        </w:rPr>
        <w:t>: atividade técnica que consiste no reagrupamento de lotes vizinhos em lote edificável para fins urbanos com aproveitamento do sistema viário existente, não implicando na obrigatoriedade de abertura de novas vias públicas;</w:t>
      </w:r>
    </w:p>
    <w:p>
      <w:pPr>
        <w:pStyle w:val="BodyText"/>
        <w:spacing w:before="3"/>
        <w:rPr>
          <w:sz w:val="21"/>
        </w:rPr>
      </w:pPr>
    </w:p>
    <w:p>
      <w:pPr>
        <w:pStyle w:val="BodyText"/>
        <w:spacing w:line="379" w:lineRule="auto" w:before="1"/>
        <w:ind w:left="4394" w:right="274"/>
        <w:jc w:val="both"/>
      </w:pPr>
      <w:r>
        <w:rPr>
          <w:b/>
          <w:w w:val="105"/>
        </w:rPr>
        <w:t>Sinalização viária</w:t>
      </w:r>
      <w:r>
        <w:rPr>
          <w:w w:val="105"/>
        </w:rPr>
        <w:t>: atividade técnica de projeto ou execução que consiste na demarcação do sistema de sinalização de trânsito vertical e horizontal no âmbito urbano;</w:t>
      </w:r>
    </w:p>
    <w:p>
      <w:pPr>
        <w:pStyle w:val="BodyText"/>
        <w:spacing w:before="10"/>
        <w:rPr>
          <w:sz w:val="20"/>
        </w:rPr>
      </w:pPr>
    </w:p>
    <w:p>
      <w:pPr>
        <w:pStyle w:val="BodyText"/>
        <w:spacing w:line="379" w:lineRule="auto"/>
        <w:ind w:left="4394" w:right="275"/>
        <w:jc w:val="both"/>
      </w:pPr>
      <w:r>
        <w:rPr>
          <w:b/>
          <w:w w:val="105"/>
        </w:rPr>
        <w:t>Sistemas prediais de proteção contra incêndios e catástrofes</w:t>
      </w:r>
      <w:r>
        <w:rPr>
          <w:w w:val="105"/>
        </w:rPr>
        <w:t>: atividade técnica de projeto ou execução de sistemas de proteção contra incêndio e pânico das edificações, incluindo extintores de incêndio, sinalização de segurança contra incêndio e pânico, saídas de emergência, iluminação de emergência e área de refúgio;</w:t>
      </w:r>
    </w:p>
    <w:p>
      <w:pPr>
        <w:spacing w:after="0" w:line="379" w:lineRule="auto"/>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2536"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- 54 -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pStyle w:val="BodyText"/>
        <w:spacing w:line="379" w:lineRule="auto" w:before="100"/>
        <w:ind w:left="4394" w:right="275"/>
        <w:jc w:val="both"/>
      </w:pPr>
      <w:r>
        <w:rPr>
          <w:b/>
          <w:w w:val="105"/>
        </w:rPr>
        <w:t>Supervisão de obra ou serviço técnico</w:t>
      </w:r>
      <w:r>
        <w:rPr>
          <w:w w:val="105"/>
        </w:rPr>
        <w:t>: atividade de acompanhar, analisar e avaliar, a partir de uma posição hierarquicamente superior, o desempenho dos responsáveis pela elaboração de projeto ou execução de obra ou instalação no âmbito da Arquitetura e</w:t>
      </w:r>
      <w:r>
        <w:rPr>
          <w:spacing w:val="6"/>
          <w:w w:val="105"/>
        </w:rPr>
        <w:t> </w:t>
      </w:r>
      <w:r>
        <w:rPr>
          <w:w w:val="105"/>
        </w:rPr>
        <w:t>Urbanismo;</w:t>
      </w:r>
    </w:p>
    <w:p>
      <w:pPr>
        <w:pStyle w:val="BodyText"/>
        <w:rPr>
          <w:sz w:val="21"/>
        </w:rPr>
      </w:pPr>
    </w:p>
    <w:p>
      <w:pPr>
        <w:pStyle w:val="BodyText"/>
        <w:spacing w:line="379" w:lineRule="auto"/>
        <w:ind w:left="4394" w:right="276"/>
        <w:jc w:val="both"/>
      </w:pPr>
      <w:r>
        <w:rPr>
          <w:b/>
          <w:w w:val="105"/>
        </w:rPr>
        <w:t>Treinamento</w:t>
      </w:r>
      <w:r>
        <w:rPr>
          <w:w w:val="105"/>
        </w:rPr>
        <w:t>: atividade técnica cuja finalidade consiste na transmissão de competências, habilidades e destrezas por meio de atividades</w:t>
      </w:r>
      <w:r>
        <w:rPr>
          <w:spacing w:val="2"/>
          <w:w w:val="105"/>
        </w:rPr>
        <w:t> </w:t>
      </w:r>
      <w:r>
        <w:rPr>
          <w:w w:val="105"/>
        </w:rPr>
        <w:t>práticas;</w:t>
      </w:r>
    </w:p>
    <w:p>
      <w:pPr>
        <w:pStyle w:val="BodyText"/>
        <w:spacing w:before="11"/>
        <w:rPr>
          <w:sz w:val="20"/>
        </w:rPr>
      </w:pPr>
    </w:p>
    <w:p>
      <w:pPr>
        <w:pStyle w:val="BodyText"/>
        <w:spacing w:line="379" w:lineRule="auto"/>
        <w:ind w:left="4394" w:right="277"/>
        <w:jc w:val="both"/>
      </w:pPr>
      <w:r>
        <w:rPr>
          <w:b/>
          <w:w w:val="105"/>
        </w:rPr>
        <w:t>Vistoria</w:t>
      </w:r>
      <w:r>
        <w:rPr>
          <w:w w:val="105"/>
        </w:rPr>
        <w:t>: atividade que envolve a constatação de um fato, mediante exame circunstanciado e descrição minuciosa dos elementos que o constituem, sem a indagação das causas que o motivaram;</w:t>
      </w:r>
    </w:p>
    <w:p>
      <w:pPr>
        <w:pStyle w:val="BodyText"/>
        <w:spacing w:before="6"/>
        <w:rPr>
          <w:sz w:val="20"/>
        </w:rPr>
      </w:pPr>
    </w:p>
    <w:p>
      <w:pPr>
        <w:pStyle w:val="BodyText"/>
        <w:spacing w:line="379" w:lineRule="auto"/>
        <w:ind w:left="4394" w:right="276"/>
        <w:jc w:val="both"/>
      </w:pPr>
      <w:r>
        <w:rPr>
          <w:b/>
          <w:w w:val="105"/>
        </w:rPr>
        <w:t>Zoneamento</w:t>
      </w:r>
      <w:r>
        <w:rPr>
          <w:w w:val="105"/>
        </w:rPr>
        <w:t>: atividade técnica que consiste na divisão de um espaço ou território em zonas, fixando as condições de uso e ocupação.</w:t>
      </w:r>
    </w:p>
    <w:p>
      <w:pPr>
        <w:pStyle w:val="BodyText"/>
        <w:spacing w:before="2"/>
        <w:rPr>
          <w:sz w:val="17"/>
        </w:rPr>
      </w:pPr>
      <w:r>
        <w:rPr/>
        <w:pict>
          <v:rect style="position:absolute;margin-left:225.360001pt;margin-top:11.841153pt;width:561.12pt;height:11.52002pt;mso-position-horizontal-relative:page;mso-position-vertical-relative:paragraph;z-index:464;mso-wrap-distance-left:0;mso-wrap-distance-right:0" filled="true" fillcolor="#00666d" stroked="false">
            <v:fill type="solid"/>
            <w10:wrap type="topAndBottom"/>
          </v:rect>
        </w:pict>
      </w:r>
    </w:p>
    <w:p>
      <w:pPr>
        <w:spacing w:after="0"/>
        <w:rPr>
          <w:sz w:val="17"/>
        </w:rPr>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2584" type="#_x0000_t202" filled="true" fillcolor="#00666d" stroked="false">
            <v:textbox inset="0,0,0,0">
              <w:txbxContent>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spacing w:before="126"/>
                    <w:ind w:left="1263" w:right="1394"/>
                    <w:jc w:val="center"/>
                  </w:pPr>
                  <w:r>
                    <w:rPr>
                      <w:color w:val="FFFFFF"/>
                      <w:w w:val="105"/>
                    </w:rPr>
                    <w:t>- 55 -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rPr>
          <w:rFonts w:ascii="DaxCondensed"/>
          <w:sz w:val="20"/>
        </w:rPr>
      </w:pPr>
    </w:p>
    <w:p>
      <w:pPr>
        <w:pStyle w:val="Heading3"/>
        <w:numPr>
          <w:ilvl w:val="1"/>
          <w:numId w:val="31"/>
        </w:numPr>
        <w:tabs>
          <w:tab w:pos="5114" w:val="left" w:leader="none"/>
          <w:tab w:pos="5115" w:val="left" w:leader="none"/>
          <w:tab w:pos="15589" w:val="left" w:leader="none"/>
        </w:tabs>
        <w:spacing w:line="240" w:lineRule="auto" w:before="231" w:after="0"/>
        <w:ind w:left="5114" w:right="0" w:hanging="720"/>
        <w:jc w:val="left"/>
        <w:rPr>
          <w:color w:val="FFFFFF"/>
        </w:rPr>
      </w:pPr>
      <w:bookmarkStart w:name="_TOC_250002" w:id="15"/>
      <w:bookmarkEnd w:id="15"/>
      <w:r>
        <w:rPr>
          <w:color w:val="FFFFFF"/>
          <w:shd w:fill="00666D" w:color="auto" w:val="clear"/>
        </w:rPr>
        <w:t>Formulários</w:t>
        <w:tab/>
      </w:r>
    </w:p>
    <w:p>
      <w:pPr>
        <w:pStyle w:val="BodyText"/>
        <w:rPr>
          <w:rFonts w:ascii="DaxCondensed"/>
          <w:sz w:val="20"/>
        </w:rPr>
      </w:pPr>
    </w:p>
    <w:p>
      <w:pPr>
        <w:pStyle w:val="BodyText"/>
        <w:rPr>
          <w:rFonts w:ascii="DaxCondensed"/>
          <w:sz w:val="20"/>
        </w:rPr>
      </w:pPr>
    </w:p>
    <w:p>
      <w:pPr>
        <w:pStyle w:val="BodyText"/>
        <w:rPr>
          <w:rFonts w:ascii="DaxCondensed"/>
          <w:sz w:val="20"/>
        </w:rPr>
      </w:pPr>
    </w:p>
    <w:p>
      <w:pPr>
        <w:pStyle w:val="BodyText"/>
        <w:rPr>
          <w:rFonts w:ascii="DaxCondensed"/>
          <w:sz w:val="20"/>
        </w:rPr>
      </w:pPr>
    </w:p>
    <w:p>
      <w:pPr>
        <w:pStyle w:val="BodyText"/>
        <w:spacing w:before="9"/>
        <w:rPr>
          <w:rFonts w:ascii="DaxCondensed"/>
          <w:sz w:val="22"/>
        </w:rPr>
      </w:pPr>
      <w:r>
        <w:rPr/>
        <w:drawing>
          <wp:anchor distT="0" distB="0" distL="0" distR="0" allowOverlap="1" layoutInCell="1" locked="0" behindDoc="0" simplePos="0" relativeHeight="64">
            <wp:simplePos x="0" y="0"/>
            <wp:positionH relativeFrom="page">
              <wp:posOffset>4209288</wp:posOffset>
            </wp:positionH>
            <wp:positionV relativeFrom="paragraph">
              <wp:posOffset>186959</wp:posOffset>
            </wp:positionV>
            <wp:extent cx="4131653" cy="5403246"/>
            <wp:effectExtent l="0" t="0" r="0" b="0"/>
            <wp:wrapTopAndBottom/>
            <wp:docPr id="3" name="image4.png" descr=""/>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4131653" cy="5403246"/>
                    </a:xfrm>
                    <a:prstGeom prst="rect">
                      <a:avLst/>
                    </a:prstGeom>
                  </pic:spPr>
                </pic:pic>
              </a:graphicData>
            </a:graphic>
          </wp:anchor>
        </w:drawing>
      </w:r>
    </w:p>
    <w:p>
      <w:pPr>
        <w:spacing w:after="0"/>
        <w:rPr>
          <w:rFonts w:ascii="DaxCondensed"/>
          <w:sz w:val="22"/>
        </w:rPr>
        <w:sectPr>
          <w:pgSz w:w="16840" w:h="11900" w:orient="landscape"/>
          <w:pgMar w:top="240" w:bottom="0" w:left="140" w:right="860"/>
        </w:sectPr>
      </w:pPr>
    </w:p>
    <w:p>
      <w:pPr>
        <w:pStyle w:val="BodyText"/>
        <w:rPr>
          <w:rFonts w:ascii="DaxCondensed"/>
          <w:sz w:val="20"/>
        </w:rPr>
      </w:pPr>
      <w:r>
        <w:rPr/>
        <w:pict>
          <v:shape style="position:absolute;margin-left:12pt;margin-top:12pt;width:158.2pt;height:571pt;mso-position-horizontal-relative:page;mso-position-vertical-relative:page;z-index:2608" type="#_x0000_t202" filled="true" fillcolor="#00666d" stroked="false">
            <v:textbox inset="0,0,0,0">
              <w:txbxContent>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spacing w:before="2"/>
                    <w:rPr>
                      <w:rFonts w:ascii="DaxCondensed-Black"/>
                      <w:b/>
                      <w:sz w:val="32"/>
                    </w:rPr>
                  </w:pPr>
                </w:p>
                <w:p>
                  <w:pPr>
                    <w:pStyle w:val="BodyText"/>
                    <w:ind w:left="1263" w:right="1394"/>
                    <w:jc w:val="center"/>
                  </w:pPr>
                  <w:r>
                    <w:rPr>
                      <w:color w:val="FFFFFF"/>
                      <w:w w:val="105"/>
                    </w:rPr>
                    <w:t>- 56 -</w:t>
                  </w:r>
                </w:p>
              </w:txbxContent>
            </v:textbox>
            <v:fill type="solid"/>
            <w10:wrap type="none"/>
          </v:shape>
        </w:pict>
      </w:r>
    </w:p>
    <w:p>
      <w:pPr>
        <w:pStyle w:val="BodyText"/>
        <w:rPr>
          <w:rFonts w:ascii="DaxCondensed"/>
          <w:sz w:val="23"/>
        </w:rPr>
      </w:pPr>
    </w:p>
    <w:p>
      <w:pPr>
        <w:spacing w:before="0"/>
        <w:ind w:left="7115" w:right="0" w:firstLine="0"/>
        <w:jc w:val="left"/>
        <w:rPr>
          <w:rFonts w:ascii="DaxCondensed" w:hAnsi="DaxCondensed"/>
          <w:sz w:val="24"/>
        </w:rPr>
      </w:pPr>
      <w:r>
        <w:rPr>
          <w:rFonts w:ascii="DaxCondensed" w:hAnsi="DaxCondensed"/>
          <w:color w:val="00666D"/>
          <w:sz w:val="24"/>
        </w:rPr>
        <w:t>- Manual de Fiscalização do Exercício da Arquitetura e Urbanismo -</w:t>
      </w:r>
    </w:p>
    <w:p>
      <w:pPr>
        <w:pStyle w:val="BodyText"/>
        <w:rPr>
          <w:rFonts w:ascii="DaxCondensed"/>
          <w:sz w:val="20"/>
        </w:rPr>
      </w:pPr>
    </w:p>
    <w:p>
      <w:pPr>
        <w:pStyle w:val="Heading2"/>
        <w:numPr>
          <w:ilvl w:val="2"/>
          <w:numId w:val="31"/>
        </w:numPr>
        <w:tabs>
          <w:tab w:pos="5103" w:val="left" w:leader="none"/>
        </w:tabs>
        <w:spacing w:line="240" w:lineRule="auto" w:before="212" w:after="0"/>
        <w:ind w:left="5102" w:right="0" w:hanging="720"/>
        <w:jc w:val="left"/>
      </w:pPr>
      <w:bookmarkStart w:name="_TOC_250001" w:id="16"/>
      <w:r>
        <w:rPr>
          <w:color w:val="00666D"/>
        </w:rPr>
        <w:t>Comunicação de</w:t>
      </w:r>
      <w:r>
        <w:rPr>
          <w:color w:val="00666D"/>
          <w:spacing w:val="-1"/>
        </w:rPr>
        <w:t> </w:t>
      </w:r>
      <w:bookmarkEnd w:id="16"/>
      <w:r>
        <w:rPr>
          <w:color w:val="00666D"/>
        </w:rPr>
        <w:t>Visita</w:t>
      </w:r>
    </w:p>
    <w:p>
      <w:pPr>
        <w:pStyle w:val="BodyText"/>
        <w:rPr>
          <w:rFonts w:ascii="DaxCondensed-Black"/>
          <w:b/>
          <w:sz w:val="32"/>
        </w:rPr>
      </w:pPr>
    </w:p>
    <w:p>
      <w:pPr>
        <w:pStyle w:val="BodyText"/>
        <w:rPr>
          <w:rFonts w:ascii="DaxCondensed-Black"/>
          <w:b/>
          <w:sz w:val="32"/>
        </w:rPr>
      </w:pPr>
    </w:p>
    <w:p>
      <w:pPr>
        <w:pStyle w:val="BodyText"/>
        <w:rPr>
          <w:rFonts w:ascii="DaxCondensed-Black"/>
          <w:b/>
          <w:sz w:val="32"/>
        </w:rPr>
      </w:pPr>
    </w:p>
    <w:p>
      <w:pPr>
        <w:pStyle w:val="BodyText"/>
        <w:rPr>
          <w:rFonts w:ascii="DaxCondensed-Black"/>
          <w:b/>
          <w:sz w:val="32"/>
        </w:rPr>
      </w:pPr>
    </w:p>
    <w:p>
      <w:pPr>
        <w:pStyle w:val="BodyText"/>
        <w:rPr>
          <w:rFonts w:ascii="DaxCondensed-Black"/>
          <w:b/>
          <w:sz w:val="32"/>
        </w:rPr>
      </w:pPr>
    </w:p>
    <w:p>
      <w:pPr>
        <w:pStyle w:val="BodyText"/>
        <w:rPr>
          <w:rFonts w:ascii="DaxCondensed-Black"/>
          <w:b/>
          <w:sz w:val="32"/>
        </w:rPr>
      </w:pPr>
    </w:p>
    <w:p>
      <w:pPr>
        <w:pStyle w:val="BodyText"/>
        <w:rPr>
          <w:rFonts w:ascii="DaxCondensed-Black"/>
          <w:b/>
          <w:sz w:val="32"/>
        </w:rPr>
      </w:pPr>
    </w:p>
    <w:p>
      <w:pPr>
        <w:pStyle w:val="BodyText"/>
        <w:rPr>
          <w:rFonts w:ascii="DaxCondensed-Black"/>
          <w:b/>
          <w:sz w:val="32"/>
        </w:rPr>
      </w:pPr>
    </w:p>
    <w:p>
      <w:pPr>
        <w:pStyle w:val="BodyText"/>
        <w:rPr>
          <w:rFonts w:ascii="DaxCondensed-Black"/>
          <w:b/>
          <w:sz w:val="32"/>
        </w:rPr>
      </w:pPr>
    </w:p>
    <w:p>
      <w:pPr>
        <w:pStyle w:val="BodyText"/>
        <w:rPr>
          <w:rFonts w:ascii="DaxCondensed-Black"/>
          <w:b/>
          <w:sz w:val="32"/>
        </w:rPr>
      </w:pPr>
    </w:p>
    <w:p>
      <w:pPr>
        <w:pStyle w:val="BodyText"/>
        <w:rPr>
          <w:rFonts w:ascii="DaxCondensed-Black"/>
          <w:b/>
          <w:sz w:val="32"/>
        </w:rPr>
      </w:pPr>
    </w:p>
    <w:p>
      <w:pPr>
        <w:pStyle w:val="BodyText"/>
        <w:rPr>
          <w:rFonts w:ascii="DaxCondensed-Black"/>
          <w:b/>
          <w:sz w:val="32"/>
        </w:rPr>
      </w:pPr>
    </w:p>
    <w:p>
      <w:pPr>
        <w:pStyle w:val="BodyText"/>
        <w:rPr>
          <w:rFonts w:ascii="DaxCondensed-Black"/>
          <w:b/>
          <w:sz w:val="32"/>
        </w:rPr>
      </w:pPr>
    </w:p>
    <w:p>
      <w:pPr>
        <w:pStyle w:val="BodyText"/>
        <w:rPr>
          <w:rFonts w:ascii="DaxCondensed-Black"/>
          <w:b/>
          <w:sz w:val="32"/>
        </w:rPr>
      </w:pPr>
    </w:p>
    <w:p>
      <w:pPr>
        <w:pStyle w:val="BodyText"/>
        <w:rPr>
          <w:rFonts w:ascii="DaxCondensed-Black"/>
          <w:b/>
          <w:sz w:val="32"/>
        </w:rPr>
      </w:pPr>
    </w:p>
    <w:p>
      <w:pPr>
        <w:pStyle w:val="BodyText"/>
        <w:rPr>
          <w:rFonts w:ascii="DaxCondensed-Black"/>
          <w:b/>
          <w:sz w:val="32"/>
        </w:rPr>
      </w:pPr>
    </w:p>
    <w:p>
      <w:pPr>
        <w:pStyle w:val="BodyText"/>
        <w:rPr>
          <w:rFonts w:ascii="DaxCondensed-Black"/>
          <w:b/>
          <w:sz w:val="32"/>
        </w:rPr>
      </w:pPr>
    </w:p>
    <w:p>
      <w:pPr>
        <w:pStyle w:val="BodyText"/>
        <w:rPr>
          <w:rFonts w:ascii="DaxCondensed-Black"/>
          <w:b/>
          <w:sz w:val="32"/>
        </w:rPr>
      </w:pPr>
    </w:p>
    <w:p>
      <w:pPr>
        <w:pStyle w:val="BodyText"/>
        <w:rPr>
          <w:rFonts w:ascii="DaxCondensed-Black"/>
          <w:b/>
          <w:sz w:val="32"/>
        </w:rPr>
      </w:pPr>
    </w:p>
    <w:p>
      <w:pPr>
        <w:pStyle w:val="BodyText"/>
        <w:spacing w:before="3"/>
        <w:rPr>
          <w:rFonts w:ascii="DaxCondensed-Black"/>
          <w:b/>
          <w:sz w:val="31"/>
        </w:rPr>
      </w:pPr>
    </w:p>
    <w:p>
      <w:pPr>
        <w:pStyle w:val="Heading2"/>
        <w:numPr>
          <w:ilvl w:val="2"/>
          <w:numId w:val="31"/>
        </w:numPr>
        <w:tabs>
          <w:tab w:pos="5103" w:val="left" w:leader="none"/>
        </w:tabs>
        <w:spacing w:line="240" w:lineRule="auto" w:before="0" w:after="0"/>
        <w:ind w:left="5102" w:right="0" w:hanging="720"/>
        <w:jc w:val="left"/>
      </w:pPr>
      <w:bookmarkStart w:name="_TOC_250000" w:id="17"/>
      <w:r>
        <w:rPr>
          <w:color w:val="00666D"/>
        </w:rPr>
        <w:t>Relatório de</w:t>
      </w:r>
      <w:r>
        <w:rPr>
          <w:color w:val="00666D"/>
          <w:spacing w:val="-1"/>
        </w:rPr>
        <w:t> </w:t>
      </w:r>
      <w:bookmarkEnd w:id="17"/>
      <w:r>
        <w:rPr>
          <w:color w:val="00666D"/>
        </w:rPr>
        <w:t>Fiscalização</w:t>
      </w:r>
    </w:p>
    <w:p>
      <w:pPr>
        <w:spacing w:after="0" w:line="240" w:lineRule="auto"/>
        <w:jc w:val="left"/>
        <w:sectPr>
          <w:pgSz w:w="16840" w:h="11900" w:orient="landscape"/>
          <w:pgMar w:top="240" w:bottom="0" w:left="140" w:right="860"/>
        </w:sectPr>
      </w:pPr>
    </w:p>
    <w:p>
      <w:pPr>
        <w:pStyle w:val="BodyText"/>
        <w:rPr>
          <w:rFonts w:ascii="DaxCondensed-Black"/>
          <w:b/>
          <w:sz w:val="20"/>
        </w:rPr>
      </w:pPr>
      <w:r>
        <w:rPr/>
        <w:pict>
          <v:shape style="position:absolute;margin-left:12pt;margin-top:12pt;width:158.2pt;height:571pt;mso-position-horizontal-relative:page;mso-position-vertical-relative:page;z-index:2656" type="#_x0000_t202" filled="true" fillcolor="#00666d" stroked="false">
            <v:textbox inset="0,0,0,0">
              <w:txbxContent>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spacing w:before="126"/>
                    <w:ind w:left="1263" w:right="1394"/>
                    <w:jc w:val="center"/>
                  </w:pPr>
                  <w:r>
                    <w:rPr>
                      <w:color w:val="FFFFFF"/>
                      <w:w w:val="105"/>
                    </w:rPr>
                    <w:t>- 57 -</w:t>
                  </w:r>
                </w:p>
              </w:txbxContent>
            </v:textbox>
            <v:fill type="solid"/>
            <w10:wrap type="none"/>
          </v:shape>
        </w:pict>
      </w:r>
    </w:p>
    <w:p>
      <w:pPr>
        <w:pStyle w:val="BodyText"/>
        <w:rPr>
          <w:rFonts w:ascii="DaxCondensed-Black"/>
          <w:b/>
          <w:sz w:val="22"/>
        </w:rPr>
      </w:pPr>
    </w:p>
    <w:p>
      <w:pPr>
        <w:pStyle w:val="ListParagraph"/>
        <w:numPr>
          <w:ilvl w:val="3"/>
          <w:numId w:val="31"/>
        </w:numPr>
        <w:tabs>
          <w:tab w:pos="7250" w:val="left" w:leader="none"/>
        </w:tabs>
        <w:spacing w:line="240" w:lineRule="auto" w:before="0" w:after="0"/>
        <w:ind w:left="7249" w:right="0" w:hanging="134"/>
        <w:jc w:val="left"/>
        <w:rPr>
          <w:rFonts w:ascii="DaxCondensed" w:hAnsi="DaxCondensed"/>
          <w:sz w:val="24"/>
        </w:rPr>
      </w:pPr>
      <w:r>
        <w:rPr>
          <w:rFonts w:ascii="DaxCondensed" w:hAnsi="DaxCondensed"/>
          <w:color w:val="00666D"/>
          <w:sz w:val="24"/>
        </w:rPr>
        <w:t>Manual de Fiscalização do Exercício da Arquitetura e Urbanismo</w:t>
      </w:r>
      <w:r>
        <w:rPr>
          <w:rFonts w:ascii="DaxCondensed" w:hAnsi="DaxCondensed"/>
          <w:color w:val="00666D"/>
          <w:spacing w:val="-1"/>
          <w:sz w:val="24"/>
        </w:rPr>
        <w:t> </w:t>
      </w:r>
      <w:r>
        <w:rPr>
          <w:rFonts w:ascii="DaxCondensed" w:hAnsi="DaxCondensed"/>
          <w:color w:val="00666D"/>
          <w:sz w:val="24"/>
        </w:rPr>
        <w:t>-</w:t>
      </w:r>
    </w:p>
    <w:p>
      <w:pPr>
        <w:pStyle w:val="BodyText"/>
        <w:rPr>
          <w:rFonts w:ascii="DaxCondensed"/>
          <w:sz w:val="20"/>
        </w:rPr>
      </w:pPr>
    </w:p>
    <w:p>
      <w:pPr>
        <w:pStyle w:val="BodyText"/>
        <w:rPr>
          <w:rFonts w:ascii="DaxCondensed"/>
          <w:sz w:val="20"/>
        </w:rPr>
      </w:pPr>
    </w:p>
    <w:p>
      <w:pPr>
        <w:pStyle w:val="BodyText"/>
        <w:spacing w:before="3"/>
        <w:rPr>
          <w:rFonts w:ascii="DaxCondensed"/>
          <w:sz w:val="12"/>
        </w:rPr>
      </w:pPr>
      <w:r>
        <w:rPr/>
        <w:drawing>
          <wp:anchor distT="0" distB="0" distL="0" distR="0" allowOverlap="1" layoutInCell="1" locked="0" behindDoc="0" simplePos="0" relativeHeight="67">
            <wp:simplePos x="0" y="0"/>
            <wp:positionH relativeFrom="page">
              <wp:posOffset>4224528</wp:posOffset>
            </wp:positionH>
            <wp:positionV relativeFrom="paragraph">
              <wp:posOffset>112078</wp:posOffset>
            </wp:positionV>
            <wp:extent cx="4121451" cy="5459825"/>
            <wp:effectExtent l="0" t="0" r="0" b="0"/>
            <wp:wrapTopAndBottom/>
            <wp:docPr id="5" name="image5.png" descr=""/>
            <wp:cNvGraphicFramePr>
              <a:graphicFrameLocks noChangeAspect="1"/>
            </wp:cNvGraphicFramePr>
            <a:graphic>
              <a:graphicData uri="http://schemas.openxmlformats.org/drawingml/2006/picture">
                <pic:pic>
                  <pic:nvPicPr>
                    <pic:cNvPr id="6" name="image5.png"/>
                    <pic:cNvPicPr/>
                  </pic:nvPicPr>
                  <pic:blipFill>
                    <a:blip r:embed="rId9" cstate="print"/>
                    <a:stretch>
                      <a:fillRect/>
                    </a:stretch>
                  </pic:blipFill>
                  <pic:spPr>
                    <a:xfrm>
                      <a:off x="0" y="0"/>
                      <a:ext cx="4121451" cy="5459825"/>
                    </a:xfrm>
                    <a:prstGeom prst="rect">
                      <a:avLst/>
                    </a:prstGeom>
                  </pic:spPr>
                </pic:pic>
              </a:graphicData>
            </a:graphic>
          </wp:anchor>
        </w:drawing>
      </w:r>
    </w:p>
    <w:p>
      <w:pPr>
        <w:spacing w:after="0"/>
        <w:rPr>
          <w:rFonts w:ascii="DaxCondensed"/>
          <w:sz w:val="12"/>
        </w:rPr>
        <w:sectPr>
          <w:pgSz w:w="16840" w:h="11900" w:orient="landscape"/>
          <w:pgMar w:top="240" w:bottom="0" w:left="140" w:right="860"/>
        </w:sectPr>
      </w:pPr>
    </w:p>
    <w:p>
      <w:pPr>
        <w:pStyle w:val="BodyText"/>
        <w:rPr>
          <w:rFonts w:ascii="DaxCondensed"/>
          <w:sz w:val="20"/>
        </w:rPr>
      </w:pPr>
      <w:r>
        <w:rPr/>
        <w:pict>
          <v:shape style="position:absolute;margin-left:12pt;margin-top:12pt;width:158.2pt;height:571pt;mso-position-horizontal-relative:page;mso-position-vertical-relative:page;z-index:2704" type="#_x0000_t202" filled="true" fillcolor="#00666d" stroked="false">
            <v:textbox inset="0,0,0,0">
              <w:txbxContent>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spacing w:before="2"/>
                    <w:rPr>
                      <w:rFonts w:ascii="DaxCondensed-Black"/>
                      <w:b/>
                      <w:sz w:val="32"/>
                    </w:rPr>
                  </w:pPr>
                </w:p>
                <w:p>
                  <w:pPr>
                    <w:pStyle w:val="BodyText"/>
                    <w:ind w:left="1263" w:right="1394"/>
                    <w:jc w:val="center"/>
                  </w:pPr>
                  <w:r>
                    <w:rPr>
                      <w:color w:val="FFFFFF"/>
                      <w:w w:val="105"/>
                    </w:rPr>
                    <w:t>- 58 -</w:t>
                  </w:r>
                </w:p>
              </w:txbxContent>
            </v:textbox>
            <v:fill type="solid"/>
            <w10:wrap type="none"/>
          </v:shape>
        </w:pict>
      </w:r>
    </w:p>
    <w:p>
      <w:pPr>
        <w:pStyle w:val="BodyText"/>
        <w:rPr>
          <w:rFonts w:ascii="DaxCondensed"/>
          <w:sz w:val="23"/>
        </w:rPr>
      </w:pPr>
    </w:p>
    <w:p>
      <w:pPr>
        <w:pStyle w:val="ListParagraph"/>
        <w:numPr>
          <w:ilvl w:val="3"/>
          <w:numId w:val="31"/>
        </w:numPr>
        <w:tabs>
          <w:tab w:pos="7250" w:val="left" w:leader="none"/>
        </w:tabs>
        <w:spacing w:line="240" w:lineRule="auto" w:before="0" w:after="0"/>
        <w:ind w:left="7249" w:right="0" w:hanging="134"/>
        <w:jc w:val="left"/>
        <w:rPr>
          <w:rFonts w:ascii="DaxCondensed" w:hAnsi="DaxCondensed"/>
          <w:sz w:val="24"/>
        </w:rPr>
      </w:pPr>
      <w:r>
        <w:rPr>
          <w:rFonts w:ascii="DaxCondensed" w:hAnsi="DaxCondensed"/>
          <w:color w:val="00666D"/>
          <w:sz w:val="24"/>
        </w:rPr>
        <w:t>Manual de Fiscalização do Exercício da Arquitetura e Urbanismo</w:t>
      </w:r>
      <w:r>
        <w:rPr>
          <w:rFonts w:ascii="DaxCondensed" w:hAnsi="DaxCondensed"/>
          <w:color w:val="00666D"/>
          <w:spacing w:val="-1"/>
          <w:sz w:val="24"/>
        </w:rPr>
        <w:t> </w:t>
      </w:r>
      <w:r>
        <w:rPr>
          <w:rFonts w:ascii="DaxCondensed" w:hAnsi="DaxCondensed"/>
          <w:color w:val="00666D"/>
          <w:sz w:val="24"/>
        </w:rPr>
        <w:t>-</w:t>
      </w:r>
    </w:p>
    <w:p>
      <w:pPr>
        <w:pStyle w:val="BodyText"/>
        <w:rPr>
          <w:rFonts w:ascii="DaxCondensed"/>
          <w:sz w:val="20"/>
        </w:rPr>
      </w:pPr>
    </w:p>
    <w:p>
      <w:pPr>
        <w:pStyle w:val="ListParagraph"/>
        <w:numPr>
          <w:ilvl w:val="2"/>
          <w:numId w:val="31"/>
        </w:numPr>
        <w:tabs>
          <w:tab w:pos="5103" w:val="left" w:leader="none"/>
        </w:tabs>
        <w:spacing w:line="240" w:lineRule="auto" w:before="212" w:after="0"/>
        <w:ind w:left="5102" w:right="0" w:hanging="720"/>
        <w:jc w:val="left"/>
        <w:rPr>
          <w:rFonts w:ascii="DaxCondensed-Black" w:hAnsi="DaxCondensed-Black"/>
          <w:b/>
          <w:sz w:val="28"/>
        </w:rPr>
      </w:pPr>
      <w:r>
        <w:rPr>
          <w:rFonts w:ascii="DaxCondensed-Black" w:hAnsi="DaxCondensed-Black"/>
          <w:b/>
          <w:color w:val="00666D"/>
          <w:sz w:val="28"/>
        </w:rPr>
        <w:t>Notificação</w:t>
      </w:r>
    </w:p>
    <w:p>
      <w:pPr>
        <w:pStyle w:val="BodyText"/>
        <w:rPr>
          <w:rFonts w:ascii="DaxCondensed-Black"/>
          <w:b/>
          <w:sz w:val="20"/>
        </w:rPr>
      </w:pPr>
    </w:p>
    <w:p>
      <w:pPr>
        <w:pStyle w:val="BodyText"/>
        <w:rPr>
          <w:rFonts w:ascii="DaxCondensed-Black"/>
          <w:b/>
          <w:sz w:val="20"/>
        </w:rPr>
      </w:pPr>
    </w:p>
    <w:p>
      <w:pPr>
        <w:pStyle w:val="BodyText"/>
        <w:spacing w:before="1"/>
        <w:rPr>
          <w:rFonts w:ascii="DaxCondensed-Black"/>
          <w:b/>
        </w:rPr>
      </w:pPr>
      <w:r>
        <w:rPr/>
        <w:drawing>
          <wp:anchor distT="0" distB="0" distL="0" distR="0" allowOverlap="1" layoutInCell="1" locked="0" behindDoc="0" simplePos="0" relativeHeight="69">
            <wp:simplePos x="0" y="0"/>
            <wp:positionH relativeFrom="page">
              <wp:posOffset>4448661</wp:posOffset>
            </wp:positionH>
            <wp:positionV relativeFrom="paragraph">
              <wp:posOffset>163897</wp:posOffset>
            </wp:positionV>
            <wp:extent cx="3719665" cy="5327808"/>
            <wp:effectExtent l="0" t="0" r="0" b="0"/>
            <wp:wrapTopAndBottom/>
            <wp:docPr id="7" name="image6.png" descr=""/>
            <wp:cNvGraphicFramePr>
              <a:graphicFrameLocks noChangeAspect="1"/>
            </wp:cNvGraphicFramePr>
            <a:graphic>
              <a:graphicData uri="http://schemas.openxmlformats.org/drawingml/2006/picture">
                <pic:pic>
                  <pic:nvPicPr>
                    <pic:cNvPr id="8" name="image6.png"/>
                    <pic:cNvPicPr/>
                  </pic:nvPicPr>
                  <pic:blipFill>
                    <a:blip r:embed="rId10" cstate="print"/>
                    <a:stretch>
                      <a:fillRect/>
                    </a:stretch>
                  </pic:blipFill>
                  <pic:spPr>
                    <a:xfrm>
                      <a:off x="0" y="0"/>
                      <a:ext cx="3719665" cy="5327808"/>
                    </a:xfrm>
                    <a:prstGeom prst="rect">
                      <a:avLst/>
                    </a:prstGeom>
                  </pic:spPr>
                </pic:pic>
              </a:graphicData>
            </a:graphic>
          </wp:anchor>
        </w:drawing>
      </w:r>
    </w:p>
    <w:p>
      <w:pPr>
        <w:spacing w:after="0"/>
        <w:rPr>
          <w:rFonts w:ascii="DaxCondensed-Black"/>
        </w:rPr>
        <w:sectPr>
          <w:pgSz w:w="16840" w:h="11900" w:orient="landscape"/>
          <w:pgMar w:top="240" w:bottom="0" w:left="140" w:right="860"/>
        </w:sectPr>
      </w:pPr>
    </w:p>
    <w:p>
      <w:pPr>
        <w:pStyle w:val="BodyText"/>
        <w:rPr>
          <w:rFonts w:ascii="DaxCondensed-Black"/>
          <w:b/>
          <w:sz w:val="20"/>
        </w:rPr>
      </w:pPr>
      <w:r>
        <w:rPr/>
        <w:pict>
          <v:shape style="position:absolute;margin-left:12pt;margin-top:12pt;width:158.2pt;height:571pt;mso-position-horizontal-relative:page;mso-position-vertical-relative:page;z-index:2752" type="#_x0000_t202" filled="true" fillcolor="#00666d" stroked="false">
            <v:textbox inset="0,0,0,0">
              <w:txbxContent>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rPr>
                      <w:rFonts w:ascii="DaxCondensed-Black"/>
                      <w:b/>
                      <w:sz w:val="22"/>
                    </w:rPr>
                  </w:pPr>
                </w:p>
                <w:p>
                  <w:pPr>
                    <w:pStyle w:val="BodyText"/>
                    <w:spacing w:before="2"/>
                    <w:rPr>
                      <w:rFonts w:ascii="DaxCondensed-Black"/>
                      <w:b/>
                      <w:sz w:val="32"/>
                    </w:rPr>
                  </w:pPr>
                </w:p>
                <w:p>
                  <w:pPr>
                    <w:pStyle w:val="BodyText"/>
                    <w:ind w:left="1263" w:right="1394"/>
                    <w:jc w:val="center"/>
                  </w:pPr>
                  <w:r>
                    <w:rPr>
                      <w:color w:val="FFFFFF"/>
                      <w:w w:val="105"/>
                    </w:rPr>
                    <w:t>- 59 -</w:t>
                  </w:r>
                </w:p>
              </w:txbxContent>
            </v:textbox>
            <v:fill type="solid"/>
            <w10:wrap type="none"/>
          </v:shape>
        </w:pict>
      </w:r>
    </w:p>
    <w:p>
      <w:pPr>
        <w:pStyle w:val="BodyText"/>
        <w:rPr>
          <w:rFonts w:ascii="DaxCondensed-Black"/>
          <w:b/>
          <w:sz w:val="22"/>
        </w:rPr>
      </w:pPr>
    </w:p>
    <w:p>
      <w:pPr>
        <w:pStyle w:val="ListParagraph"/>
        <w:numPr>
          <w:ilvl w:val="3"/>
          <w:numId w:val="31"/>
        </w:numPr>
        <w:tabs>
          <w:tab w:pos="7250" w:val="left" w:leader="none"/>
        </w:tabs>
        <w:spacing w:line="240" w:lineRule="auto" w:before="0" w:after="0"/>
        <w:ind w:left="7249" w:right="0" w:hanging="134"/>
        <w:jc w:val="left"/>
        <w:rPr>
          <w:rFonts w:ascii="DaxCondensed" w:hAnsi="DaxCondensed"/>
          <w:sz w:val="24"/>
        </w:rPr>
      </w:pPr>
      <w:r>
        <w:rPr>
          <w:rFonts w:ascii="DaxCondensed" w:hAnsi="DaxCondensed"/>
          <w:color w:val="00666D"/>
          <w:sz w:val="24"/>
        </w:rPr>
        <w:t>Manual de Fiscalização do Exercício da Arquitetura e Urbanismo</w:t>
      </w:r>
      <w:r>
        <w:rPr>
          <w:rFonts w:ascii="DaxCondensed" w:hAnsi="DaxCondensed"/>
          <w:color w:val="00666D"/>
          <w:spacing w:val="-1"/>
          <w:sz w:val="24"/>
        </w:rPr>
        <w:t> </w:t>
      </w:r>
      <w:r>
        <w:rPr>
          <w:rFonts w:ascii="DaxCondensed" w:hAnsi="DaxCondensed"/>
          <w:color w:val="00666D"/>
          <w:sz w:val="24"/>
        </w:rPr>
        <w:t>-</w:t>
      </w:r>
    </w:p>
    <w:p>
      <w:pPr>
        <w:pStyle w:val="BodyText"/>
        <w:rPr>
          <w:rFonts w:ascii="DaxCondensed"/>
          <w:sz w:val="20"/>
        </w:rPr>
      </w:pPr>
    </w:p>
    <w:p>
      <w:pPr>
        <w:pStyle w:val="ListParagraph"/>
        <w:numPr>
          <w:ilvl w:val="2"/>
          <w:numId w:val="31"/>
        </w:numPr>
        <w:tabs>
          <w:tab w:pos="5103" w:val="left" w:leader="none"/>
        </w:tabs>
        <w:spacing w:line="240" w:lineRule="auto" w:before="212" w:after="0"/>
        <w:ind w:left="5102" w:right="0" w:hanging="720"/>
        <w:jc w:val="left"/>
        <w:rPr>
          <w:rFonts w:ascii="DaxCondensed-Black" w:hAnsi="DaxCondensed-Black"/>
          <w:b/>
          <w:sz w:val="28"/>
        </w:rPr>
      </w:pPr>
      <w:r>
        <w:rPr>
          <w:rFonts w:ascii="DaxCondensed-Black" w:hAnsi="DaxCondensed-Black"/>
          <w:b/>
          <w:color w:val="00666D"/>
          <w:sz w:val="28"/>
        </w:rPr>
        <w:t>Auto de</w:t>
      </w:r>
      <w:r>
        <w:rPr>
          <w:rFonts w:ascii="DaxCondensed-Black" w:hAnsi="DaxCondensed-Black"/>
          <w:b/>
          <w:color w:val="00666D"/>
          <w:spacing w:val="-1"/>
          <w:sz w:val="28"/>
        </w:rPr>
        <w:t> </w:t>
      </w:r>
      <w:r>
        <w:rPr>
          <w:rFonts w:ascii="DaxCondensed-Black" w:hAnsi="DaxCondensed-Black"/>
          <w:b/>
          <w:color w:val="00666D"/>
          <w:sz w:val="28"/>
        </w:rPr>
        <w:t>Infração</w:t>
      </w:r>
    </w:p>
    <w:p>
      <w:pPr>
        <w:pStyle w:val="BodyText"/>
        <w:rPr>
          <w:rFonts w:ascii="DaxCondensed-Black"/>
          <w:b/>
          <w:sz w:val="20"/>
        </w:rPr>
      </w:pPr>
    </w:p>
    <w:p>
      <w:pPr>
        <w:pStyle w:val="BodyText"/>
        <w:rPr>
          <w:rFonts w:ascii="DaxCondensed-Black"/>
          <w:b/>
          <w:sz w:val="21"/>
        </w:rPr>
      </w:pPr>
      <w:r>
        <w:rPr/>
        <w:drawing>
          <wp:anchor distT="0" distB="0" distL="0" distR="0" allowOverlap="1" layoutInCell="1" locked="0" behindDoc="0" simplePos="0" relativeHeight="71">
            <wp:simplePos x="0" y="0"/>
            <wp:positionH relativeFrom="page">
              <wp:posOffset>4432354</wp:posOffset>
            </wp:positionH>
            <wp:positionV relativeFrom="paragraph">
              <wp:posOffset>177952</wp:posOffset>
            </wp:positionV>
            <wp:extent cx="3754065" cy="5356098"/>
            <wp:effectExtent l="0" t="0" r="0" b="0"/>
            <wp:wrapTopAndBottom/>
            <wp:docPr id="9" name="image7.png" descr=""/>
            <wp:cNvGraphicFramePr>
              <a:graphicFrameLocks noChangeAspect="1"/>
            </wp:cNvGraphicFramePr>
            <a:graphic>
              <a:graphicData uri="http://schemas.openxmlformats.org/drawingml/2006/picture">
                <pic:pic>
                  <pic:nvPicPr>
                    <pic:cNvPr id="10" name="image7.png"/>
                    <pic:cNvPicPr/>
                  </pic:nvPicPr>
                  <pic:blipFill>
                    <a:blip r:embed="rId11" cstate="print"/>
                    <a:stretch>
                      <a:fillRect/>
                    </a:stretch>
                  </pic:blipFill>
                  <pic:spPr>
                    <a:xfrm>
                      <a:off x="0" y="0"/>
                      <a:ext cx="3754065" cy="5356098"/>
                    </a:xfrm>
                    <a:prstGeom prst="rect">
                      <a:avLst/>
                    </a:prstGeom>
                  </pic:spPr>
                </pic:pic>
              </a:graphicData>
            </a:graphic>
          </wp:anchor>
        </w:drawing>
      </w:r>
    </w:p>
    <w:p>
      <w:pPr>
        <w:spacing w:after="0"/>
        <w:rPr>
          <w:rFonts w:ascii="DaxCondensed-Black"/>
          <w:sz w:val="21"/>
        </w:rPr>
        <w:sectPr>
          <w:pgSz w:w="16840" w:h="11900" w:orient="landscape"/>
          <w:pgMar w:top="240" w:bottom="0" w:left="140" w:right="860"/>
        </w:sectPr>
      </w:pPr>
    </w:p>
    <w:p>
      <w:pPr>
        <w:pStyle w:val="BodyText"/>
        <w:rPr>
          <w:rFonts w:ascii="DaxCondensed-Black"/>
          <w:b/>
          <w:sz w:val="20"/>
        </w:rPr>
      </w:pPr>
      <w:r>
        <w:rPr/>
        <w:pict>
          <v:shape style="position:absolute;margin-left:12pt;margin-top:12pt;width:158.2pt;height:571pt;mso-position-horizontal-relative:page;mso-position-vertical-relative:page;z-index:2776"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- 60 -</w:t>
                  </w:r>
                </w:p>
              </w:txbxContent>
            </v:textbox>
            <v:fill type="solid"/>
            <w10:wrap type="none"/>
          </v:shape>
        </w:pict>
      </w:r>
    </w:p>
    <w:p>
      <w:pPr>
        <w:pStyle w:val="BodyText"/>
        <w:rPr>
          <w:rFonts w:ascii="DaxCondensed-Black"/>
          <w:b/>
          <w:sz w:val="22"/>
        </w:rPr>
      </w:pPr>
    </w:p>
    <w:p>
      <w:pPr>
        <w:pStyle w:val="ListParagraph"/>
        <w:numPr>
          <w:ilvl w:val="3"/>
          <w:numId w:val="31"/>
        </w:numPr>
        <w:tabs>
          <w:tab w:pos="7250" w:val="left" w:leader="none"/>
        </w:tabs>
        <w:spacing w:line="240" w:lineRule="auto" w:before="0" w:after="0"/>
        <w:ind w:left="7249" w:right="0" w:hanging="134"/>
        <w:jc w:val="left"/>
        <w:rPr>
          <w:rFonts w:ascii="DaxCondensed" w:hAnsi="DaxCondensed"/>
          <w:sz w:val="24"/>
        </w:rPr>
      </w:pPr>
      <w:r>
        <w:rPr>
          <w:rFonts w:ascii="DaxCondensed" w:hAnsi="DaxCondensed"/>
          <w:color w:val="00666D"/>
          <w:sz w:val="24"/>
        </w:rPr>
        <w:t>Manual de Fiscalização do Exercício da Arquitetura e Urbanismo</w:t>
      </w:r>
      <w:r>
        <w:rPr>
          <w:rFonts w:ascii="DaxCondensed" w:hAnsi="DaxCondensed"/>
          <w:color w:val="00666D"/>
          <w:spacing w:val="-1"/>
          <w:sz w:val="24"/>
        </w:rPr>
        <w:t> </w:t>
      </w:r>
      <w:r>
        <w:rPr>
          <w:rFonts w:ascii="DaxCondensed" w:hAnsi="DaxCondensed"/>
          <w:color w:val="00666D"/>
          <w:sz w:val="24"/>
        </w:rPr>
        <w:t>-</w:t>
      </w:r>
    </w:p>
    <w:p>
      <w:pPr>
        <w:pStyle w:val="BodyText"/>
        <w:rPr>
          <w:rFonts w:ascii="DaxCondensed"/>
          <w:sz w:val="20"/>
        </w:rPr>
      </w:pPr>
    </w:p>
    <w:p>
      <w:pPr>
        <w:pStyle w:val="BodyText"/>
        <w:rPr>
          <w:rFonts w:ascii="DaxCondensed"/>
          <w:sz w:val="20"/>
        </w:rPr>
      </w:pPr>
    </w:p>
    <w:p>
      <w:pPr>
        <w:pStyle w:val="BodyText"/>
        <w:rPr>
          <w:rFonts w:ascii="DaxCondensed"/>
          <w:sz w:val="20"/>
        </w:rPr>
      </w:pPr>
    </w:p>
    <w:p>
      <w:pPr>
        <w:pStyle w:val="BodyText"/>
        <w:rPr>
          <w:rFonts w:ascii="DaxCondensed"/>
          <w:sz w:val="20"/>
        </w:rPr>
      </w:pPr>
    </w:p>
    <w:p>
      <w:pPr>
        <w:pStyle w:val="BodyText"/>
        <w:spacing w:before="1"/>
        <w:rPr>
          <w:rFonts w:ascii="DaxCondensed"/>
          <w:sz w:val="22"/>
        </w:rPr>
      </w:pPr>
    </w:p>
    <w:p>
      <w:pPr>
        <w:pStyle w:val="ListParagraph"/>
        <w:numPr>
          <w:ilvl w:val="1"/>
          <w:numId w:val="31"/>
        </w:numPr>
        <w:tabs>
          <w:tab w:pos="5114" w:val="left" w:leader="none"/>
          <w:tab w:pos="5115" w:val="left" w:leader="none"/>
          <w:tab w:pos="15589" w:val="left" w:leader="none"/>
        </w:tabs>
        <w:spacing w:line="240" w:lineRule="auto" w:before="99" w:after="0"/>
        <w:ind w:left="5114" w:right="0" w:hanging="720"/>
        <w:jc w:val="left"/>
        <w:rPr>
          <w:rFonts w:ascii="DaxCondensed" w:hAnsi="DaxCondensed"/>
          <w:color w:val="FFFFFF"/>
          <w:sz w:val="28"/>
        </w:rPr>
      </w:pPr>
      <w:r>
        <w:rPr>
          <w:rFonts w:ascii="DaxCondensed" w:hAnsi="DaxCondensed"/>
          <w:color w:val="FFFFFF"/>
          <w:sz w:val="28"/>
          <w:shd w:fill="00666D" w:color="auto" w:val="clear"/>
        </w:rPr>
        <w:t>Termo de Cooperação</w:t>
      </w:r>
      <w:r>
        <w:rPr>
          <w:rFonts w:ascii="DaxCondensed" w:hAnsi="DaxCondensed"/>
          <w:color w:val="FFFFFF"/>
          <w:spacing w:val="-15"/>
          <w:sz w:val="28"/>
          <w:shd w:fill="00666D" w:color="auto" w:val="clear"/>
        </w:rPr>
        <w:t> </w:t>
      </w:r>
      <w:r>
        <w:rPr>
          <w:rFonts w:ascii="DaxCondensed" w:hAnsi="DaxCondensed"/>
          <w:color w:val="FFFFFF"/>
          <w:sz w:val="28"/>
          <w:shd w:fill="00666D" w:color="auto" w:val="clear"/>
        </w:rPr>
        <w:t>Técnica</w:t>
        <w:tab/>
      </w:r>
    </w:p>
    <w:p>
      <w:pPr>
        <w:pStyle w:val="BodyText"/>
        <w:rPr>
          <w:rFonts w:ascii="DaxCondensed"/>
          <w:sz w:val="30"/>
        </w:rPr>
      </w:pPr>
    </w:p>
    <w:p>
      <w:pPr>
        <w:pStyle w:val="BodyText"/>
        <w:spacing w:line="252" w:lineRule="auto" w:before="191"/>
        <w:ind w:left="7229" w:right="276"/>
        <w:jc w:val="both"/>
      </w:pPr>
      <w:r>
        <w:rPr>
          <w:w w:val="105"/>
        </w:rPr>
        <w:t>Termo de cooperação técnica que entre si celebram a PREFEITURA MUNICIPAL DE XXXXXX, O CONSELHO DE ARQUITETURA E URBANISMO DO ESTADO DE XXXXXXXX e o CONSELHO DE ARQUITETURA E URBANISMO DO BRASIL- CAU/BR, visando</w:t>
      </w:r>
      <w:r>
        <w:rPr>
          <w:spacing w:val="14"/>
          <w:w w:val="105"/>
        </w:rPr>
        <w:t> </w:t>
      </w:r>
      <w:r>
        <w:rPr>
          <w:w w:val="105"/>
        </w:rPr>
        <w:t>à</w:t>
      </w:r>
    </w:p>
    <w:p>
      <w:pPr>
        <w:pStyle w:val="BodyText"/>
        <w:spacing w:line="252" w:lineRule="auto" w:before="3"/>
        <w:ind w:left="7229" w:right="279"/>
        <w:jc w:val="both"/>
      </w:pPr>
      <w:r>
        <w:rPr>
          <w:w w:val="105"/>
        </w:rPr>
        <w:t>implementação de ações conjuntas de fiscalização no âmbito do Município de XXXXXXXXXXXXX.</w:t>
      </w:r>
    </w:p>
    <w:p>
      <w:pPr>
        <w:pStyle w:val="BodyText"/>
        <w:rPr>
          <w:sz w:val="22"/>
        </w:rPr>
      </w:pPr>
    </w:p>
    <w:p>
      <w:pPr>
        <w:pStyle w:val="BodyText"/>
        <w:spacing w:before="9"/>
        <w:rPr>
          <w:sz w:val="17"/>
        </w:rPr>
      </w:pPr>
    </w:p>
    <w:p>
      <w:pPr>
        <w:pStyle w:val="BodyText"/>
        <w:spacing w:line="252" w:lineRule="auto"/>
        <w:ind w:left="4394" w:right="275"/>
        <w:jc w:val="both"/>
      </w:pPr>
      <w:r>
        <w:rPr>
          <w:w w:val="105"/>
        </w:rPr>
        <w:t>Celebram o presente TERMO, de um lado a PREFEITURA MUNICIPAL DE XXXXXXXXXXXXX – a seguir denominado PMXXXX, neste ato representado pelo xxxxxxxx, e de outro lado, O CONSELHO DE ARQUITETURA E URBANISMO DO ESTADO DE xxxxxxxx, criado pela Lei 12.378 de 31 de dezembro de 2010, com sede à Rua xxxx, bairro: xxxx, CNPJxxxx, denominado CAU/XX representado neste ato por seu Presidente xxxxxxxxxx e o CONSELHO DE ARQUITETURA E URBANISMO DO BRASIL – CAU/BR, com sede no SCN Qd 01, salas 302 e 303, Ed. Central Park, a seguir denominado CAU/BR, neste ato representado por seu Presidente, HAROLDO PINHEIRO VILLAR DE QUEIROZ, o qual reger-se-á pelas cláusulas e condições que seguem:</w:t>
      </w:r>
    </w:p>
    <w:p>
      <w:pPr>
        <w:pStyle w:val="BodyText"/>
        <w:rPr>
          <w:sz w:val="22"/>
        </w:rPr>
      </w:pPr>
    </w:p>
    <w:p>
      <w:pPr>
        <w:pStyle w:val="BodyText"/>
        <w:spacing w:before="8"/>
        <w:rPr>
          <w:sz w:val="18"/>
        </w:rPr>
      </w:pPr>
    </w:p>
    <w:p>
      <w:pPr>
        <w:pStyle w:val="Heading5"/>
        <w:ind w:left="9133"/>
      </w:pPr>
      <w:r>
        <w:rPr>
          <w:w w:val="105"/>
        </w:rPr>
        <w:t>Cláusula Primeira</w:t>
      </w:r>
    </w:p>
    <w:p>
      <w:pPr>
        <w:spacing w:before="7"/>
        <w:ind w:left="8822" w:right="0" w:firstLine="0"/>
        <w:jc w:val="left"/>
        <w:rPr>
          <w:b/>
          <w:sz w:val="19"/>
        </w:rPr>
      </w:pPr>
      <w:r>
        <w:rPr>
          <w:b/>
          <w:w w:val="105"/>
          <w:sz w:val="19"/>
        </w:rPr>
        <w:t>– Do Dispositivo Legal –</w:t>
      </w:r>
    </w:p>
    <w:p>
      <w:pPr>
        <w:pStyle w:val="BodyText"/>
        <w:rPr>
          <w:b/>
          <w:sz w:val="22"/>
        </w:rPr>
      </w:pPr>
    </w:p>
    <w:p>
      <w:pPr>
        <w:pStyle w:val="BodyText"/>
        <w:spacing w:before="1"/>
        <w:rPr>
          <w:b/>
        </w:rPr>
      </w:pPr>
    </w:p>
    <w:p>
      <w:pPr>
        <w:pStyle w:val="BodyText"/>
        <w:ind w:left="4394"/>
      </w:pPr>
      <w:r>
        <w:rPr>
          <w:w w:val="105"/>
        </w:rPr>
        <w:t>O presente TERMO DE COOPERAÇÃO foi elaborado a partir das seguintes justificativas:</w:t>
      </w:r>
    </w:p>
    <w:p>
      <w:pPr>
        <w:pStyle w:val="BodyText"/>
        <w:spacing w:before="1"/>
        <w:rPr>
          <w:sz w:val="21"/>
        </w:rPr>
      </w:pPr>
    </w:p>
    <w:p>
      <w:pPr>
        <w:pStyle w:val="ListParagraph"/>
        <w:numPr>
          <w:ilvl w:val="1"/>
          <w:numId w:val="32"/>
        </w:numPr>
        <w:tabs>
          <w:tab w:pos="4818" w:val="left" w:leader="none"/>
        </w:tabs>
        <w:spacing w:line="252" w:lineRule="auto" w:before="0" w:after="0"/>
        <w:ind w:left="4394" w:right="279" w:firstLine="0"/>
        <w:jc w:val="both"/>
        <w:rPr>
          <w:sz w:val="19"/>
        </w:rPr>
      </w:pPr>
      <w:r>
        <w:rPr>
          <w:w w:val="105"/>
          <w:sz w:val="19"/>
        </w:rPr>
        <w:t>Necessidade de regularizar edificações, obras e serviços de arquitetura e urbanismo, no território do Distrito Sede do Município de</w:t>
      </w:r>
      <w:r>
        <w:rPr>
          <w:spacing w:val="2"/>
          <w:w w:val="105"/>
          <w:sz w:val="19"/>
        </w:rPr>
        <w:t> </w:t>
      </w:r>
      <w:r>
        <w:rPr>
          <w:w w:val="105"/>
          <w:sz w:val="19"/>
        </w:rPr>
        <w:t>XXXXXXXXXXXXX;</w:t>
      </w:r>
    </w:p>
    <w:p>
      <w:pPr>
        <w:pStyle w:val="BodyText"/>
        <w:spacing w:before="3"/>
        <w:rPr>
          <w:sz w:val="20"/>
        </w:rPr>
      </w:pPr>
    </w:p>
    <w:p>
      <w:pPr>
        <w:pStyle w:val="ListParagraph"/>
        <w:numPr>
          <w:ilvl w:val="1"/>
          <w:numId w:val="32"/>
        </w:numPr>
        <w:tabs>
          <w:tab w:pos="4740" w:val="left" w:leader="none"/>
        </w:tabs>
        <w:spacing w:line="252" w:lineRule="auto" w:before="0" w:after="0"/>
        <w:ind w:left="4394" w:right="275" w:firstLine="0"/>
        <w:jc w:val="both"/>
        <w:rPr>
          <w:sz w:val="19"/>
        </w:rPr>
      </w:pPr>
      <w:r>
        <w:rPr>
          <w:w w:val="105"/>
          <w:sz w:val="19"/>
        </w:rPr>
        <w:t>Publicação da Lei 12.378 de 31 de dezembro de 2010 em especial o parágrafo primeiro de referido dispositivo legal que reza que o CAU/BR e os CAU/UF têm como função orientar, disciplinar e fiscalizar o exercício da profissão de arquitetura e urbanismo, zelar pela fiel observância dos princípios de ética e disciplina da classe em todo o território nacional, bem assim pugnar pelo aperfeiçoamento do exercício da arquitetura e do</w:t>
      </w:r>
      <w:r>
        <w:rPr>
          <w:spacing w:val="7"/>
          <w:w w:val="105"/>
          <w:sz w:val="19"/>
        </w:rPr>
        <w:t> </w:t>
      </w:r>
      <w:r>
        <w:rPr>
          <w:w w:val="105"/>
          <w:sz w:val="19"/>
        </w:rPr>
        <w:t>urbanismo;</w:t>
      </w:r>
    </w:p>
    <w:p>
      <w:pPr>
        <w:pStyle w:val="BodyText"/>
        <w:spacing w:before="11"/>
      </w:pPr>
    </w:p>
    <w:p>
      <w:pPr>
        <w:pStyle w:val="ListParagraph"/>
        <w:numPr>
          <w:ilvl w:val="1"/>
          <w:numId w:val="32"/>
        </w:numPr>
        <w:tabs>
          <w:tab w:pos="4740" w:val="left" w:leader="none"/>
        </w:tabs>
        <w:spacing w:line="240" w:lineRule="auto" w:before="0" w:after="0"/>
        <w:ind w:left="4739" w:right="0" w:hanging="345"/>
        <w:jc w:val="both"/>
        <w:rPr>
          <w:sz w:val="19"/>
        </w:rPr>
      </w:pPr>
      <w:r>
        <w:rPr>
          <w:w w:val="105"/>
          <w:sz w:val="19"/>
        </w:rPr>
        <w:t>A Lei 10.257, de 10 de julho de 2001, que estabelece diretrizes gerais da política urbana e da outras</w:t>
      </w:r>
      <w:r>
        <w:rPr>
          <w:spacing w:val="-10"/>
          <w:w w:val="105"/>
          <w:sz w:val="19"/>
        </w:rPr>
        <w:t> </w:t>
      </w:r>
      <w:r>
        <w:rPr>
          <w:w w:val="105"/>
          <w:sz w:val="19"/>
        </w:rPr>
        <w:t>providências;</w:t>
      </w:r>
    </w:p>
    <w:p>
      <w:pPr>
        <w:spacing w:after="0" w:line="240" w:lineRule="auto"/>
        <w:jc w:val="both"/>
        <w:rPr>
          <w:sz w:val="19"/>
        </w:rPr>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2800"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- 61 -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pStyle w:val="ListParagraph"/>
        <w:numPr>
          <w:ilvl w:val="1"/>
          <w:numId w:val="32"/>
        </w:numPr>
        <w:tabs>
          <w:tab w:pos="4740" w:val="left" w:leader="none"/>
        </w:tabs>
        <w:spacing w:line="252" w:lineRule="auto" w:before="100" w:after="0"/>
        <w:ind w:left="4394" w:right="275" w:firstLine="0"/>
        <w:jc w:val="both"/>
        <w:rPr>
          <w:sz w:val="19"/>
        </w:rPr>
      </w:pPr>
      <w:r>
        <w:rPr>
          <w:w w:val="105"/>
          <w:sz w:val="19"/>
        </w:rPr>
        <w:t>A Lei n° 501 de 31 de outubro de 1995, Plano Diretor de XXXXXXXXXXXXX, instrumento normativo e estratégico da política de desenvolvimento municipal, em especial ao que é estabelecido pelo Art.3º, inciso VI e</w:t>
      </w:r>
      <w:r>
        <w:rPr>
          <w:spacing w:val="2"/>
          <w:w w:val="105"/>
          <w:sz w:val="19"/>
        </w:rPr>
        <w:t> </w:t>
      </w:r>
      <w:r>
        <w:rPr>
          <w:w w:val="105"/>
          <w:sz w:val="19"/>
        </w:rPr>
        <w:t>VII;</w:t>
      </w:r>
    </w:p>
    <w:p>
      <w:pPr>
        <w:pStyle w:val="BodyText"/>
        <w:spacing w:before="3"/>
        <w:rPr>
          <w:sz w:val="20"/>
        </w:rPr>
      </w:pPr>
    </w:p>
    <w:p>
      <w:pPr>
        <w:pStyle w:val="ListParagraph"/>
        <w:numPr>
          <w:ilvl w:val="1"/>
          <w:numId w:val="32"/>
        </w:numPr>
        <w:tabs>
          <w:tab w:pos="4740" w:val="left" w:leader="none"/>
        </w:tabs>
        <w:spacing w:line="252" w:lineRule="auto" w:before="0" w:after="0"/>
        <w:ind w:left="4394" w:right="277" w:firstLine="0"/>
        <w:jc w:val="both"/>
        <w:rPr>
          <w:sz w:val="19"/>
        </w:rPr>
      </w:pPr>
      <w:r>
        <w:rPr>
          <w:w w:val="105"/>
          <w:sz w:val="19"/>
        </w:rPr>
        <w:t>A Lei n° 2.157 de 8 de janeiro de 2007, Parcelamento, Uso e Ocupação do Solo no município de XXXXXXXXXXXXX, em especial ao que é estabelecido pelos Artigos 1º e</w:t>
      </w:r>
      <w:r>
        <w:rPr>
          <w:spacing w:val="8"/>
          <w:w w:val="105"/>
          <w:sz w:val="19"/>
        </w:rPr>
        <w:t> </w:t>
      </w:r>
      <w:r>
        <w:rPr>
          <w:w w:val="105"/>
          <w:sz w:val="19"/>
        </w:rPr>
        <w:t>2º.</w:t>
      </w:r>
    </w:p>
    <w:p>
      <w:pPr>
        <w:pStyle w:val="BodyText"/>
        <w:rPr>
          <w:sz w:val="22"/>
        </w:rPr>
      </w:pPr>
    </w:p>
    <w:p>
      <w:pPr>
        <w:pStyle w:val="BodyText"/>
        <w:spacing w:before="2"/>
        <w:rPr>
          <w:sz w:val="18"/>
        </w:rPr>
      </w:pPr>
    </w:p>
    <w:p>
      <w:pPr>
        <w:pStyle w:val="Heading5"/>
        <w:spacing w:before="1"/>
        <w:ind w:left="9111"/>
      </w:pPr>
      <w:r>
        <w:rPr>
          <w:w w:val="105"/>
        </w:rPr>
        <w:t>Cláusula Segunda</w:t>
      </w:r>
    </w:p>
    <w:p>
      <w:pPr>
        <w:spacing w:before="12"/>
        <w:ind w:left="9334" w:right="0" w:firstLine="0"/>
        <w:jc w:val="left"/>
        <w:rPr>
          <w:b/>
          <w:sz w:val="19"/>
        </w:rPr>
      </w:pPr>
      <w:r>
        <w:rPr>
          <w:b/>
          <w:w w:val="105"/>
          <w:sz w:val="19"/>
        </w:rPr>
        <w:t>– Do Objeto –</w:t>
      </w:r>
    </w:p>
    <w:p>
      <w:pPr>
        <w:pStyle w:val="BodyText"/>
        <w:rPr>
          <w:b/>
          <w:sz w:val="21"/>
        </w:rPr>
      </w:pPr>
    </w:p>
    <w:p>
      <w:pPr>
        <w:pStyle w:val="ListParagraph"/>
        <w:numPr>
          <w:ilvl w:val="1"/>
          <w:numId w:val="33"/>
        </w:numPr>
        <w:tabs>
          <w:tab w:pos="4740" w:val="left" w:leader="none"/>
        </w:tabs>
        <w:spacing w:line="249" w:lineRule="auto" w:before="0" w:after="0"/>
        <w:ind w:left="4394" w:right="277" w:firstLine="0"/>
        <w:jc w:val="both"/>
        <w:rPr>
          <w:sz w:val="19"/>
        </w:rPr>
      </w:pPr>
      <w:r>
        <w:rPr>
          <w:w w:val="105"/>
          <w:sz w:val="19"/>
        </w:rPr>
        <w:t>Constitui objeto deste termo a mútua cooperação técnica entre os partícipes em ações conjuntas de fiscalização do exercício profissional de Arquitetura e Urbanismo, no âmbito do Distrito Sede do Município de XXXXXXXXXXXXX, consoante a legislação Federal e</w:t>
      </w:r>
      <w:r>
        <w:rPr>
          <w:spacing w:val="3"/>
          <w:w w:val="105"/>
          <w:sz w:val="19"/>
        </w:rPr>
        <w:t> </w:t>
      </w:r>
      <w:r>
        <w:rPr>
          <w:w w:val="105"/>
          <w:sz w:val="19"/>
        </w:rPr>
        <w:t>pertinentes.</w:t>
      </w:r>
    </w:p>
    <w:p>
      <w:pPr>
        <w:pStyle w:val="BodyText"/>
        <w:spacing w:before="5"/>
        <w:rPr>
          <w:sz w:val="20"/>
        </w:rPr>
      </w:pPr>
    </w:p>
    <w:p>
      <w:pPr>
        <w:pStyle w:val="ListParagraph"/>
        <w:numPr>
          <w:ilvl w:val="1"/>
          <w:numId w:val="33"/>
        </w:numPr>
        <w:tabs>
          <w:tab w:pos="4740" w:val="left" w:leader="none"/>
        </w:tabs>
        <w:spacing w:line="252" w:lineRule="auto" w:before="1" w:after="0"/>
        <w:ind w:left="4394" w:right="276" w:firstLine="0"/>
        <w:jc w:val="both"/>
        <w:rPr>
          <w:sz w:val="19"/>
        </w:rPr>
      </w:pPr>
      <w:r>
        <w:rPr>
          <w:w w:val="105"/>
          <w:sz w:val="19"/>
        </w:rPr>
        <w:t>Os Cooperantes procederão a troca de informações, em especial sobre Alvarás de construção e correlatos, habite-se, localização de edifícios de múltiplos pisos e RRTs constantes de bancos de dados próprios, para a implementação do objeto do presente</w:t>
      </w:r>
      <w:r>
        <w:rPr>
          <w:spacing w:val="2"/>
          <w:w w:val="105"/>
          <w:sz w:val="19"/>
        </w:rPr>
        <w:t> </w:t>
      </w:r>
      <w:r>
        <w:rPr>
          <w:w w:val="105"/>
          <w:sz w:val="19"/>
        </w:rPr>
        <w:t>termo;</w:t>
      </w:r>
    </w:p>
    <w:p>
      <w:pPr>
        <w:pStyle w:val="BodyText"/>
        <w:spacing w:before="3"/>
        <w:rPr>
          <w:sz w:val="20"/>
        </w:rPr>
      </w:pPr>
    </w:p>
    <w:p>
      <w:pPr>
        <w:pStyle w:val="ListParagraph"/>
        <w:numPr>
          <w:ilvl w:val="1"/>
          <w:numId w:val="33"/>
        </w:numPr>
        <w:tabs>
          <w:tab w:pos="4740" w:val="left" w:leader="none"/>
        </w:tabs>
        <w:spacing w:line="252" w:lineRule="auto" w:before="0" w:after="0"/>
        <w:ind w:left="4394" w:right="276" w:firstLine="0"/>
        <w:jc w:val="both"/>
        <w:rPr>
          <w:sz w:val="19"/>
        </w:rPr>
      </w:pPr>
      <w:r>
        <w:rPr>
          <w:w w:val="105"/>
          <w:sz w:val="19"/>
        </w:rPr>
        <w:t>Os Cooperantes poderão solicitar reciprocamente assessoria técnica nas ações de fiscalização para elucidação de dúvidas e/ou questionamentos, sem prejuízo das respectivas atividades</w:t>
      </w:r>
      <w:r>
        <w:rPr>
          <w:spacing w:val="5"/>
          <w:w w:val="105"/>
          <w:sz w:val="19"/>
        </w:rPr>
        <w:t> </w:t>
      </w:r>
      <w:r>
        <w:rPr>
          <w:w w:val="105"/>
          <w:sz w:val="19"/>
        </w:rPr>
        <w:t>institucionais.</w:t>
      </w:r>
    </w:p>
    <w:p>
      <w:pPr>
        <w:pStyle w:val="BodyText"/>
        <w:rPr>
          <w:sz w:val="22"/>
        </w:rPr>
      </w:pPr>
    </w:p>
    <w:p>
      <w:pPr>
        <w:pStyle w:val="BodyText"/>
        <w:spacing w:before="9"/>
        <w:rPr>
          <w:sz w:val="17"/>
        </w:rPr>
      </w:pPr>
    </w:p>
    <w:p>
      <w:pPr>
        <w:pStyle w:val="Heading5"/>
        <w:ind w:left="9145"/>
      </w:pPr>
      <w:r>
        <w:rPr>
          <w:w w:val="105"/>
        </w:rPr>
        <w:t>Cláusula Terceira</w:t>
      </w:r>
    </w:p>
    <w:p>
      <w:pPr>
        <w:spacing w:before="12"/>
        <w:ind w:left="8389" w:right="0" w:firstLine="0"/>
        <w:jc w:val="left"/>
        <w:rPr>
          <w:b/>
          <w:sz w:val="19"/>
        </w:rPr>
      </w:pPr>
      <w:r>
        <w:rPr>
          <w:b/>
          <w:w w:val="105"/>
          <w:sz w:val="19"/>
        </w:rPr>
        <w:t>– Das Diretrizes Gerais de Ação –</w:t>
      </w:r>
    </w:p>
    <w:p>
      <w:pPr>
        <w:pStyle w:val="BodyText"/>
        <w:spacing w:before="1"/>
        <w:rPr>
          <w:b/>
          <w:sz w:val="21"/>
        </w:rPr>
      </w:pPr>
    </w:p>
    <w:p>
      <w:pPr>
        <w:pStyle w:val="BodyText"/>
        <w:spacing w:line="252" w:lineRule="auto"/>
        <w:ind w:left="4394" w:right="277"/>
        <w:jc w:val="both"/>
      </w:pPr>
      <w:r>
        <w:rPr>
          <w:w w:val="105"/>
        </w:rPr>
        <w:t>3.1)O CAU/XX e a PMXXXX deverão, na execução de suas atividades utilizar canais que permitam ações coordenadas e integradas, no que se refere a fiscalização do exercício profissional de Arquitetura e Urbanismo.</w:t>
      </w:r>
    </w:p>
    <w:p>
      <w:pPr>
        <w:pStyle w:val="BodyText"/>
        <w:spacing w:before="2"/>
        <w:rPr>
          <w:sz w:val="20"/>
        </w:rPr>
      </w:pPr>
    </w:p>
    <w:p>
      <w:pPr>
        <w:pStyle w:val="BodyText"/>
        <w:spacing w:line="252" w:lineRule="auto" w:before="1"/>
        <w:ind w:left="4394" w:right="277"/>
        <w:jc w:val="both"/>
      </w:pPr>
      <w:r>
        <w:rPr>
          <w:w w:val="105"/>
        </w:rPr>
        <w:t>PARÁGRAFO PRIMEIRO: Fica instituída a Comissão de Fiscalização Integrada – CFI, incumbida do planejamento e supervisão das ações preconizadas no presente Termo, obrigando-se o CAU/XX e a PMXXXX, no prazo de até trinta dias contados da data de publicação deste Termo, indicar seus representantes, sendo dois titulares e respectivos suplentes de cada parte, os quais deliberarão sobre o funcionamento da Comissão e a operacionalização deste Termo, que será alternadamente, presidida pelo Representante da Prefeitura de XXXXXXXXXXXXX e o Presidente do CAU/XX ou a quem estes deleguem poderes.</w:t>
      </w:r>
    </w:p>
    <w:p>
      <w:pPr>
        <w:pStyle w:val="BodyText"/>
        <w:spacing w:before="1"/>
        <w:rPr>
          <w:sz w:val="20"/>
        </w:rPr>
      </w:pPr>
    </w:p>
    <w:p>
      <w:pPr>
        <w:pStyle w:val="BodyText"/>
        <w:ind w:left="4394"/>
        <w:jc w:val="both"/>
      </w:pPr>
      <w:r>
        <w:rPr>
          <w:w w:val="105"/>
        </w:rPr>
        <w:t>PARÁGRAFO SEGUNDO: O mandato do presidente da Comissão será de 12 (doze) meses.</w:t>
      </w:r>
    </w:p>
    <w:p>
      <w:pPr>
        <w:spacing w:after="0"/>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2824"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- 62 -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rPr>
          <w:rFonts w:ascii="DaxCondensed"/>
          <w:sz w:val="20"/>
        </w:rPr>
      </w:pPr>
    </w:p>
    <w:p>
      <w:pPr>
        <w:pStyle w:val="BodyText"/>
        <w:rPr>
          <w:rFonts w:ascii="DaxCondensed"/>
          <w:sz w:val="20"/>
        </w:rPr>
      </w:pPr>
    </w:p>
    <w:p>
      <w:pPr>
        <w:pStyle w:val="BodyText"/>
        <w:rPr>
          <w:rFonts w:ascii="DaxCondensed"/>
        </w:rPr>
      </w:pPr>
    </w:p>
    <w:p>
      <w:pPr>
        <w:pStyle w:val="Heading5"/>
        <w:ind w:right="971"/>
        <w:jc w:val="center"/>
      </w:pPr>
      <w:r>
        <w:rPr>
          <w:w w:val="105"/>
        </w:rPr>
        <w:t>Cláusula Quarta</w:t>
      </w:r>
    </w:p>
    <w:p>
      <w:pPr>
        <w:spacing w:before="12"/>
        <w:ind w:left="5086" w:right="971" w:firstLine="0"/>
        <w:jc w:val="center"/>
        <w:rPr>
          <w:b/>
          <w:sz w:val="19"/>
        </w:rPr>
      </w:pPr>
      <w:r>
        <w:rPr>
          <w:b/>
          <w:w w:val="105"/>
          <w:sz w:val="19"/>
        </w:rPr>
        <w:t>– Obrigação das partes –</w:t>
      </w:r>
    </w:p>
    <w:p>
      <w:pPr>
        <w:pStyle w:val="BodyText"/>
        <w:spacing w:before="4"/>
        <w:rPr>
          <w:b/>
          <w:sz w:val="12"/>
        </w:rPr>
      </w:pPr>
    </w:p>
    <w:p>
      <w:pPr>
        <w:pStyle w:val="BodyText"/>
        <w:spacing w:before="100"/>
        <w:ind w:left="4394"/>
      </w:pPr>
      <w:r>
        <w:rPr>
          <w:w w:val="105"/>
        </w:rPr>
        <w:t>4.1) Compete ao CAU/XX:</w:t>
      </w:r>
    </w:p>
    <w:p>
      <w:pPr>
        <w:pStyle w:val="BodyText"/>
        <w:spacing w:before="1"/>
        <w:rPr>
          <w:sz w:val="21"/>
        </w:rPr>
      </w:pPr>
    </w:p>
    <w:p>
      <w:pPr>
        <w:pStyle w:val="BodyText"/>
        <w:spacing w:line="252" w:lineRule="auto"/>
        <w:ind w:left="4394" w:right="289"/>
      </w:pPr>
      <w:r>
        <w:rPr>
          <w:w w:val="105"/>
        </w:rPr>
        <w:t>4.1.1) Comunicar, em até 72h, à Prefeitura para conhecimento e providências cabíveis, quando a fiscalização do CAU/XX constatar que há indícios de obra e/ou serviço estiver sendo executado sem alvará de construção e/ou projeto aprovado; 4.1.2)Proceder a abertura do competente processo administrativo para apuração de eventual descumprimento de normas legais, identificado ou comunicado pela PMRP;</w:t>
      </w:r>
    </w:p>
    <w:p>
      <w:pPr>
        <w:pStyle w:val="ListParagraph"/>
        <w:numPr>
          <w:ilvl w:val="2"/>
          <w:numId w:val="34"/>
        </w:numPr>
        <w:tabs>
          <w:tab w:pos="4907" w:val="left" w:leader="none"/>
        </w:tabs>
        <w:spacing w:line="247" w:lineRule="auto" w:before="4" w:after="0"/>
        <w:ind w:left="4394" w:right="275" w:firstLine="0"/>
        <w:jc w:val="both"/>
        <w:rPr>
          <w:sz w:val="19"/>
        </w:rPr>
      </w:pPr>
      <w:r>
        <w:rPr>
          <w:w w:val="105"/>
          <w:sz w:val="19"/>
        </w:rPr>
        <w:t>Cabe ao CAU/XX disponibilizar para Prefeitura acesso ao sistema corporativo do CAU, para verificar os arquitetos e urbanistas que estão habilitados ao exercício</w:t>
      </w:r>
      <w:r>
        <w:rPr>
          <w:spacing w:val="6"/>
          <w:w w:val="105"/>
          <w:sz w:val="19"/>
        </w:rPr>
        <w:t> </w:t>
      </w:r>
      <w:r>
        <w:rPr>
          <w:w w:val="105"/>
          <w:sz w:val="19"/>
        </w:rPr>
        <w:t>profissional;</w:t>
      </w:r>
    </w:p>
    <w:p>
      <w:pPr>
        <w:pStyle w:val="ListParagraph"/>
        <w:numPr>
          <w:ilvl w:val="2"/>
          <w:numId w:val="34"/>
        </w:numPr>
        <w:tabs>
          <w:tab w:pos="4906" w:val="left" w:leader="none"/>
        </w:tabs>
        <w:spacing w:line="240" w:lineRule="auto" w:before="6" w:after="0"/>
        <w:ind w:left="4905" w:right="0" w:hanging="511"/>
        <w:jc w:val="left"/>
        <w:rPr>
          <w:sz w:val="19"/>
        </w:rPr>
      </w:pPr>
      <w:r>
        <w:rPr>
          <w:w w:val="105"/>
          <w:sz w:val="19"/>
        </w:rPr>
        <w:t>Cabe ao CAU/XX realizar palestras educativas nos termos do item</w:t>
      </w:r>
      <w:r>
        <w:rPr>
          <w:spacing w:val="9"/>
          <w:w w:val="105"/>
          <w:sz w:val="19"/>
        </w:rPr>
        <w:t> </w:t>
      </w:r>
      <w:r>
        <w:rPr>
          <w:w w:val="105"/>
          <w:sz w:val="19"/>
        </w:rPr>
        <w:t>4.2.1;</w:t>
      </w:r>
    </w:p>
    <w:p>
      <w:pPr>
        <w:pStyle w:val="ListParagraph"/>
        <w:numPr>
          <w:ilvl w:val="2"/>
          <w:numId w:val="34"/>
        </w:numPr>
        <w:tabs>
          <w:tab w:pos="4907" w:val="left" w:leader="none"/>
        </w:tabs>
        <w:spacing w:line="252" w:lineRule="auto" w:before="12" w:after="0"/>
        <w:ind w:left="4394" w:right="273" w:firstLine="0"/>
        <w:jc w:val="both"/>
        <w:rPr>
          <w:sz w:val="19"/>
        </w:rPr>
      </w:pPr>
      <w:r>
        <w:rPr>
          <w:w w:val="105"/>
          <w:sz w:val="19"/>
        </w:rPr>
        <w:t>Cabe a Fiscalização do CAU/XX sempre que constatar irregularidades, e depois de esgotado o prazo fixado para regularização, encaminhar cópia, por meio eletrônico, do auto de infração à PMXXXX, para adoção das medidas cabíveis</w:t>
      </w:r>
      <w:r>
        <w:rPr>
          <w:spacing w:val="55"/>
          <w:w w:val="105"/>
          <w:sz w:val="19"/>
        </w:rPr>
        <w:t> </w:t>
      </w:r>
      <w:r>
        <w:rPr>
          <w:w w:val="105"/>
          <w:sz w:val="19"/>
        </w:rPr>
        <w:t>que visem a execução plena dos objetivos do presente</w:t>
      </w:r>
      <w:r>
        <w:rPr>
          <w:spacing w:val="10"/>
          <w:w w:val="105"/>
          <w:sz w:val="19"/>
        </w:rPr>
        <w:t> </w:t>
      </w:r>
      <w:r>
        <w:rPr>
          <w:w w:val="105"/>
          <w:sz w:val="19"/>
        </w:rPr>
        <w:t>ajuste.</w:t>
      </w:r>
    </w:p>
    <w:p>
      <w:pPr>
        <w:pStyle w:val="BodyText"/>
        <w:rPr>
          <w:sz w:val="22"/>
        </w:rPr>
      </w:pPr>
    </w:p>
    <w:p>
      <w:pPr>
        <w:pStyle w:val="BodyText"/>
        <w:spacing w:before="4"/>
        <w:rPr>
          <w:sz w:val="18"/>
        </w:rPr>
      </w:pPr>
    </w:p>
    <w:p>
      <w:pPr>
        <w:pStyle w:val="ListParagraph"/>
        <w:numPr>
          <w:ilvl w:val="1"/>
          <w:numId w:val="35"/>
        </w:numPr>
        <w:tabs>
          <w:tab w:pos="4795" w:val="left" w:leader="none"/>
        </w:tabs>
        <w:spacing w:line="240" w:lineRule="auto" w:before="0" w:after="0"/>
        <w:ind w:left="4794" w:right="0" w:hanging="400"/>
        <w:jc w:val="left"/>
        <w:rPr>
          <w:sz w:val="19"/>
        </w:rPr>
      </w:pPr>
      <w:r>
        <w:rPr>
          <w:w w:val="105"/>
          <w:sz w:val="19"/>
        </w:rPr>
        <w:t>Compete à</w:t>
      </w:r>
      <w:r>
        <w:rPr>
          <w:spacing w:val="2"/>
          <w:w w:val="105"/>
          <w:sz w:val="19"/>
        </w:rPr>
        <w:t> </w:t>
      </w:r>
      <w:r>
        <w:rPr>
          <w:w w:val="105"/>
          <w:sz w:val="19"/>
        </w:rPr>
        <w:t>PMXXXX:</w:t>
      </w:r>
    </w:p>
    <w:p>
      <w:pPr>
        <w:pStyle w:val="BodyText"/>
        <w:rPr>
          <w:sz w:val="21"/>
        </w:rPr>
      </w:pPr>
    </w:p>
    <w:p>
      <w:pPr>
        <w:pStyle w:val="ListParagraph"/>
        <w:numPr>
          <w:ilvl w:val="2"/>
          <w:numId w:val="35"/>
        </w:numPr>
        <w:tabs>
          <w:tab w:pos="4906" w:val="left" w:leader="none"/>
        </w:tabs>
        <w:spacing w:line="249" w:lineRule="auto" w:before="1" w:after="0"/>
        <w:ind w:left="4394" w:right="275" w:firstLine="0"/>
        <w:jc w:val="both"/>
        <w:rPr>
          <w:sz w:val="19"/>
        </w:rPr>
      </w:pPr>
      <w:r>
        <w:rPr>
          <w:w w:val="105"/>
          <w:sz w:val="19"/>
        </w:rPr>
        <w:t>Comunicar ao CAU/BR, no prazo de 72h, quando a equipe de fiscalização da Prefeitura verificar que a obra e/ou</w:t>
      </w:r>
      <w:r>
        <w:rPr>
          <w:spacing w:val="55"/>
          <w:w w:val="105"/>
          <w:sz w:val="19"/>
        </w:rPr>
        <w:t> </w:t>
      </w:r>
      <w:r>
        <w:rPr>
          <w:w w:val="105"/>
          <w:sz w:val="19"/>
        </w:rPr>
        <w:t>serviço aparentemente estiver sendo executado sem a participação efetiva e declarada de arquiteto e urbanista, ou profissional habilitado por outro conselho profissional, para conhecimento e providências</w:t>
      </w:r>
      <w:r>
        <w:rPr>
          <w:spacing w:val="1"/>
          <w:w w:val="105"/>
          <w:sz w:val="19"/>
        </w:rPr>
        <w:t> </w:t>
      </w:r>
      <w:r>
        <w:rPr>
          <w:w w:val="105"/>
          <w:sz w:val="19"/>
        </w:rPr>
        <w:t>cabíveis;</w:t>
      </w:r>
    </w:p>
    <w:p>
      <w:pPr>
        <w:pStyle w:val="ListParagraph"/>
        <w:numPr>
          <w:ilvl w:val="2"/>
          <w:numId w:val="35"/>
        </w:numPr>
        <w:tabs>
          <w:tab w:pos="4906" w:val="left" w:leader="none"/>
        </w:tabs>
        <w:spacing w:line="252" w:lineRule="auto" w:before="4" w:after="0"/>
        <w:ind w:left="4394" w:right="275" w:firstLine="0"/>
        <w:jc w:val="both"/>
        <w:rPr>
          <w:sz w:val="19"/>
        </w:rPr>
      </w:pPr>
      <w:r>
        <w:rPr>
          <w:w w:val="105"/>
          <w:sz w:val="19"/>
        </w:rPr>
        <w:t>Cabe à Prefeitura Municipal de XXXXXXXXXXXXX encaminhar ao CAU/XX listagem com os arquitetos e urbanistas</w:t>
      </w:r>
      <w:r>
        <w:rPr>
          <w:spacing w:val="55"/>
          <w:w w:val="105"/>
          <w:sz w:val="19"/>
        </w:rPr>
        <w:t> </w:t>
      </w:r>
      <w:r>
        <w:rPr>
          <w:w w:val="105"/>
          <w:sz w:val="19"/>
        </w:rPr>
        <w:t>dos órgãos</w:t>
      </w:r>
      <w:r>
        <w:rPr>
          <w:spacing w:val="2"/>
          <w:w w:val="105"/>
          <w:sz w:val="19"/>
        </w:rPr>
        <w:t> </w:t>
      </w:r>
      <w:r>
        <w:rPr>
          <w:w w:val="105"/>
          <w:sz w:val="19"/>
        </w:rPr>
        <w:t>municipais;</w:t>
      </w:r>
    </w:p>
    <w:p>
      <w:pPr>
        <w:pStyle w:val="ListParagraph"/>
        <w:numPr>
          <w:ilvl w:val="2"/>
          <w:numId w:val="35"/>
        </w:numPr>
        <w:tabs>
          <w:tab w:pos="4906" w:val="left" w:leader="none"/>
        </w:tabs>
        <w:spacing w:line="252" w:lineRule="auto" w:before="2" w:after="0"/>
        <w:ind w:left="4394" w:right="275" w:firstLine="0"/>
        <w:jc w:val="both"/>
        <w:rPr>
          <w:sz w:val="19"/>
        </w:rPr>
      </w:pPr>
      <w:r>
        <w:rPr>
          <w:w w:val="105"/>
          <w:sz w:val="19"/>
        </w:rPr>
        <w:t>Cabe à Prefeitura exigir dos arquitetos e urbanistas que desempenham atividades inerentes à profissão nos vários órgãos municipais, o Registro de Responsabilidade Técnica de Cargo e Função no</w:t>
      </w:r>
      <w:r>
        <w:rPr>
          <w:spacing w:val="8"/>
          <w:w w:val="105"/>
          <w:sz w:val="19"/>
        </w:rPr>
        <w:t> </w:t>
      </w:r>
      <w:r>
        <w:rPr>
          <w:w w:val="105"/>
          <w:sz w:val="19"/>
        </w:rPr>
        <w:t>CAU;</w:t>
      </w:r>
    </w:p>
    <w:p>
      <w:pPr>
        <w:pStyle w:val="ListParagraph"/>
        <w:numPr>
          <w:ilvl w:val="2"/>
          <w:numId w:val="35"/>
        </w:numPr>
        <w:tabs>
          <w:tab w:pos="4906" w:val="left" w:leader="none"/>
        </w:tabs>
        <w:spacing w:line="252" w:lineRule="auto" w:before="2" w:after="0"/>
        <w:ind w:left="4394" w:right="273" w:firstLine="0"/>
        <w:jc w:val="both"/>
        <w:rPr>
          <w:sz w:val="19"/>
        </w:rPr>
      </w:pPr>
      <w:r>
        <w:rPr>
          <w:w w:val="105"/>
          <w:sz w:val="19"/>
        </w:rPr>
        <w:t>Cabe à Prefeitura desenvolver medidas preventivas destinadas á redução de inadimplência dos seus profissionais quanto a registro no CAU/XX, RRT de Cargo e Função, débitos de anuidades, através de divulgação da legislação pertinente, com a conscientização dos</w:t>
      </w:r>
      <w:r>
        <w:rPr>
          <w:spacing w:val="5"/>
          <w:w w:val="105"/>
          <w:sz w:val="19"/>
        </w:rPr>
        <w:t> </w:t>
      </w:r>
      <w:r>
        <w:rPr>
          <w:w w:val="105"/>
          <w:sz w:val="19"/>
        </w:rPr>
        <w:t>mesmos;</w:t>
      </w:r>
    </w:p>
    <w:p>
      <w:pPr>
        <w:pStyle w:val="ListParagraph"/>
        <w:numPr>
          <w:ilvl w:val="2"/>
          <w:numId w:val="35"/>
        </w:numPr>
        <w:tabs>
          <w:tab w:pos="4906" w:val="left" w:leader="none"/>
        </w:tabs>
        <w:spacing w:line="252" w:lineRule="auto" w:before="3" w:after="0"/>
        <w:ind w:left="4394" w:right="274" w:firstLine="0"/>
        <w:jc w:val="both"/>
        <w:rPr>
          <w:sz w:val="19"/>
        </w:rPr>
      </w:pPr>
      <w:r>
        <w:rPr>
          <w:w w:val="105"/>
          <w:sz w:val="19"/>
        </w:rPr>
        <w:t>Cabe à Prefeitura de XXXXXXXXXXXXX exigir nos procedimentos licitatórios que envolvam a execução de obras e/ou prestação de serviços afetos à arquitetura e urbanismo, o competente registro perante o CAU/XX e o devido registro de RRT relativo ao serviço a ser prestado, inclusive no que tange aos monumentos, patrimônio histórico, bens tombados, sítios urbanos, dentre</w:t>
      </w:r>
      <w:r>
        <w:rPr>
          <w:spacing w:val="1"/>
          <w:w w:val="105"/>
          <w:sz w:val="19"/>
        </w:rPr>
        <w:t> </w:t>
      </w:r>
      <w:r>
        <w:rPr>
          <w:w w:val="105"/>
          <w:sz w:val="19"/>
        </w:rPr>
        <w:t>outros;</w:t>
      </w:r>
    </w:p>
    <w:p>
      <w:pPr>
        <w:pStyle w:val="ListParagraph"/>
        <w:numPr>
          <w:ilvl w:val="2"/>
          <w:numId w:val="35"/>
        </w:numPr>
        <w:tabs>
          <w:tab w:pos="4906" w:val="left" w:leader="none"/>
        </w:tabs>
        <w:spacing w:line="252" w:lineRule="auto" w:before="0" w:after="0"/>
        <w:ind w:left="4394" w:right="275" w:firstLine="0"/>
        <w:jc w:val="left"/>
        <w:rPr>
          <w:sz w:val="19"/>
        </w:rPr>
      </w:pPr>
      <w:r>
        <w:rPr>
          <w:w w:val="105"/>
          <w:sz w:val="19"/>
        </w:rPr>
        <w:t>Reservar espaço em veículos de informação municipais, para a divulgação de matérias de interesse dos profissionais de Arquitetura e Urbanismo, relacionadas com as atividades referidas neste Termo de Cooperação Técnica; 4.2.7)Implementar ações de fiscalização do uso e ocupação do solo em suas respectivas áreas de atuação, consoantes formulários próprios e normativas</w:t>
      </w:r>
      <w:r>
        <w:rPr>
          <w:spacing w:val="4"/>
          <w:w w:val="105"/>
          <w:sz w:val="19"/>
        </w:rPr>
        <w:t> </w:t>
      </w:r>
      <w:r>
        <w:rPr>
          <w:w w:val="105"/>
          <w:sz w:val="19"/>
        </w:rPr>
        <w:t>fiscalizatórias;</w:t>
      </w:r>
    </w:p>
    <w:p>
      <w:pPr>
        <w:pStyle w:val="ListParagraph"/>
        <w:numPr>
          <w:ilvl w:val="2"/>
          <w:numId w:val="36"/>
        </w:numPr>
        <w:tabs>
          <w:tab w:pos="4906" w:val="left" w:leader="none"/>
        </w:tabs>
        <w:spacing w:line="252" w:lineRule="auto" w:before="3" w:after="0"/>
        <w:ind w:left="4394" w:right="278" w:firstLine="0"/>
        <w:jc w:val="both"/>
        <w:rPr>
          <w:sz w:val="19"/>
        </w:rPr>
      </w:pPr>
      <w:r>
        <w:rPr>
          <w:w w:val="105"/>
          <w:sz w:val="19"/>
        </w:rPr>
        <w:t>Possibilitar o acesso a dados pertinentes aos campos de atuação do profissional arquiteto urbanista presentes no Art. 2º da Lei n.12.378 de 32 de dezembro de</w:t>
      </w:r>
      <w:r>
        <w:rPr>
          <w:spacing w:val="8"/>
          <w:w w:val="105"/>
          <w:sz w:val="19"/>
        </w:rPr>
        <w:t> </w:t>
      </w:r>
      <w:r>
        <w:rPr>
          <w:w w:val="105"/>
          <w:sz w:val="19"/>
        </w:rPr>
        <w:t>2010.</w:t>
      </w:r>
    </w:p>
    <w:p>
      <w:pPr>
        <w:spacing w:after="0" w:line="252" w:lineRule="auto"/>
        <w:jc w:val="both"/>
        <w:rPr>
          <w:sz w:val="19"/>
        </w:rPr>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2848"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- 63 -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pStyle w:val="ListParagraph"/>
        <w:numPr>
          <w:ilvl w:val="2"/>
          <w:numId w:val="36"/>
        </w:numPr>
        <w:tabs>
          <w:tab w:pos="4906" w:val="left" w:leader="none"/>
        </w:tabs>
        <w:spacing w:line="252" w:lineRule="auto" w:before="100" w:after="0"/>
        <w:ind w:left="4394" w:right="3372" w:firstLine="0"/>
        <w:jc w:val="left"/>
        <w:rPr>
          <w:sz w:val="19"/>
        </w:rPr>
      </w:pPr>
      <w:r>
        <w:rPr>
          <w:w w:val="105"/>
          <w:sz w:val="19"/>
        </w:rPr>
        <w:t>Exigir, para emissão de Alvarás de execução de obras, RRT de projeto arquitetônico. 4.2.10)No ato da emissão de</w:t>
      </w:r>
      <w:r>
        <w:rPr>
          <w:spacing w:val="5"/>
          <w:w w:val="105"/>
          <w:sz w:val="19"/>
        </w:rPr>
        <w:t> </w:t>
      </w:r>
      <w:r>
        <w:rPr>
          <w:w w:val="105"/>
          <w:sz w:val="19"/>
        </w:rPr>
        <w:t>habite-se:</w:t>
      </w:r>
    </w:p>
    <w:p>
      <w:pPr>
        <w:pStyle w:val="ListParagraph"/>
        <w:numPr>
          <w:ilvl w:val="3"/>
          <w:numId w:val="37"/>
        </w:numPr>
        <w:tabs>
          <w:tab w:pos="5184" w:val="left" w:leader="none"/>
        </w:tabs>
        <w:spacing w:line="240" w:lineRule="auto" w:before="2" w:after="0"/>
        <w:ind w:left="5183" w:right="0" w:hanging="789"/>
        <w:jc w:val="left"/>
        <w:rPr>
          <w:sz w:val="19"/>
        </w:rPr>
      </w:pPr>
      <w:r>
        <w:rPr>
          <w:w w:val="105"/>
          <w:sz w:val="19"/>
        </w:rPr>
        <w:t>Exigir baixa do RRT de execução da obra, se a mesma tiver como responsável um</w:t>
      </w:r>
      <w:r>
        <w:rPr>
          <w:spacing w:val="6"/>
          <w:w w:val="105"/>
          <w:sz w:val="19"/>
        </w:rPr>
        <w:t> </w:t>
      </w:r>
      <w:r>
        <w:rPr>
          <w:w w:val="105"/>
          <w:sz w:val="19"/>
        </w:rPr>
        <w:t>arquiteto;</w:t>
      </w:r>
    </w:p>
    <w:p>
      <w:pPr>
        <w:pStyle w:val="ListParagraph"/>
        <w:numPr>
          <w:ilvl w:val="3"/>
          <w:numId w:val="37"/>
        </w:numPr>
        <w:tabs>
          <w:tab w:pos="5257" w:val="left" w:leader="none"/>
        </w:tabs>
        <w:spacing w:line="252" w:lineRule="auto" w:before="12" w:after="0"/>
        <w:ind w:left="4394" w:right="276" w:firstLine="0"/>
        <w:jc w:val="both"/>
        <w:rPr>
          <w:sz w:val="19"/>
        </w:rPr>
      </w:pPr>
      <w:r>
        <w:rPr>
          <w:w w:val="105"/>
          <w:sz w:val="19"/>
        </w:rPr>
        <w:t>Exigir, do autor do projeto, atestado de conformidade da obra executada com o respectivo projeto arquitetônico e suas especificações, baseado nos ditames do Código Civil e da Lei 12.378/2010, que resguardam o projeto proibindo sua modificação.</w:t>
      </w:r>
    </w:p>
    <w:p>
      <w:pPr>
        <w:pStyle w:val="BodyText"/>
        <w:spacing w:before="3"/>
        <w:rPr>
          <w:sz w:val="20"/>
        </w:rPr>
      </w:pPr>
    </w:p>
    <w:p>
      <w:pPr>
        <w:pStyle w:val="ListParagraph"/>
        <w:numPr>
          <w:ilvl w:val="1"/>
          <w:numId w:val="38"/>
        </w:numPr>
        <w:tabs>
          <w:tab w:pos="4740" w:val="left" w:leader="none"/>
        </w:tabs>
        <w:spacing w:line="240" w:lineRule="auto" w:before="1" w:after="0"/>
        <w:ind w:left="4739" w:right="0" w:hanging="345"/>
        <w:jc w:val="left"/>
        <w:rPr>
          <w:sz w:val="19"/>
        </w:rPr>
      </w:pPr>
      <w:r>
        <w:rPr>
          <w:w w:val="105"/>
          <w:sz w:val="19"/>
        </w:rPr>
        <w:t>Compete ao</w:t>
      </w:r>
      <w:r>
        <w:rPr>
          <w:spacing w:val="2"/>
          <w:w w:val="105"/>
          <w:sz w:val="19"/>
        </w:rPr>
        <w:t> </w:t>
      </w:r>
      <w:r>
        <w:rPr>
          <w:w w:val="105"/>
          <w:sz w:val="19"/>
        </w:rPr>
        <w:t>CAU/BR:</w:t>
      </w:r>
    </w:p>
    <w:p>
      <w:pPr>
        <w:pStyle w:val="BodyText"/>
        <w:rPr>
          <w:sz w:val="21"/>
        </w:rPr>
      </w:pPr>
    </w:p>
    <w:p>
      <w:pPr>
        <w:pStyle w:val="ListParagraph"/>
        <w:numPr>
          <w:ilvl w:val="2"/>
          <w:numId w:val="38"/>
        </w:numPr>
        <w:tabs>
          <w:tab w:pos="4906" w:val="left" w:leader="none"/>
        </w:tabs>
        <w:spacing w:line="252" w:lineRule="auto" w:before="1" w:after="0"/>
        <w:ind w:left="4394" w:right="276" w:firstLine="0"/>
        <w:jc w:val="left"/>
        <w:rPr>
          <w:sz w:val="19"/>
        </w:rPr>
      </w:pPr>
      <w:r>
        <w:rPr>
          <w:w w:val="105"/>
          <w:sz w:val="19"/>
        </w:rPr>
        <w:t>Auxiliar o CAU/XX e a PMXXXX nas ações preventivas, corretivas e educativas quanto ao exercício profissional de arquitetura e Urbanismo, no Distrito sede do Município de</w:t>
      </w:r>
      <w:r>
        <w:rPr>
          <w:spacing w:val="8"/>
          <w:w w:val="105"/>
          <w:sz w:val="19"/>
        </w:rPr>
        <w:t> </w:t>
      </w:r>
      <w:r>
        <w:rPr>
          <w:w w:val="105"/>
          <w:sz w:val="19"/>
        </w:rPr>
        <w:t>XXXXXXXXXXXXX;</w:t>
      </w:r>
    </w:p>
    <w:p>
      <w:pPr>
        <w:pStyle w:val="ListParagraph"/>
        <w:numPr>
          <w:ilvl w:val="2"/>
          <w:numId w:val="38"/>
        </w:numPr>
        <w:tabs>
          <w:tab w:pos="4906" w:val="left" w:leader="none"/>
        </w:tabs>
        <w:spacing w:line="252" w:lineRule="auto" w:before="0" w:after="0"/>
        <w:ind w:left="4394" w:right="276" w:firstLine="0"/>
        <w:jc w:val="left"/>
        <w:rPr>
          <w:sz w:val="19"/>
        </w:rPr>
      </w:pPr>
      <w:r>
        <w:rPr>
          <w:w w:val="105"/>
          <w:sz w:val="19"/>
        </w:rPr>
        <w:t>Informar o CAU/XX e a PMXXXX a ocorrência de fatos que comprometam o presente Termo de Cooperação Técnica; 4..3.3)Reservar espaço, em veículos de informação do CAU/BR, para a divulgação de matérias de interesse dos profissionais de Arquitetura e Urbanismo, relacionadas com as atividades referidas neste Termo de Cooperação</w:t>
      </w:r>
      <w:r>
        <w:rPr>
          <w:spacing w:val="2"/>
          <w:w w:val="105"/>
          <w:sz w:val="19"/>
        </w:rPr>
        <w:t> </w:t>
      </w:r>
      <w:r>
        <w:rPr>
          <w:w w:val="105"/>
          <w:sz w:val="19"/>
        </w:rPr>
        <w:t>Técnica;</w:t>
      </w:r>
    </w:p>
    <w:p>
      <w:pPr>
        <w:pStyle w:val="ListParagraph"/>
        <w:numPr>
          <w:ilvl w:val="2"/>
          <w:numId w:val="39"/>
        </w:numPr>
        <w:tabs>
          <w:tab w:pos="4906" w:val="left" w:leader="none"/>
        </w:tabs>
        <w:spacing w:line="252" w:lineRule="auto" w:before="0" w:after="0"/>
        <w:ind w:left="4394" w:right="276" w:firstLine="0"/>
        <w:jc w:val="left"/>
        <w:rPr>
          <w:sz w:val="19"/>
        </w:rPr>
      </w:pPr>
      <w:r>
        <w:rPr>
          <w:w w:val="105"/>
          <w:sz w:val="19"/>
        </w:rPr>
        <w:t>Incentivar a implementação de processos ambientalmente adequados aos sistemas de gestão do CAU/XX e da PMXXXX.</w:t>
      </w:r>
    </w:p>
    <w:p>
      <w:pPr>
        <w:pStyle w:val="ListParagraph"/>
        <w:numPr>
          <w:ilvl w:val="2"/>
          <w:numId w:val="39"/>
        </w:numPr>
        <w:tabs>
          <w:tab w:pos="4906" w:val="left" w:leader="none"/>
        </w:tabs>
        <w:spacing w:line="252" w:lineRule="auto" w:before="2" w:after="0"/>
        <w:ind w:left="4394" w:right="275" w:firstLine="0"/>
        <w:jc w:val="left"/>
        <w:rPr>
          <w:sz w:val="19"/>
        </w:rPr>
      </w:pPr>
      <w:r>
        <w:rPr>
          <w:w w:val="105"/>
          <w:sz w:val="19"/>
        </w:rPr>
        <w:t>Ampliar conhecimentos sobre ocupação do solo, em ambiente de inteligência geográfica, com foco nos aspectos ambientais relevantes, mediante capacitação do corpo técnico das partes</w:t>
      </w:r>
      <w:r>
        <w:rPr>
          <w:spacing w:val="5"/>
          <w:w w:val="105"/>
          <w:sz w:val="19"/>
        </w:rPr>
        <w:t> </w:t>
      </w:r>
      <w:r>
        <w:rPr>
          <w:w w:val="105"/>
          <w:sz w:val="19"/>
        </w:rPr>
        <w:t>signatárias;</w:t>
      </w:r>
    </w:p>
    <w:p>
      <w:pPr>
        <w:pStyle w:val="ListParagraph"/>
        <w:numPr>
          <w:ilvl w:val="2"/>
          <w:numId w:val="39"/>
        </w:numPr>
        <w:tabs>
          <w:tab w:pos="4906" w:val="left" w:leader="none"/>
        </w:tabs>
        <w:spacing w:line="240" w:lineRule="auto" w:before="2" w:after="0"/>
        <w:ind w:left="4905" w:right="0" w:hanging="511"/>
        <w:jc w:val="left"/>
        <w:rPr>
          <w:sz w:val="19"/>
        </w:rPr>
      </w:pPr>
      <w:r>
        <w:rPr>
          <w:w w:val="105"/>
          <w:sz w:val="19"/>
        </w:rPr>
        <w:t>Apoiar o CAU/XX e a PMXXXX, na execução das atividades relativas ao presente</w:t>
      </w:r>
      <w:r>
        <w:rPr>
          <w:spacing w:val="8"/>
          <w:w w:val="105"/>
          <w:sz w:val="19"/>
        </w:rPr>
        <w:t> </w:t>
      </w:r>
      <w:r>
        <w:rPr>
          <w:w w:val="105"/>
          <w:sz w:val="19"/>
        </w:rPr>
        <w:t>Termo.</w:t>
      </w:r>
    </w:p>
    <w:p>
      <w:pPr>
        <w:pStyle w:val="BodyText"/>
        <w:rPr>
          <w:sz w:val="22"/>
        </w:rPr>
      </w:pPr>
    </w:p>
    <w:p>
      <w:pPr>
        <w:pStyle w:val="BodyText"/>
        <w:spacing w:before="1"/>
      </w:pPr>
    </w:p>
    <w:p>
      <w:pPr>
        <w:pStyle w:val="Heading5"/>
        <w:ind w:left="9217"/>
      </w:pPr>
      <w:r>
        <w:rPr>
          <w:w w:val="105"/>
        </w:rPr>
        <w:t>Cláusula Quinta</w:t>
      </w:r>
    </w:p>
    <w:p>
      <w:pPr>
        <w:spacing w:before="7"/>
        <w:ind w:left="8656" w:right="0" w:firstLine="0"/>
        <w:jc w:val="left"/>
        <w:rPr>
          <w:b/>
          <w:sz w:val="19"/>
        </w:rPr>
      </w:pPr>
      <w:r>
        <w:rPr>
          <w:b/>
          <w:w w:val="105"/>
          <w:sz w:val="19"/>
        </w:rPr>
        <w:t>– Do Suporte Tecnológico –</w:t>
      </w:r>
    </w:p>
    <w:p>
      <w:pPr>
        <w:pStyle w:val="BodyText"/>
        <w:rPr>
          <w:b/>
          <w:sz w:val="22"/>
        </w:rPr>
      </w:pPr>
    </w:p>
    <w:p>
      <w:pPr>
        <w:pStyle w:val="BodyText"/>
        <w:spacing w:before="1"/>
        <w:rPr>
          <w:b/>
        </w:rPr>
      </w:pPr>
    </w:p>
    <w:p>
      <w:pPr>
        <w:pStyle w:val="BodyText"/>
        <w:spacing w:line="252" w:lineRule="auto"/>
        <w:ind w:left="4394" w:right="274"/>
        <w:jc w:val="both"/>
      </w:pPr>
      <w:r>
        <w:rPr>
          <w:w w:val="105"/>
        </w:rPr>
        <w:t>5.1)O CAU/BR se compromete a disponibilizar via ‘rede mundial de computadores’ o suporte de ambiente de Sistema de Inteligência Geográfica ao CAU/XX, que permitirá o roteamento ótimo para as atividades de campo e demais funcionalidades e interoperabilidades tecnológicas, para a otimização dos trabalhos. O CAU/XX enviará relatório dos mesmos à PMXXXX.</w:t>
      </w:r>
    </w:p>
    <w:p>
      <w:pPr>
        <w:pStyle w:val="BodyText"/>
        <w:rPr>
          <w:sz w:val="22"/>
        </w:rPr>
      </w:pPr>
    </w:p>
    <w:p>
      <w:pPr>
        <w:pStyle w:val="BodyText"/>
        <w:spacing w:before="4"/>
        <w:rPr>
          <w:sz w:val="18"/>
        </w:rPr>
      </w:pPr>
    </w:p>
    <w:p>
      <w:pPr>
        <w:pStyle w:val="Heading5"/>
        <w:ind w:left="9267"/>
      </w:pPr>
      <w:r>
        <w:rPr>
          <w:w w:val="105"/>
        </w:rPr>
        <w:t>Cláusula Sexta</w:t>
      </w:r>
    </w:p>
    <w:p>
      <w:pPr>
        <w:spacing w:before="12"/>
        <w:ind w:left="8294" w:right="0" w:firstLine="0"/>
        <w:jc w:val="left"/>
        <w:rPr>
          <w:b/>
          <w:sz w:val="19"/>
        </w:rPr>
      </w:pPr>
      <w:r>
        <w:rPr>
          <w:b/>
          <w:w w:val="105"/>
          <w:sz w:val="19"/>
        </w:rPr>
        <w:t>– Dos Compromissos Recíprocos –</w:t>
      </w:r>
    </w:p>
    <w:p>
      <w:pPr>
        <w:pStyle w:val="BodyText"/>
        <w:rPr>
          <w:b/>
          <w:sz w:val="22"/>
        </w:rPr>
      </w:pPr>
    </w:p>
    <w:p>
      <w:pPr>
        <w:pStyle w:val="BodyText"/>
        <w:spacing w:before="8"/>
        <w:rPr>
          <w:b/>
          <w:sz w:val="18"/>
        </w:rPr>
      </w:pPr>
    </w:p>
    <w:p>
      <w:pPr>
        <w:pStyle w:val="ListParagraph"/>
        <w:numPr>
          <w:ilvl w:val="1"/>
          <w:numId w:val="40"/>
        </w:numPr>
        <w:tabs>
          <w:tab w:pos="4740" w:val="left" w:leader="none"/>
        </w:tabs>
        <w:spacing w:line="252" w:lineRule="auto" w:before="0" w:after="0"/>
        <w:ind w:left="4394" w:right="275" w:firstLine="0"/>
        <w:jc w:val="left"/>
        <w:rPr>
          <w:sz w:val="19"/>
        </w:rPr>
      </w:pPr>
      <w:r>
        <w:rPr>
          <w:w w:val="105"/>
          <w:sz w:val="19"/>
        </w:rPr>
        <w:t>As partes signatárias deste Termo de Cooperação Técnica responsabilizar-se-ão pela remuneração de seus respectivos servidores, designados para as ações e atividades nele previstas, e</w:t>
      </w:r>
      <w:r>
        <w:rPr>
          <w:spacing w:val="7"/>
          <w:w w:val="105"/>
          <w:sz w:val="19"/>
        </w:rPr>
        <w:t> </w:t>
      </w:r>
      <w:r>
        <w:rPr>
          <w:w w:val="105"/>
          <w:sz w:val="19"/>
        </w:rPr>
        <w:t>deverão:</w:t>
      </w:r>
    </w:p>
    <w:p>
      <w:pPr>
        <w:pStyle w:val="BodyText"/>
        <w:spacing w:before="2"/>
        <w:rPr>
          <w:sz w:val="20"/>
        </w:rPr>
      </w:pPr>
    </w:p>
    <w:p>
      <w:pPr>
        <w:pStyle w:val="ListParagraph"/>
        <w:numPr>
          <w:ilvl w:val="2"/>
          <w:numId w:val="40"/>
        </w:numPr>
        <w:tabs>
          <w:tab w:pos="4906" w:val="left" w:leader="none"/>
        </w:tabs>
        <w:spacing w:line="240" w:lineRule="auto" w:before="0" w:after="0"/>
        <w:ind w:left="4905" w:right="0" w:hanging="511"/>
        <w:jc w:val="left"/>
        <w:rPr>
          <w:sz w:val="19"/>
        </w:rPr>
      </w:pPr>
      <w:r>
        <w:rPr>
          <w:w w:val="105"/>
          <w:sz w:val="19"/>
        </w:rPr>
        <w:t>Recomendar a capacitação profissional para o desempenho das ações previstas neste Termo de Cooperação</w:t>
      </w:r>
      <w:r>
        <w:rPr>
          <w:spacing w:val="-17"/>
          <w:w w:val="105"/>
          <w:sz w:val="19"/>
        </w:rPr>
        <w:t> </w:t>
      </w:r>
      <w:r>
        <w:rPr>
          <w:w w:val="105"/>
          <w:sz w:val="19"/>
        </w:rPr>
        <w:t>Técnica;</w:t>
      </w:r>
    </w:p>
    <w:p>
      <w:pPr>
        <w:spacing w:after="0" w:line="240" w:lineRule="auto"/>
        <w:jc w:val="left"/>
        <w:rPr>
          <w:sz w:val="19"/>
        </w:rPr>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2872"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- 64 -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pStyle w:val="ListParagraph"/>
        <w:numPr>
          <w:ilvl w:val="2"/>
          <w:numId w:val="40"/>
        </w:numPr>
        <w:tabs>
          <w:tab w:pos="4906" w:val="left" w:leader="none"/>
        </w:tabs>
        <w:spacing w:line="252" w:lineRule="auto" w:before="100" w:after="0"/>
        <w:ind w:left="4394" w:right="275" w:firstLine="0"/>
        <w:jc w:val="both"/>
        <w:rPr>
          <w:sz w:val="19"/>
        </w:rPr>
      </w:pPr>
      <w:r>
        <w:rPr>
          <w:w w:val="105"/>
          <w:sz w:val="19"/>
        </w:rPr>
        <w:t>Recomendar a adequação da legislação urbanística e edilícia do Município de XXXXXXXXX no que tange às</w:t>
      </w:r>
      <w:r>
        <w:rPr>
          <w:spacing w:val="55"/>
          <w:w w:val="105"/>
          <w:sz w:val="19"/>
        </w:rPr>
        <w:t> </w:t>
      </w:r>
      <w:r>
        <w:rPr>
          <w:w w:val="105"/>
          <w:sz w:val="19"/>
        </w:rPr>
        <w:t>atribuições profissionais dos Arquitetos e</w:t>
      </w:r>
      <w:r>
        <w:rPr>
          <w:spacing w:val="5"/>
          <w:w w:val="105"/>
          <w:sz w:val="19"/>
        </w:rPr>
        <w:t> </w:t>
      </w:r>
      <w:r>
        <w:rPr>
          <w:w w:val="105"/>
          <w:sz w:val="19"/>
        </w:rPr>
        <w:t>Urbanistas;</w:t>
      </w:r>
    </w:p>
    <w:p>
      <w:pPr>
        <w:pStyle w:val="BodyText"/>
        <w:spacing w:before="3"/>
        <w:rPr>
          <w:sz w:val="20"/>
        </w:rPr>
      </w:pPr>
    </w:p>
    <w:p>
      <w:pPr>
        <w:pStyle w:val="ListParagraph"/>
        <w:numPr>
          <w:ilvl w:val="2"/>
          <w:numId w:val="40"/>
        </w:numPr>
        <w:tabs>
          <w:tab w:pos="4906" w:val="left" w:leader="none"/>
        </w:tabs>
        <w:spacing w:line="252" w:lineRule="auto" w:before="0" w:after="0"/>
        <w:ind w:left="4394" w:right="274" w:firstLine="0"/>
        <w:jc w:val="both"/>
        <w:rPr>
          <w:sz w:val="19"/>
        </w:rPr>
      </w:pPr>
      <w:r>
        <w:rPr>
          <w:w w:val="105"/>
          <w:sz w:val="19"/>
        </w:rPr>
        <w:t>Recomendar a criação de instrumentos, meios e modos de realização do disposto na Lei n.º11.888 de 24 de dezembro de 2008, que trata da assistência técnica pública e</w:t>
      </w:r>
      <w:r>
        <w:rPr>
          <w:spacing w:val="8"/>
          <w:w w:val="105"/>
          <w:sz w:val="19"/>
        </w:rPr>
        <w:t> </w:t>
      </w:r>
      <w:r>
        <w:rPr>
          <w:w w:val="105"/>
          <w:sz w:val="19"/>
        </w:rPr>
        <w:t>gratuita.</w:t>
      </w:r>
    </w:p>
    <w:p>
      <w:pPr>
        <w:pStyle w:val="BodyText"/>
        <w:spacing w:before="2"/>
        <w:rPr>
          <w:sz w:val="20"/>
        </w:rPr>
      </w:pPr>
    </w:p>
    <w:p>
      <w:pPr>
        <w:pStyle w:val="Heading5"/>
        <w:ind w:left="9206"/>
      </w:pPr>
      <w:r>
        <w:rPr>
          <w:w w:val="105"/>
        </w:rPr>
        <w:t>Cláusula Sétima</w:t>
      </w:r>
    </w:p>
    <w:p>
      <w:pPr>
        <w:spacing w:before="12"/>
        <w:ind w:left="8550" w:right="0" w:firstLine="0"/>
        <w:jc w:val="left"/>
        <w:rPr>
          <w:b/>
          <w:sz w:val="19"/>
        </w:rPr>
      </w:pPr>
      <w:r>
        <w:rPr>
          <w:b/>
          <w:w w:val="105"/>
          <w:sz w:val="19"/>
        </w:rPr>
        <w:t>– Dos Recursos Financeiros –</w:t>
      </w:r>
    </w:p>
    <w:p>
      <w:pPr>
        <w:pStyle w:val="BodyText"/>
        <w:spacing w:before="1"/>
        <w:rPr>
          <w:b/>
          <w:sz w:val="21"/>
        </w:rPr>
      </w:pPr>
    </w:p>
    <w:p>
      <w:pPr>
        <w:pStyle w:val="BodyText"/>
        <w:spacing w:line="252" w:lineRule="auto"/>
        <w:ind w:left="4394" w:right="279"/>
        <w:jc w:val="both"/>
      </w:pPr>
      <w:r>
        <w:rPr>
          <w:w w:val="105"/>
        </w:rPr>
        <w:t>7.1)O presente Termo não envolve a transferência de recursos financeiros, cabendo a cada partícipe o custeio das despesas inerentes ás tarefas de sua competência.</w:t>
      </w:r>
    </w:p>
    <w:p>
      <w:pPr>
        <w:pStyle w:val="BodyText"/>
        <w:rPr>
          <w:sz w:val="22"/>
        </w:rPr>
      </w:pPr>
    </w:p>
    <w:p>
      <w:pPr>
        <w:pStyle w:val="BodyText"/>
        <w:spacing w:before="9"/>
        <w:rPr>
          <w:sz w:val="17"/>
        </w:rPr>
      </w:pPr>
    </w:p>
    <w:p>
      <w:pPr>
        <w:pStyle w:val="Heading5"/>
        <w:ind w:left="9228"/>
      </w:pPr>
      <w:r>
        <w:rPr>
          <w:w w:val="105"/>
        </w:rPr>
        <w:t>Cláusula Oitava</w:t>
      </w:r>
    </w:p>
    <w:p>
      <w:pPr>
        <w:spacing w:before="12"/>
        <w:ind w:left="8561" w:right="0" w:firstLine="0"/>
        <w:jc w:val="left"/>
        <w:rPr>
          <w:b/>
          <w:sz w:val="19"/>
        </w:rPr>
      </w:pPr>
      <w:r>
        <w:rPr>
          <w:b/>
          <w:w w:val="105"/>
          <w:sz w:val="19"/>
        </w:rPr>
        <w:t>– Da vigência e da alteração –</w:t>
      </w:r>
    </w:p>
    <w:p>
      <w:pPr>
        <w:pStyle w:val="BodyText"/>
        <w:spacing w:before="1"/>
        <w:rPr>
          <w:b/>
          <w:sz w:val="21"/>
        </w:rPr>
      </w:pPr>
    </w:p>
    <w:p>
      <w:pPr>
        <w:pStyle w:val="ListParagraph"/>
        <w:numPr>
          <w:ilvl w:val="1"/>
          <w:numId w:val="41"/>
        </w:numPr>
        <w:tabs>
          <w:tab w:pos="4740" w:val="left" w:leader="none"/>
        </w:tabs>
        <w:spacing w:line="252" w:lineRule="auto" w:before="0" w:after="0"/>
        <w:ind w:left="4394" w:right="274" w:firstLine="0"/>
        <w:jc w:val="both"/>
        <w:rPr>
          <w:sz w:val="19"/>
        </w:rPr>
      </w:pPr>
      <w:r>
        <w:rPr>
          <w:w w:val="105"/>
          <w:sz w:val="19"/>
        </w:rPr>
        <w:t>O presente termo vigorará pelo prazo de 4 (quatro) anos, contados a partir da data de sua publicação, podendo ser prorrogado tantas vezes, de acordo com o interesse das</w:t>
      </w:r>
      <w:r>
        <w:rPr>
          <w:spacing w:val="9"/>
          <w:w w:val="105"/>
          <w:sz w:val="19"/>
        </w:rPr>
        <w:t> </w:t>
      </w:r>
      <w:r>
        <w:rPr>
          <w:w w:val="105"/>
          <w:sz w:val="19"/>
        </w:rPr>
        <w:t>partes.</w:t>
      </w:r>
    </w:p>
    <w:p>
      <w:pPr>
        <w:pStyle w:val="BodyText"/>
        <w:spacing w:before="2"/>
        <w:rPr>
          <w:sz w:val="20"/>
        </w:rPr>
      </w:pPr>
    </w:p>
    <w:p>
      <w:pPr>
        <w:pStyle w:val="ListParagraph"/>
        <w:numPr>
          <w:ilvl w:val="1"/>
          <w:numId w:val="41"/>
        </w:numPr>
        <w:tabs>
          <w:tab w:pos="4740" w:val="left" w:leader="none"/>
        </w:tabs>
        <w:spacing w:line="240" w:lineRule="auto" w:before="1" w:after="0"/>
        <w:ind w:left="4739" w:right="0" w:hanging="345"/>
        <w:jc w:val="left"/>
        <w:rPr>
          <w:sz w:val="19"/>
        </w:rPr>
      </w:pPr>
      <w:r>
        <w:rPr>
          <w:w w:val="105"/>
          <w:sz w:val="19"/>
        </w:rPr>
        <w:t>As alterações deste Termo serão promovidas por intermédio de termo</w:t>
      </w:r>
      <w:r>
        <w:rPr>
          <w:spacing w:val="8"/>
          <w:w w:val="105"/>
          <w:sz w:val="19"/>
        </w:rPr>
        <w:t> </w:t>
      </w:r>
      <w:r>
        <w:rPr>
          <w:w w:val="105"/>
          <w:sz w:val="19"/>
        </w:rPr>
        <w:t>aditivo.</w:t>
      </w:r>
    </w:p>
    <w:p>
      <w:pPr>
        <w:pStyle w:val="BodyText"/>
        <w:rPr>
          <w:sz w:val="22"/>
        </w:rPr>
      </w:pPr>
    </w:p>
    <w:p>
      <w:pPr>
        <w:pStyle w:val="BodyText"/>
        <w:spacing w:before="7"/>
        <w:rPr>
          <w:sz w:val="18"/>
        </w:rPr>
      </w:pPr>
    </w:p>
    <w:p>
      <w:pPr>
        <w:pStyle w:val="Heading5"/>
        <w:spacing w:before="1"/>
        <w:ind w:left="9284"/>
      </w:pPr>
      <w:r>
        <w:rPr>
          <w:w w:val="105"/>
        </w:rPr>
        <w:t>Cláusula Nona</w:t>
      </w:r>
    </w:p>
    <w:p>
      <w:pPr>
        <w:spacing w:before="11"/>
        <w:ind w:left="8561" w:right="0" w:firstLine="0"/>
        <w:jc w:val="left"/>
        <w:rPr>
          <w:b/>
          <w:sz w:val="19"/>
        </w:rPr>
      </w:pPr>
      <w:r>
        <w:rPr>
          <w:b/>
          <w:w w:val="105"/>
          <w:sz w:val="19"/>
        </w:rPr>
        <w:t>– Da vigência e da alteração –</w:t>
      </w:r>
    </w:p>
    <w:p>
      <w:pPr>
        <w:pStyle w:val="BodyText"/>
        <w:spacing w:before="1"/>
        <w:rPr>
          <w:b/>
          <w:sz w:val="21"/>
        </w:rPr>
      </w:pPr>
    </w:p>
    <w:p>
      <w:pPr>
        <w:pStyle w:val="ListParagraph"/>
        <w:numPr>
          <w:ilvl w:val="1"/>
          <w:numId w:val="42"/>
        </w:numPr>
        <w:tabs>
          <w:tab w:pos="4740" w:val="left" w:leader="none"/>
        </w:tabs>
        <w:spacing w:line="252" w:lineRule="auto" w:before="0" w:after="0"/>
        <w:ind w:left="4394" w:right="276" w:firstLine="0"/>
        <w:jc w:val="both"/>
        <w:rPr>
          <w:sz w:val="19"/>
        </w:rPr>
      </w:pPr>
      <w:r>
        <w:rPr>
          <w:w w:val="105"/>
          <w:sz w:val="19"/>
        </w:rPr>
        <w:t>Na ocorrência de qualquer fato que demonstre, comprovadamente, o comprometimento do objeto do presente Termo, as partes poderão, a qualquer tempo, denunciá-lo, mediante comunicação por escrito, com antecedência mínima de 30 (trinta) dias, ressalvado o cumprimento das obrigações assumidas, independentemente de interpelação judicial ou</w:t>
      </w:r>
      <w:r>
        <w:rPr>
          <w:spacing w:val="-18"/>
          <w:w w:val="105"/>
          <w:sz w:val="19"/>
        </w:rPr>
        <w:t> </w:t>
      </w:r>
      <w:r>
        <w:rPr>
          <w:w w:val="105"/>
          <w:sz w:val="19"/>
        </w:rPr>
        <w:t>extrajudicial.</w:t>
      </w:r>
    </w:p>
    <w:p>
      <w:pPr>
        <w:pStyle w:val="BodyText"/>
        <w:spacing w:before="4"/>
        <w:rPr>
          <w:sz w:val="20"/>
        </w:rPr>
      </w:pPr>
    </w:p>
    <w:p>
      <w:pPr>
        <w:pStyle w:val="ListParagraph"/>
        <w:numPr>
          <w:ilvl w:val="1"/>
          <w:numId w:val="42"/>
        </w:numPr>
        <w:tabs>
          <w:tab w:pos="4740" w:val="left" w:leader="none"/>
        </w:tabs>
        <w:spacing w:line="252" w:lineRule="auto" w:before="0" w:after="0"/>
        <w:ind w:left="4394" w:right="274" w:firstLine="0"/>
        <w:jc w:val="both"/>
        <w:rPr>
          <w:sz w:val="19"/>
        </w:rPr>
      </w:pPr>
      <w:r>
        <w:rPr>
          <w:w w:val="105"/>
          <w:sz w:val="19"/>
        </w:rPr>
        <w:t>Constitui motivo para denúncia do presente Termo o descumprimento de quaisquer de suas cláusulas ou condições estabelecidas nos planos de trabalho dos termos aditivos específicos que poderão ser</w:t>
      </w:r>
      <w:r>
        <w:rPr>
          <w:spacing w:val="5"/>
          <w:w w:val="105"/>
          <w:sz w:val="19"/>
        </w:rPr>
        <w:t> </w:t>
      </w:r>
      <w:r>
        <w:rPr>
          <w:w w:val="105"/>
          <w:sz w:val="19"/>
        </w:rPr>
        <w:t>firmados.</w:t>
      </w:r>
    </w:p>
    <w:p>
      <w:pPr>
        <w:pStyle w:val="BodyText"/>
        <w:spacing w:before="2"/>
        <w:rPr>
          <w:sz w:val="20"/>
        </w:rPr>
      </w:pPr>
    </w:p>
    <w:p>
      <w:pPr>
        <w:pStyle w:val="Heading5"/>
        <w:ind w:left="9178"/>
      </w:pPr>
      <w:r>
        <w:rPr>
          <w:w w:val="105"/>
        </w:rPr>
        <w:t>Cláusula Décima</w:t>
      </w:r>
    </w:p>
    <w:p>
      <w:pPr>
        <w:spacing w:before="12"/>
        <w:ind w:left="9128" w:right="0" w:firstLine="0"/>
        <w:jc w:val="left"/>
        <w:rPr>
          <w:b/>
          <w:sz w:val="19"/>
        </w:rPr>
      </w:pPr>
      <w:r>
        <w:rPr>
          <w:b/>
          <w:w w:val="105"/>
          <w:sz w:val="19"/>
        </w:rPr>
        <w:t>– Da Publicação –</w:t>
      </w:r>
    </w:p>
    <w:p>
      <w:pPr>
        <w:pStyle w:val="BodyText"/>
        <w:spacing w:before="7"/>
        <w:rPr>
          <w:b/>
          <w:sz w:val="20"/>
        </w:rPr>
      </w:pPr>
    </w:p>
    <w:p>
      <w:pPr>
        <w:pStyle w:val="BodyText"/>
        <w:spacing w:line="252" w:lineRule="auto" w:before="1"/>
        <w:ind w:left="4394" w:right="278"/>
        <w:jc w:val="both"/>
      </w:pPr>
      <w:r>
        <w:rPr>
          <w:w w:val="105"/>
        </w:rPr>
        <w:t>10.1)As partes farão publicar o presente Termo em veículo da Prefeitura Municipal, na forma de extrato, no prazo de 20 (vinte) dias corridos subseqüentes ao de sua</w:t>
      </w:r>
      <w:r>
        <w:rPr>
          <w:spacing w:val="6"/>
          <w:w w:val="105"/>
        </w:rPr>
        <w:t> </w:t>
      </w:r>
      <w:r>
        <w:rPr>
          <w:w w:val="105"/>
        </w:rPr>
        <w:t>assinatura.</w:t>
      </w:r>
    </w:p>
    <w:p>
      <w:pPr>
        <w:spacing w:after="0" w:line="252" w:lineRule="auto"/>
        <w:jc w:val="both"/>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2896" type="#_x0000_t202" filled="true" fillcolor="#00666d"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ind w:left="1263" w:right="1394"/>
                    <w:jc w:val="center"/>
                  </w:pPr>
                  <w:r>
                    <w:rPr>
                      <w:color w:val="FFFFFF"/>
                      <w:w w:val="105"/>
                    </w:rPr>
                    <w:t>- 65 -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 -</w:t>
      </w:r>
    </w:p>
    <w:p>
      <w:pPr>
        <w:pStyle w:val="BodyText"/>
        <w:spacing w:before="5"/>
        <w:rPr>
          <w:rFonts w:ascii="DaxCondensed"/>
          <w:sz w:val="29"/>
        </w:rPr>
      </w:pPr>
    </w:p>
    <w:p>
      <w:pPr>
        <w:pStyle w:val="Heading5"/>
        <w:spacing w:before="100"/>
        <w:ind w:left="8750"/>
      </w:pPr>
      <w:r>
        <w:rPr>
          <w:w w:val="105"/>
        </w:rPr>
        <w:t>Cláusula Décima Primeira</w:t>
      </w:r>
    </w:p>
    <w:p>
      <w:pPr>
        <w:spacing w:before="12"/>
        <w:ind w:left="5086" w:right="971" w:firstLine="0"/>
        <w:jc w:val="center"/>
        <w:rPr>
          <w:b/>
          <w:sz w:val="19"/>
        </w:rPr>
      </w:pPr>
      <w:r>
        <w:rPr>
          <w:b/>
          <w:w w:val="105"/>
          <w:sz w:val="19"/>
        </w:rPr>
        <w:t>– Do Foro –</w:t>
      </w:r>
    </w:p>
    <w:p>
      <w:pPr>
        <w:pStyle w:val="BodyText"/>
        <w:spacing w:before="1"/>
        <w:rPr>
          <w:b/>
          <w:sz w:val="21"/>
        </w:rPr>
      </w:pPr>
    </w:p>
    <w:p>
      <w:pPr>
        <w:pStyle w:val="BodyText"/>
        <w:ind w:left="4394"/>
      </w:pPr>
      <w:r>
        <w:rPr>
          <w:w w:val="105"/>
        </w:rPr>
        <w:t>11.1)As questões e dúvidas oriundas deste Termo serão dirimidas administrativamente, no âmbito dos órgãos públicos.</w:t>
      </w:r>
    </w:p>
    <w:p>
      <w:pPr>
        <w:pStyle w:val="BodyText"/>
        <w:spacing w:before="1"/>
        <w:rPr>
          <w:sz w:val="21"/>
        </w:rPr>
      </w:pPr>
    </w:p>
    <w:p>
      <w:pPr>
        <w:pStyle w:val="BodyText"/>
        <w:spacing w:line="252" w:lineRule="auto"/>
        <w:ind w:left="4394"/>
      </w:pPr>
      <w:r>
        <w:rPr>
          <w:w w:val="105"/>
        </w:rPr>
        <w:t>E, por estarem, assim, justos e acordados, firmam o presente Termo em duas vias de igual teor e forma, na presença das testemunhas identificadas, para que produza seus efeitos jurídicos e legais em juízo e fora dele.</w:t>
      </w:r>
    </w:p>
    <w:p>
      <w:pPr>
        <w:pStyle w:val="BodyText"/>
        <w:spacing w:before="2"/>
        <w:rPr>
          <w:sz w:val="20"/>
        </w:rPr>
      </w:pPr>
    </w:p>
    <w:p>
      <w:pPr>
        <w:pStyle w:val="BodyText"/>
        <w:ind w:left="4394"/>
      </w:pPr>
      <w:r>
        <w:rPr>
          <w:w w:val="105"/>
        </w:rPr>
        <w:t>XXXXXXXXXXXXX julho de 2012.</w:t>
      </w:r>
    </w:p>
    <w:p>
      <w:pPr>
        <w:pStyle w:val="BodyText"/>
        <w:rPr>
          <w:sz w:val="22"/>
        </w:rPr>
      </w:pPr>
    </w:p>
    <w:p>
      <w:pPr>
        <w:pStyle w:val="BodyText"/>
        <w:rPr>
          <w:sz w:val="22"/>
        </w:rPr>
      </w:pPr>
    </w:p>
    <w:p>
      <w:pPr>
        <w:pStyle w:val="BodyText"/>
        <w:spacing w:before="193"/>
        <w:ind w:left="5086" w:right="969"/>
        <w:jc w:val="center"/>
      </w:pPr>
      <w:r>
        <w:rPr>
          <w:w w:val="105"/>
        </w:rPr>
        <w:t>XXXXXXXXXXX</w:t>
      </w:r>
    </w:p>
    <w:p>
      <w:pPr>
        <w:pStyle w:val="BodyText"/>
        <w:spacing w:before="12"/>
        <w:ind w:left="5086" w:right="971"/>
        <w:jc w:val="center"/>
      </w:pPr>
      <w:r>
        <w:rPr>
          <w:w w:val="105"/>
        </w:rPr>
        <w:t>Prefeita Municipal de XXXXXXXXXXXXX</w:t>
      </w:r>
    </w:p>
    <w:p>
      <w:pPr>
        <w:pStyle w:val="BodyText"/>
        <w:rPr>
          <w:sz w:val="22"/>
        </w:rPr>
      </w:pPr>
    </w:p>
    <w:p>
      <w:pPr>
        <w:pStyle w:val="BodyText"/>
        <w:spacing w:before="1"/>
      </w:pPr>
    </w:p>
    <w:p>
      <w:pPr>
        <w:pStyle w:val="BodyText"/>
        <w:ind w:left="5086" w:right="970"/>
        <w:jc w:val="center"/>
      </w:pPr>
      <w:r>
        <w:rPr>
          <w:w w:val="105"/>
        </w:rPr>
        <w:t>Arquiteto XXXXXXXXXXXXXXX</w:t>
      </w:r>
    </w:p>
    <w:p>
      <w:pPr>
        <w:pStyle w:val="BodyText"/>
        <w:spacing w:line="252" w:lineRule="auto" w:before="12"/>
        <w:ind w:left="7538" w:right="3422"/>
        <w:jc w:val="center"/>
      </w:pPr>
      <w:r>
        <w:rPr>
          <w:w w:val="105"/>
        </w:rPr>
        <w:t>Conselho de Arquitetura e Urbanismo de XXXXXXXXX Presidente</w:t>
      </w:r>
    </w:p>
    <w:p>
      <w:pPr>
        <w:pStyle w:val="BodyText"/>
        <w:rPr>
          <w:sz w:val="22"/>
        </w:rPr>
      </w:pPr>
    </w:p>
    <w:p>
      <w:pPr>
        <w:pStyle w:val="BodyText"/>
        <w:spacing w:before="2"/>
        <w:rPr>
          <w:sz w:val="18"/>
        </w:rPr>
      </w:pPr>
    </w:p>
    <w:p>
      <w:pPr>
        <w:pStyle w:val="BodyText"/>
        <w:spacing w:line="247" w:lineRule="auto" w:before="1"/>
        <w:ind w:left="7888" w:right="3762" w:firstLine="578"/>
      </w:pPr>
      <w:r>
        <w:rPr>
          <w:w w:val="105"/>
        </w:rPr>
        <w:t>Haroldo Pinheiro Villar de Queiroz Conselho de Arquitetura e Urbanismo do Brasil</w:t>
      </w:r>
    </w:p>
    <w:p>
      <w:pPr>
        <w:pStyle w:val="BodyText"/>
        <w:spacing w:before="6"/>
        <w:ind w:left="5086" w:right="971"/>
        <w:jc w:val="center"/>
      </w:pPr>
      <w:r>
        <w:rPr>
          <w:w w:val="105"/>
        </w:rPr>
        <w:t>Presidente</w:t>
      </w:r>
    </w:p>
    <w:p>
      <w:pPr>
        <w:pStyle w:val="BodyText"/>
        <w:rPr>
          <w:sz w:val="21"/>
        </w:rPr>
      </w:pPr>
    </w:p>
    <w:p>
      <w:pPr>
        <w:pStyle w:val="BodyText"/>
        <w:ind w:left="4394"/>
      </w:pPr>
      <w:r>
        <w:rPr>
          <w:w w:val="105"/>
        </w:rPr>
        <w:t>Testemunhas:</w:t>
      </w:r>
    </w:p>
    <w:p>
      <w:pPr>
        <w:pStyle w:val="BodyText"/>
        <w:spacing w:before="1"/>
        <w:rPr>
          <w:sz w:val="21"/>
        </w:rPr>
      </w:pPr>
    </w:p>
    <w:p>
      <w:pPr>
        <w:pStyle w:val="BodyText"/>
        <w:tabs>
          <w:tab w:pos="9152" w:val="left" w:leader="none"/>
        </w:tabs>
        <w:ind w:left="4394"/>
      </w:pPr>
      <w:r>
        <w:rPr>
          <w:w w:val="105"/>
        </w:rPr>
        <w:t>Nome:</w:t>
        <w:tab/>
        <w:t>Nome:</w:t>
      </w:r>
    </w:p>
    <w:p>
      <w:pPr>
        <w:pStyle w:val="BodyText"/>
        <w:tabs>
          <w:tab w:pos="9184" w:val="left" w:leader="none"/>
        </w:tabs>
        <w:spacing w:before="12"/>
        <w:ind w:left="4394"/>
      </w:pPr>
      <w:r>
        <w:rPr>
          <w:w w:val="105"/>
        </w:rPr>
        <w:t>CPF:</w:t>
        <w:tab/>
        <w:t>CPF:</w:t>
      </w:r>
    </w:p>
    <w:p>
      <w:pPr>
        <w:spacing w:after="0"/>
        <w:sectPr>
          <w:pgSz w:w="16840" w:h="11900" w:orient="landscape"/>
          <w:pgMar w:top="240" w:bottom="0" w:left="140" w:right="860"/>
        </w:sectPr>
      </w:pPr>
    </w:p>
    <w:p>
      <w:pPr>
        <w:pStyle w:val="BodyText"/>
        <w:rPr>
          <w:sz w:val="20"/>
        </w:rPr>
      </w:pPr>
      <w:r>
        <w:rPr/>
        <w:pict>
          <v:shape style="position:absolute;margin-left:12pt;margin-top:12pt;width:158.2pt;height:571pt;mso-position-horizontal-relative:page;mso-position-vertical-relative:page;z-index:2944" type="#_x0000_t202" filled="true" fillcolor="#00666d" stroked="false">
            <v:textbox inset="0,0,0,0">
              <w:txbxContent>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rPr>
                      <w:rFonts w:ascii="DaxCondensed"/>
                      <w:sz w:val="22"/>
                    </w:rPr>
                  </w:pPr>
                </w:p>
                <w:p>
                  <w:pPr>
                    <w:pStyle w:val="BodyText"/>
                    <w:spacing w:before="126"/>
                    <w:ind w:left="1263" w:right="1394"/>
                    <w:jc w:val="center"/>
                  </w:pPr>
                  <w:r>
                    <w:rPr>
                      <w:color w:val="FFFFFF"/>
                      <w:w w:val="105"/>
                    </w:rPr>
                    <w:t>- 66 -</w:t>
                  </w:r>
                </w:p>
              </w:txbxContent>
            </v:textbox>
            <v:fill type="solid"/>
            <w10:wrap type="none"/>
          </v:shape>
        </w:pict>
      </w:r>
    </w:p>
    <w:p>
      <w:pPr>
        <w:pStyle w:val="BodyText"/>
        <w:spacing w:before="10"/>
        <w:rPr>
          <w:sz w:val="21"/>
        </w:rPr>
      </w:pPr>
    </w:p>
    <w:p>
      <w:pPr>
        <w:pStyle w:val="Heading4"/>
      </w:pPr>
      <w:r>
        <w:rPr>
          <w:color w:val="00666D"/>
        </w:rPr>
        <w:t>- Manual de Fiscalização do Exercício da Arquitetura e Urbanismo</w:t>
      </w:r>
      <w:r>
        <w:rPr>
          <w:color w:val="00666D"/>
          <w:spacing w:val="-1"/>
        </w:rPr>
        <w:t> </w:t>
      </w:r>
      <w:r>
        <w:rPr>
          <w:color w:val="00666D"/>
        </w:rPr>
        <w:t>-</w:t>
      </w:r>
    </w:p>
    <w:p>
      <w:pPr>
        <w:pStyle w:val="BodyText"/>
        <w:rPr>
          <w:rFonts w:ascii="DaxCondensed"/>
          <w:sz w:val="20"/>
        </w:rPr>
      </w:pPr>
    </w:p>
    <w:p>
      <w:pPr>
        <w:pStyle w:val="BodyText"/>
        <w:rPr>
          <w:rFonts w:ascii="DaxCondensed"/>
          <w:sz w:val="20"/>
        </w:rPr>
      </w:pPr>
    </w:p>
    <w:p>
      <w:pPr>
        <w:pStyle w:val="BodyText"/>
        <w:rPr>
          <w:rFonts w:ascii="DaxCondensed"/>
          <w:sz w:val="20"/>
        </w:rPr>
      </w:pPr>
    </w:p>
    <w:p>
      <w:pPr>
        <w:pStyle w:val="ListParagraph"/>
        <w:numPr>
          <w:ilvl w:val="1"/>
          <w:numId w:val="31"/>
        </w:numPr>
        <w:tabs>
          <w:tab w:pos="5114" w:val="left" w:leader="none"/>
          <w:tab w:pos="5115" w:val="left" w:leader="none"/>
          <w:tab w:pos="15589" w:val="left" w:leader="none"/>
        </w:tabs>
        <w:spacing w:line="240" w:lineRule="auto" w:before="253" w:after="0"/>
        <w:ind w:left="5114" w:right="0" w:hanging="720"/>
        <w:jc w:val="left"/>
        <w:rPr>
          <w:rFonts w:ascii="DaxCondensed" w:hAnsi="DaxCondensed"/>
          <w:color w:val="FFFFFF"/>
          <w:sz w:val="28"/>
        </w:rPr>
      </w:pPr>
      <w:r>
        <w:rPr>
          <w:rFonts w:ascii="DaxCondensed" w:hAnsi="DaxCondensed"/>
          <w:color w:val="FFFFFF"/>
          <w:sz w:val="28"/>
          <w:shd w:fill="00666D" w:color="auto" w:val="clear"/>
        </w:rPr>
        <w:t>Fluxograma de</w:t>
      </w:r>
      <w:r>
        <w:rPr>
          <w:rFonts w:ascii="DaxCondensed" w:hAnsi="DaxCondensed"/>
          <w:color w:val="FFFFFF"/>
          <w:spacing w:val="-14"/>
          <w:sz w:val="28"/>
          <w:shd w:fill="00666D" w:color="auto" w:val="clear"/>
        </w:rPr>
        <w:t> </w:t>
      </w:r>
      <w:r>
        <w:rPr>
          <w:rFonts w:ascii="DaxCondensed" w:hAnsi="DaxCondensed"/>
          <w:color w:val="FFFFFF"/>
          <w:sz w:val="28"/>
          <w:shd w:fill="00666D" w:color="auto" w:val="clear"/>
        </w:rPr>
        <w:t>Fiscalização</w:t>
        <w:tab/>
      </w:r>
    </w:p>
    <w:p>
      <w:pPr>
        <w:pStyle w:val="BodyText"/>
        <w:rPr>
          <w:rFonts w:ascii="DaxCondensed"/>
          <w:sz w:val="20"/>
        </w:rPr>
      </w:pPr>
    </w:p>
    <w:p>
      <w:pPr>
        <w:pStyle w:val="BodyText"/>
        <w:spacing w:before="4"/>
        <w:rPr>
          <w:rFonts w:ascii="DaxCondensed"/>
          <w:sz w:val="26"/>
        </w:rPr>
      </w:pPr>
      <w:r>
        <w:rPr/>
        <w:drawing>
          <wp:anchor distT="0" distB="0" distL="0" distR="0" allowOverlap="1" layoutInCell="1" locked="0" behindDoc="0" simplePos="0" relativeHeight="79">
            <wp:simplePos x="0" y="0"/>
            <wp:positionH relativeFrom="page">
              <wp:posOffset>3617718</wp:posOffset>
            </wp:positionH>
            <wp:positionV relativeFrom="paragraph">
              <wp:posOffset>212332</wp:posOffset>
            </wp:positionV>
            <wp:extent cx="5249982" cy="5019198"/>
            <wp:effectExtent l="0" t="0" r="0" b="0"/>
            <wp:wrapTopAndBottom/>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12" cstate="print"/>
                    <a:stretch>
                      <a:fillRect/>
                    </a:stretch>
                  </pic:blipFill>
                  <pic:spPr>
                    <a:xfrm>
                      <a:off x="0" y="0"/>
                      <a:ext cx="5249982" cy="5019198"/>
                    </a:xfrm>
                    <a:prstGeom prst="rect">
                      <a:avLst/>
                    </a:prstGeom>
                  </pic:spPr>
                </pic:pic>
              </a:graphicData>
            </a:graphic>
          </wp:anchor>
        </w:drawing>
      </w:r>
    </w:p>
    <w:p>
      <w:pPr>
        <w:spacing w:after="0"/>
        <w:rPr>
          <w:rFonts w:ascii="DaxCondensed"/>
          <w:sz w:val="26"/>
        </w:rPr>
        <w:sectPr>
          <w:pgSz w:w="16840" w:h="11900" w:orient="landscape"/>
          <w:pgMar w:top="240" w:bottom="0" w:left="140" w:right="860"/>
        </w:sectPr>
      </w:pPr>
    </w:p>
    <w:p>
      <w:pPr>
        <w:pStyle w:val="BodyText"/>
        <w:spacing w:before="4"/>
        <w:rPr>
          <w:rFonts w:ascii="Times New Roman"/>
          <w:sz w:val="17"/>
        </w:rPr>
      </w:pPr>
      <w:r>
        <w:rPr/>
        <w:pict>
          <v:shape style="position:absolute;margin-left:76.088127pt;margin-top:36.060001pt;width:578.75pt;height:534.85pt;mso-position-horizontal-relative:page;mso-position-vertical-relative:page;z-index:-146104" type="#_x0000_t202" filled="false" stroked="false">
            <v:textbox inset="0,0,0,0">
              <w:txbxContent>
                <w:p>
                  <w:pPr>
                    <w:spacing w:before="0"/>
                    <w:ind w:left="5733" w:right="0" w:firstLine="0"/>
                    <w:jc w:val="left"/>
                    <w:rPr>
                      <w:rFonts w:ascii="DaxCondensed" w:hAnsi="DaxCondensed"/>
                      <w:sz w:val="24"/>
                    </w:rPr>
                  </w:pPr>
                  <w:r>
                    <w:rPr>
                      <w:rFonts w:ascii="DaxCondensed" w:hAnsi="DaxCondensed"/>
                      <w:color w:val="00666D"/>
                      <w:sz w:val="24"/>
                    </w:rPr>
                    <w:t>- Manual de Fiscalização do Exercício da Arquitetura e Urbanismo -</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8"/>
                    <w:rPr>
                      <w:rFonts w:ascii="Times New Roman"/>
                      <w:sz w:val="29"/>
                    </w:rPr>
                  </w:pPr>
                </w:p>
                <w:p>
                  <w:pPr>
                    <w:pStyle w:val="BodyText"/>
                  </w:pPr>
                  <w:r>
                    <w:rPr>
                      <w:color w:val="FFFFFF"/>
                      <w:w w:val="105"/>
                    </w:rPr>
                    <w:t>- 67 -</w:t>
                  </w:r>
                </w:p>
              </w:txbxContent>
            </v:textbox>
            <w10:wrap type="none"/>
          </v:shape>
        </w:pict>
      </w:r>
      <w:r>
        <w:rPr/>
        <w:pict>
          <v:rect style="position:absolute;margin-left:12pt;margin-top:12pt;width:818pt;height:571pt;mso-position-horizontal-relative:page;mso-position-vertical-relative:page;z-index:2992" filled="true" fillcolor="#00666d" stroked="false">
            <v:fill type="solid"/>
            <w10:wrap type="none"/>
          </v:rect>
        </w:pict>
      </w:r>
    </w:p>
    <w:sectPr>
      <w:pgSz w:w="16840" w:h="11900" w:orient="landscape"/>
      <w:pgMar w:top="1100" w:bottom="280" w:left="140" w:right="8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axCondensed-Black">
    <w:altName w:val="DaxCondensed-Black"/>
    <w:charset w:val="0"/>
    <w:family w:val="auto"/>
    <w:pitch w:val="variable"/>
  </w:font>
  <w:font w:name="Arial">
    <w:altName w:val="Arial"/>
    <w:charset w:val="0"/>
    <w:family w:val="swiss"/>
    <w:pitch w:val="variable"/>
  </w:font>
  <w:font w:name="DaxCondensed">
    <w:altName w:val="DaxCondensed"/>
    <w:charset w:val="0"/>
    <w:family w:val="auto"/>
    <w:pitch w:val="variable"/>
  </w:font>
  <w:font w:name="Cambria">
    <w:altName w:val="Cambria"/>
    <w:charset w:val="0"/>
    <w:family w:val="roman"/>
    <w:pitch w:val="variable"/>
  </w:font>
  <w:font w:name="Wingdings">
    <w:altName w:val="Wingdings"/>
    <w:charset w:val="2"/>
    <w:family w:val="auto"/>
    <w:pitch w:val="variable"/>
  </w:font>
  <w:font w:name="Arial Unicode MS">
    <w:altName w:val="Arial Unicode M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1"/>
      <w:numFmt w:val="upperRoman"/>
      <w:lvlText w:val="%1"/>
      <w:lvlJc w:val="left"/>
      <w:pPr>
        <w:ind w:left="181" w:hanging="183"/>
        <w:jc w:val="left"/>
      </w:pPr>
      <w:rPr>
        <w:rFonts w:hint="default" w:ascii="Arial" w:hAnsi="Arial" w:eastAsia="Arial" w:cs="Arial"/>
        <w:w w:val="104"/>
        <w:sz w:val="17"/>
        <w:szCs w:val="17"/>
      </w:rPr>
    </w:lvl>
    <w:lvl w:ilvl="1">
      <w:start w:val="0"/>
      <w:numFmt w:val="bullet"/>
      <w:lvlText w:val="•"/>
      <w:lvlJc w:val="left"/>
      <w:pPr>
        <w:ind w:left="7240" w:hanging="183"/>
      </w:pPr>
      <w:rPr>
        <w:rFonts w:hint="default"/>
      </w:rPr>
    </w:lvl>
    <w:lvl w:ilvl="2">
      <w:start w:val="0"/>
      <w:numFmt w:val="bullet"/>
      <w:lvlText w:val="•"/>
      <w:lvlJc w:val="left"/>
      <w:pPr>
        <w:ind w:left="7183" w:hanging="183"/>
      </w:pPr>
      <w:rPr>
        <w:rFonts w:hint="default"/>
      </w:rPr>
    </w:lvl>
    <w:lvl w:ilvl="3">
      <w:start w:val="0"/>
      <w:numFmt w:val="bullet"/>
      <w:lvlText w:val="•"/>
      <w:lvlJc w:val="left"/>
      <w:pPr>
        <w:ind w:left="7126" w:hanging="183"/>
      </w:pPr>
      <w:rPr>
        <w:rFonts w:hint="default"/>
      </w:rPr>
    </w:lvl>
    <w:lvl w:ilvl="4">
      <w:start w:val="0"/>
      <w:numFmt w:val="bullet"/>
      <w:lvlText w:val="•"/>
      <w:lvlJc w:val="left"/>
      <w:pPr>
        <w:ind w:left="7069" w:hanging="183"/>
      </w:pPr>
      <w:rPr>
        <w:rFonts w:hint="default"/>
      </w:rPr>
    </w:lvl>
    <w:lvl w:ilvl="5">
      <w:start w:val="0"/>
      <w:numFmt w:val="bullet"/>
      <w:lvlText w:val="•"/>
      <w:lvlJc w:val="left"/>
      <w:pPr>
        <w:ind w:left="7013" w:hanging="183"/>
      </w:pPr>
      <w:rPr>
        <w:rFonts w:hint="default"/>
      </w:rPr>
    </w:lvl>
    <w:lvl w:ilvl="6">
      <w:start w:val="0"/>
      <w:numFmt w:val="bullet"/>
      <w:lvlText w:val="•"/>
      <w:lvlJc w:val="left"/>
      <w:pPr>
        <w:ind w:left="6956" w:hanging="183"/>
      </w:pPr>
      <w:rPr>
        <w:rFonts w:hint="default"/>
      </w:rPr>
    </w:lvl>
    <w:lvl w:ilvl="7">
      <w:start w:val="0"/>
      <w:numFmt w:val="bullet"/>
      <w:lvlText w:val="•"/>
      <w:lvlJc w:val="left"/>
      <w:pPr>
        <w:ind w:left="6899" w:hanging="183"/>
      </w:pPr>
      <w:rPr>
        <w:rFonts w:hint="default"/>
      </w:rPr>
    </w:lvl>
    <w:lvl w:ilvl="8">
      <w:start w:val="0"/>
      <w:numFmt w:val="bullet"/>
      <w:lvlText w:val="•"/>
      <w:lvlJc w:val="left"/>
      <w:pPr>
        <w:ind w:left="6843" w:hanging="183"/>
      </w:pPr>
      <w:rPr>
        <w:rFonts w:hint="default"/>
      </w:rPr>
    </w:lvl>
  </w:abstractNum>
  <w:abstractNum w:abstractNumId="41">
    <w:multiLevelType w:val="hybridMultilevel"/>
    <w:lvl w:ilvl="0">
      <w:start w:val="9"/>
      <w:numFmt w:val="decimal"/>
      <w:lvlText w:val="%1"/>
      <w:lvlJc w:val="left"/>
      <w:pPr>
        <w:ind w:left="4394" w:hanging="345"/>
        <w:jc w:val="left"/>
      </w:pPr>
      <w:rPr>
        <w:rFonts w:hint="default"/>
      </w:rPr>
    </w:lvl>
    <w:lvl w:ilvl="1">
      <w:start w:val="1"/>
      <w:numFmt w:val="decimal"/>
      <w:lvlText w:val="%1.%2)"/>
      <w:lvlJc w:val="left"/>
      <w:pPr>
        <w:ind w:left="4394" w:hanging="345"/>
        <w:jc w:val="left"/>
      </w:pPr>
      <w:rPr>
        <w:rFonts w:hint="default" w:ascii="Arial" w:hAnsi="Arial" w:eastAsia="Arial" w:cs="Arial"/>
        <w:spacing w:val="0"/>
        <w:w w:val="103"/>
        <w:sz w:val="17"/>
        <w:szCs w:val="17"/>
      </w:rPr>
    </w:lvl>
    <w:lvl w:ilvl="2">
      <w:start w:val="0"/>
      <w:numFmt w:val="bullet"/>
      <w:lvlText w:val="•"/>
      <w:lvlJc w:val="left"/>
      <w:pPr>
        <w:ind w:left="10026" w:hanging="345"/>
      </w:pPr>
      <w:rPr>
        <w:rFonts w:hint="default"/>
      </w:rPr>
    </w:lvl>
    <w:lvl w:ilvl="3">
      <w:start w:val="0"/>
      <w:numFmt w:val="bullet"/>
      <w:lvlText w:val="•"/>
      <w:lvlJc w:val="left"/>
      <w:pPr>
        <w:ind w:left="10753" w:hanging="345"/>
      </w:pPr>
      <w:rPr>
        <w:rFonts w:hint="default"/>
      </w:rPr>
    </w:lvl>
    <w:lvl w:ilvl="4">
      <w:start w:val="0"/>
      <w:numFmt w:val="bullet"/>
      <w:lvlText w:val="•"/>
      <w:lvlJc w:val="left"/>
      <w:pPr>
        <w:ind w:left="11480" w:hanging="345"/>
      </w:pPr>
      <w:rPr>
        <w:rFonts w:hint="default"/>
      </w:rPr>
    </w:lvl>
    <w:lvl w:ilvl="5">
      <w:start w:val="0"/>
      <w:numFmt w:val="bullet"/>
      <w:lvlText w:val="•"/>
      <w:lvlJc w:val="left"/>
      <w:pPr>
        <w:ind w:left="12206" w:hanging="345"/>
      </w:pPr>
      <w:rPr>
        <w:rFonts w:hint="default"/>
      </w:rPr>
    </w:lvl>
    <w:lvl w:ilvl="6">
      <w:start w:val="0"/>
      <w:numFmt w:val="bullet"/>
      <w:lvlText w:val="•"/>
      <w:lvlJc w:val="left"/>
      <w:pPr>
        <w:ind w:left="12933" w:hanging="345"/>
      </w:pPr>
      <w:rPr>
        <w:rFonts w:hint="default"/>
      </w:rPr>
    </w:lvl>
    <w:lvl w:ilvl="7">
      <w:start w:val="0"/>
      <w:numFmt w:val="bullet"/>
      <w:lvlText w:val="•"/>
      <w:lvlJc w:val="left"/>
      <w:pPr>
        <w:ind w:left="13660" w:hanging="345"/>
      </w:pPr>
      <w:rPr>
        <w:rFonts w:hint="default"/>
      </w:rPr>
    </w:lvl>
    <w:lvl w:ilvl="8">
      <w:start w:val="0"/>
      <w:numFmt w:val="bullet"/>
      <w:lvlText w:val="•"/>
      <w:lvlJc w:val="left"/>
      <w:pPr>
        <w:ind w:left="14386" w:hanging="345"/>
      </w:pPr>
      <w:rPr>
        <w:rFonts w:hint="default"/>
      </w:rPr>
    </w:lvl>
  </w:abstractNum>
  <w:abstractNum w:abstractNumId="40">
    <w:multiLevelType w:val="hybridMultilevel"/>
    <w:lvl w:ilvl="0">
      <w:start w:val="8"/>
      <w:numFmt w:val="decimal"/>
      <w:lvlText w:val="%1"/>
      <w:lvlJc w:val="left"/>
      <w:pPr>
        <w:ind w:left="4394" w:hanging="345"/>
        <w:jc w:val="left"/>
      </w:pPr>
      <w:rPr>
        <w:rFonts w:hint="default"/>
      </w:rPr>
    </w:lvl>
    <w:lvl w:ilvl="1">
      <w:start w:val="1"/>
      <w:numFmt w:val="decimal"/>
      <w:lvlText w:val="%1.%2)"/>
      <w:lvlJc w:val="left"/>
      <w:pPr>
        <w:ind w:left="4394" w:hanging="345"/>
        <w:jc w:val="left"/>
      </w:pPr>
      <w:rPr>
        <w:rFonts w:hint="default" w:ascii="Arial" w:hAnsi="Arial" w:eastAsia="Arial" w:cs="Arial"/>
        <w:spacing w:val="0"/>
        <w:w w:val="103"/>
        <w:sz w:val="17"/>
        <w:szCs w:val="17"/>
      </w:rPr>
    </w:lvl>
    <w:lvl w:ilvl="2">
      <w:start w:val="0"/>
      <w:numFmt w:val="bullet"/>
      <w:lvlText w:val="•"/>
      <w:lvlJc w:val="left"/>
      <w:pPr>
        <w:ind w:left="9511" w:hanging="345"/>
      </w:pPr>
      <w:rPr>
        <w:rFonts w:hint="default"/>
      </w:rPr>
    </w:lvl>
    <w:lvl w:ilvl="3">
      <w:start w:val="0"/>
      <w:numFmt w:val="bullet"/>
      <w:lvlText w:val="•"/>
      <w:lvlJc w:val="left"/>
      <w:pPr>
        <w:ind w:left="10302" w:hanging="345"/>
      </w:pPr>
      <w:rPr>
        <w:rFonts w:hint="default"/>
      </w:rPr>
    </w:lvl>
    <w:lvl w:ilvl="4">
      <w:start w:val="0"/>
      <w:numFmt w:val="bullet"/>
      <w:lvlText w:val="•"/>
      <w:lvlJc w:val="left"/>
      <w:pPr>
        <w:ind w:left="11093" w:hanging="345"/>
      </w:pPr>
      <w:rPr>
        <w:rFonts w:hint="default"/>
      </w:rPr>
    </w:lvl>
    <w:lvl w:ilvl="5">
      <w:start w:val="0"/>
      <w:numFmt w:val="bullet"/>
      <w:lvlText w:val="•"/>
      <w:lvlJc w:val="left"/>
      <w:pPr>
        <w:ind w:left="11884" w:hanging="345"/>
      </w:pPr>
      <w:rPr>
        <w:rFonts w:hint="default"/>
      </w:rPr>
    </w:lvl>
    <w:lvl w:ilvl="6">
      <w:start w:val="0"/>
      <w:numFmt w:val="bullet"/>
      <w:lvlText w:val="•"/>
      <w:lvlJc w:val="left"/>
      <w:pPr>
        <w:ind w:left="12675" w:hanging="345"/>
      </w:pPr>
      <w:rPr>
        <w:rFonts w:hint="default"/>
      </w:rPr>
    </w:lvl>
    <w:lvl w:ilvl="7">
      <w:start w:val="0"/>
      <w:numFmt w:val="bullet"/>
      <w:lvlText w:val="•"/>
      <w:lvlJc w:val="left"/>
      <w:pPr>
        <w:ind w:left="13466" w:hanging="345"/>
      </w:pPr>
      <w:rPr>
        <w:rFonts w:hint="default"/>
      </w:rPr>
    </w:lvl>
    <w:lvl w:ilvl="8">
      <w:start w:val="0"/>
      <w:numFmt w:val="bullet"/>
      <w:lvlText w:val="•"/>
      <w:lvlJc w:val="left"/>
      <w:pPr>
        <w:ind w:left="14257" w:hanging="345"/>
      </w:pPr>
      <w:rPr>
        <w:rFonts w:hint="default"/>
      </w:rPr>
    </w:lvl>
  </w:abstractNum>
  <w:abstractNum w:abstractNumId="39">
    <w:multiLevelType w:val="hybridMultilevel"/>
    <w:lvl w:ilvl="0">
      <w:start w:val="6"/>
      <w:numFmt w:val="decimal"/>
      <w:lvlText w:val="%1"/>
      <w:lvlJc w:val="left"/>
      <w:pPr>
        <w:ind w:left="4394" w:hanging="345"/>
        <w:jc w:val="left"/>
      </w:pPr>
      <w:rPr>
        <w:rFonts w:hint="default"/>
      </w:rPr>
    </w:lvl>
    <w:lvl w:ilvl="1">
      <w:start w:val="1"/>
      <w:numFmt w:val="decimal"/>
      <w:lvlText w:val="%1.%2)"/>
      <w:lvlJc w:val="left"/>
      <w:pPr>
        <w:ind w:left="4394" w:hanging="345"/>
        <w:jc w:val="left"/>
      </w:pPr>
      <w:rPr>
        <w:rFonts w:hint="default" w:ascii="Arial" w:hAnsi="Arial" w:eastAsia="Arial" w:cs="Arial"/>
        <w:spacing w:val="0"/>
        <w:w w:val="103"/>
        <w:sz w:val="17"/>
        <w:szCs w:val="17"/>
      </w:rPr>
    </w:lvl>
    <w:lvl w:ilvl="2">
      <w:start w:val="1"/>
      <w:numFmt w:val="decimal"/>
      <w:lvlText w:val="%1.%2.%3)"/>
      <w:lvlJc w:val="left"/>
      <w:pPr>
        <w:ind w:left="4905" w:hanging="512"/>
        <w:jc w:val="left"/>
      </w:pPr>
      <w:rPr>
        <w:rFonts w:hint="default" w:ascii="Arial" w:hAnsi="Arial" w:eastAsia="Arial" w:cs="Arial"/>
        <w:spacing w:val="0"/>
        <w:w w:val="103"/>
        <w:sz w:val="17"/>
        <w:szCs w:val="17"/>
      </w:rPr>
    </w:lvl>
    <w:lvl w:ilvl="3">
      <w:start w:val="0"/>
      <w:numFmt w:val="bullet"/>
      <w:lvlText w:val="•"/>
      <w:lvlJc w:val="left"/>
      <w:pPr>
        <w:ind w:left="8720" w:hanging="512"/>
      </w:pPr>
      <w:rPr>
        <w:rFonts w:hint="default"/>
      </w:rPr>
    </w:lvl>
    <w:lvl w:ilvl="4">
      <w:start w:val="0"/>
      <w:numFmt w:val="bullet"/>
      <w:lvlText w:val="•"/>
      <w:lvlJc w:val="left"/>
      <w:pPr>
        <w:ind w:left="9737" w:hanging="512"/>
      </w:pPr>
      <w:rPr>
        <w:rFonts w:hint="default"/>
      </w:rPr>
    </w:lvl>
    <w:lvl w:ilvl="5">
      <w:start w:val="0"/>
      <w:numFmt w:val="bullet"/>
      <w:lvlText w:val="•"/>
      <w:lvlJc w:val="left"/>
      <w:pPr>
        <w:ind w:left="10754" w:hanging="512"/>
      </w:pPr>
      <w:rPr>
        <w:rFonts w:hint="default"/>
      </w:rPr>
    </w:lvl>
    <w:lvl w:ilvl="6">
      <w:start w:val="0"/>
      <w:numFmt w:val="bullet"/>
      <w:lvlText w:val="•"/>
      <w:lvlJc w:val="left"/>
      <w:pPr>
        <w:ind w:left="11771" w:hanging="512"/>
      </w:pPr>
      <w:rPr>
        <w:rFonts w:hint="default"/>
      </w:rPr>
    </w:lvl>
    <w:lvl w:ilvl="7">
      <w:start w:val="0"/>
      <w:numFmt w:val="bullet"/>
      <w:lvlText w:val="•"/>
      <w:lvlJc w:val="left"/>
      <w:pPr>
        <w:ind w:left="12788" w:hanging="512"/>
      </w:pPr>
      <w:rPr>
        <w:rFonts w:hint="default"/>
      </w:rPr>
    </w:lvl>
    <w:lvl w:ilvl="8">
      <w:start w:val="0"/>
      <w:numFmt w:val="bullet"/>
      <w:lvlText w:val="•"/>
      <w:lvlJc w:val="left"/>
      <w:pPr>
        <w:ind w:left="13805" w:hanging="512"/>
      </w:pPr>
      <w:rPr>
        <w:rFonts w:hint="default"/>
      </w:rPr>
    </w:lvl>
  </w:abstractNum>
  <w:abstractNum w:abstractNumId="38">
    <w:multiLevelType w:val="hybridMultilevel"/>
    <w:lvl w:ilvl="0">
      <w:start w:val="4"/>
      <w:numFmt w:val="decimal"/>
      <w:lvlText w:val="%1"/>
      <w:lvlJc w:val="left"/>
      <w:pPr>
        <w:ind w:left="4394" w:hanging="512"/>
        <w:jc w:val="left"/>
      </w:pPr>
      <w:rPr>
        <w:rFonts w:hint="default"/>
      </w:rPr>
    </w:lvl>
    <w:lvl w:ilvl="1">
      <w:start w:val="3"/>
      <w:numFmt w:val="decimal"/>
      <w:lvlText w:val="%1.%2"/>
      <w:lvlJc w:val="left"/>
      <w:pPr>
        <w:ind w:left="4394" w:hanging="512"/>
        <w:jc w:val="left"/>
      </w:pPr>
      <w:rPr>
        <w:rFonts w:hint="default"/>
      </w:rPr>
    </w:lvl>
    <w:lvl w:ilvl="2">
      <w:start w:val="4"/>
      <w:numFmt w:val="decimal"/>
      <w:lvlText w:val="%1.%2.%3)"/>
      <w:lvlJc w:val="left"/>
      <w:pPr>
        <w:ind w:left="4394" w:hanging="512"/>
        <w:jc w:val="left"/>
      </w:pPr>
      <w:rPr>
        <w:rFonts w:hint="default" w:ascii="Arial" w:hAnsi="Arial" w:eastAsia="Arial" w:cs="Arial"/>
        <w:spacing w:val="0"/>
        <w:w w:val="103"/>
        <w:sz w:val="17"/>
        <w:szCs w:val="17"/>
      </w:rPr>
    </w:lvl>
    <w:lvl w:ilvl="3">
      <w:start w:val="0"/>
      <w:numFmt w:val="bullet"/>
      <w:lvlText w:val="•"/>
      <w:lvlJc w:val="left"/>
      <w:pPr>
        <w:ind w:left="10380" w:hanging="512"/>
      </w:pPr>
      <w:rPr>
        <w:rFonts w:hint="default"/>
      </w:rPr>
    </w:lvl>
    <w:lvl w:ilvl="4">
      <w:start w:val="0"/>
      <w:numFmt w:val="bullet"/>
      <w:lvlText w:val="•"/>
      <w:lvlJc w:val="left"/>
      <w:pPr>
        <w:ind w:left="11160" w:hanging="512"/>
      </w:pPr>
      <w:rPr>
        <w:rFonts w:hint="default"/>
      </w:rPr>
    </w:lvl>
    <w:lvl w:ilvl="5">
      <w:start w:val="0"/>
      <w:numFmt w:val="bullet"/>
      <w:lvlText w:val="•"/>
      <w:lvlJc w:val="left"/>
      <w:pPr>
        <w:ind w:left="11940" w:hanging="512"/>
      </w:pPr>
      <w:rPr>
        <w:rFonts w:hint="default"/>
      </w:rPr>
    </w:lvl>
    <w:lvl w:ilvl="6">
      <w:start w:val="0"/>
      <w:numFmt w:val="bullet"/>
      <w:lvlText w:val="•"/>
      <w:lvlJc w:val="left"/>
      <w:pPr>
        <w:ind w:left="12720" w:hanging="512"/>
      </w:pPr>
      <w:rPr>
        <w:rFonts w:hint="default"/>
      </w:rPr>
    </w:lvl>
    <w:lvl w:ilvl="7">
      <w:start w:val="0"/>
      <w:numFmt w:val="bullet"/>
      <w:lvlText w:val="•"/>
      <w:lvlJc w:val="left"/>
      <w:pPr>
        <w:ind w:left="13500" w:hanging="512"/>
      </w:pPr>
      <w:rPr>
        <w:rFonts w:hint="default"/>
      </w:rPr>
    </w:lvl>
    <w:lvl w:ilvl="8">
      <w:start w:val="0"/>
      <w:numFmt w:val="bullet"/>
      <w:lvlText w:val="•"/>
      <w:lvlJc w:val="left"/>
      <w:pPr>
        <w:ind w:left="14280" w:hanging="512"/>
      </w:pPr>
      <w:rPr>
        <w:rFonts w:hint="default"/>
      </w:rPr>
    </w:lvl>
  </w:abstractNum>
  <w:abstractNum w:abstractNumId="37">
    <w:multiLevelType w:val="hybridMultilevel"/>
    <w:lvl w:ilvl="0">
      <w:start w:val="4"/>
      <w:numFmt w:val="decimal"/>
      <w:lvlText w:val="%1"/>
      <w:lvlJc w:val="left"/>
      <w:pPr>
        <w:ind w:left="4739" w:hanging="345"/>
        <w:jc w:val="left"/>
      </w:pPr>
      <w:rPr>
        <w:rFonts w:hint="default"/>
      </w:rPr>
    </w:lvl>
    <w:lvl w:ilvl="1">
      <w:start w:val="3"/>
      <w:numFmt w:val="decimal"/>
      <w:lvlText w:val="%1.%2)"/>
      <w:lvlJc w:val="left"/>
      <w:pPr>
        <w:ind w:left="4739" w:hanging="345"/>
        <w:jc w:val="left"/>
      </w:pPr>
      <w:rPr>
        <w:rFonts w:hint="default" w:ascii="Arial" w:hAnsi="Arial" w:eastAsia="Arial" w:cs="Arial"/>
        <w:spacing w:val="0"/>
        <w:w w:val="103"/>
        <w:sz w:val="17"/>
        <w:szCs w:val="17"/>
      </w:rPr>
    </w:lvl>
    <w:lvl w:ilvl="2">
      <w:start w:val="1"/>
      <w:numFmt w:val="decimal"/>
      <w:lvlText w:val="%1.%2.%3)"/>
      <w:lvlJc w:val="left"/>
      <w:pPr>
        <w:ind w:left="4394" w:hanging="512"/>
        <w:jc w:val="left"/>
      </w:pPr>
      <w:rPr>
        <w:rFonts w:hint="default" w:ascii="Arial" w:hAnsi="Arial" w:eastAsia="Arial" w:cs="Arial"/>
        <w:spacing w:val="0"/>
        <w:w w:val="103"/>
        <w:sz w:val="17"/>
        <w:szCs w:val="17"/>
      </w:rPr>
    </w:lvl>
    <w:lvl w:ilvl="3">
      <w:start w:val="0"/>
      <w:numFmt w:val="bullet"/>
      <w:lvlText w:val="•"/>
      <w:lvlJc w:val="left"/>
      <w:pPr>
        <w:ind w:left="7206" w:hanging="512"/>
      </w:pPr>
      <w:rPr>
        <w:rFonts w:hint="default"/>
      </w:rPr>
    </w:lvl>
    <w:lvl w:ilvl="4">
      <w:start w:val="0"/>
      <w:numFmt w:val="bullet"/>
      <w:lvlText w:val="•"/>
      <w:lvlJc w:val="left"/>
      <w:pPr>
        <w:ind w:left="8440" w:hanging="512"/>
      </w:pPr>
      <w:rPr>
        <w:rFonts w:hint="default"/>
      </w:rPr>
    </w:lvl>
    <w:lvl w:ilvl="5">
      <w:start w:val="0"/>
      <w:numFmt w:val="bullet"/>
      <w:lvlText w:val="•"/>
      <w:lvlJc w:val="left"/>
      <w:pPr>
        <w:ind w:left="9673" w:hanging="512"/>
      </w:pPr>
      <w:rPr>
        <w:rFonts w:hint="default"/>
      </w:rPr>
    </w:lvl>
    <w:lvl w:ilvl="6">
      <w:start w:val="0"/>
      <w:numFmt w:val="bullet"/>
      <w:lvlText w:val="•"/>
      <w:lvlJc w:val="left"/>
      <w:pPr>
        <w:ind w:left="10906" w:hanging="512"/>
      </w:pPr>
      <w:rPr>
        <w:rFonts w:hint="default"/>
      </w:rPr>
    </w:lvl>
    <w:lvl w:ilvl="7">
      <w:start w:val="0"/>
      <w:numFmt w:val="bullet"/>
      <w:lvlText w:val="•"/>
      <w:lvlJc w:val="left"/>
      <w:pPr>
        <w:ind w:left="12140" w:hanging="512"/>
      </w:pPr>
      <w:rPr>
        <w:rFonts w:hint="default"/>
      </w:rPr>
    </w:lvl>
    <w:lvl w:ilvl="8">
      <w:start w:val="0"/>
      <w:numFmt w:val="bullet"/>
      <w:lvlText w:val="•"/>
      <w:lvlJc w:val="left"/>
      <w:pPr>
        <w:ind w:left="13373" w:hanging="512"/>
      </w:pPr>
      <w:rPr>
        <w:rFonts w:hint="default"/>
      </w:rPr>
    </w:lvl>
  </w:abstractNum>
  <w:abstractNum w:abstractNumId="36">
    <w:multiLevelType w:val="hybridMultilevel"/>
    <w:lvl w:ilvl="0">
      <w:start w:val="4"/>
      <w:numFmt w:val="decimal"/>
      <w:lvlText w:val="%1"/>
      <w:lvlJc w:val="left"/>
      <w:pPr>
        <w:ind w:left="5183" w:hanging="790"/>
        <w:jc w:val="left"/>
      </w:pPr>
      <w:rPr>
        <w:rFonts w:hint="default"/>
      </w:rPr>
    </w:lvl>
    <w:lvl w:ilvl="1">
      <w:start w:val="2"/>
      <w:numFmt w:val="decimal"/>
      <w:lvlText w:val="%1.%2"/>
      <w:lvlJc w:val="left"/>
      <w:pPr>
        <w:ind w:left="5183" w:hanging="790"/>
        <w:jc w:val="left"/>
      </w:pPr>
      <w:rPr>
        <w:rFonts w:hint="default"/>
      </w:rPr>
    </w:lvl>
    <w:lvl w:ilvl="2">
      <w:start w:val="10"/>
      <w:numFmt w:val="decimal"/>
      <w:lvlText w:val="%1.%2.%3"/>
      <w:lvlJc w:val="left"/>
      <w:pPr>
        <w:ind w:left="5183" w:hanging="790"/>
        <w:jc w:val="left"/>
      </w:pPr>
      <w:rPr>
        <w:rFonts w:hint="default"/>
      </w:rPr>
    </w:lvl>
    <w:lvl w:ilvl="3">
      <w:start w:val="1"/>
      <w:numFmt w:val="decimal"/>
      <w:lvlText w:val="%1.%2.%3.%4)"/>
      <w:lvlJc w:val="left"/>
      <w:pPr>
        <w:ind w:left="5183" w:hanging="790"/>
        <w:jc w:val="left"/>
      </w:pPr>
      <w:rPr>
        <w:rFonts w:hint="default" w:ascii="Arial" w:hAnsi="Arial" w:eastAsia="Arial" w:cs="Arial"/>
        <w:spacing w:val="0"/>
        <w:w w:val="103"/>
        <w:sz w:val="17"/>
        <w:szCs w:val="17"/>
      </w:rPr>
    </w:lvl>
    <w:lvl w:ilvl="4">
      <w:start w:val="0"/>
      <w:numFmt w:val="bullet"/>
      <w:lvlText w:val="•"/>
      <w:lvlJc w:val="left"/>
      <w:pPr>
        <w:ind w:left="9444" w:hanging="790"/>
      </w:pPr>
      <w:rPr>
        <w:rFonts w:hint="default"/>
      </w:rPr>
    </w:lvl>
    <w:lvl w:ilvl="5">
      <w:start w:val="0"/>
      <w:numFmt w:val="bullet"/>
      <w:lvlText w:val="•"/>
      <w:lvlJc w:val="left"/>
      <w:pPr>
        <w:ind w:left="10510" w:hanging="790"/>
      </w:pPr>
      <w:rPr>
        <w:rFonts w:hint="default"/>
      </w:rPr>
    </w:lvl>
    <w:lvl w:ilvl="6">
      <w:start w:val="0"/>
      <w:numFmt w:val="bullet"/>
      <w:lvlText w:val="•"/>
      <w:lvlJc w:val="left"/>
      <w:pPr>
        <w:ind w:left="11576" w:hanging="790"/>
      </w:pPr>
      <w:rPr>
        <w:rFonts w:hint="default"/>
      </w:rPr>
    </w:lvl>
    <w:lvl w:ilvl="7">
      <w:start w:val="0"/>
      <w:numFmt w:val="bullet"/>
      <w:lvlText w:val="•"/>
      <w:lvlJc w:val="left"/>
      <w:pPr>
        <w:ind w:left="12642" w:hanging="790"/>
      </w:pPr>
      <w:rPr>
        <w:rFonts w:hint="default"/>
      </w:rPr>
    </w:lvl>
    <w:lvl w:ilvl="8">
      <w:start w:val="0"/>
      <w:numFmt w:val="bullet"/>
      <w:lvlText w:val="•"/>
      <w:lvlJc w:val="left"/>
      <w:pPr>
        <w:ind w:left="13708" w:hanging="790"/>
      </w:pPr>
      <w:rPr>
        <w:rFonts w:hint="default"/>
      </w:rPr>
    </w:lvl>
  </w:abstractNum>
  <w:abstractNum w:abstractNumId="35">
    <w:multiLevelType w:val="hybridMultilevel"/>
    <w:lvl w:ilvl="0">
      <w:start w:val="4"/>
      <w:numFmt w:val="decimal"/>
      <w:lvlText w:val="%1"/>
      <w:lvlJc w:val="left"/>
      <w:pPr>
        <w:ind w:left="4394" w:hanging="512"/>
        <w:jc w:val="left"/>
      </w:pPr>
      <w:rPr>
        <w:rFonts w:hint="default"/>
      </w:rPr>
    </w:lvl>
    <w:lvl w:ilvl="1">
      <w:start w:val="2"/>
      <w:numFmt w:val="decimal"/>
      <w:lvlText w:val="%1.%2"/>
      <w:lvlJc w:val="left"/>
      <w:pPr>
        <w:ind w:left="4394" w:hanging="512"/>
        <w:jc w:val="left"/>
      </w:pPr>
      <w:rPr>
        <w:rFonts w:hint="default"/>
      </w:rPr>
    </w:lvl>
    <w:lvl w:ilvl="2">
      <w:start w:val="8"/>
      <w:numFmt w:val="decimal"/>
      <w:lvlText w:val="%1.%2.%3)"/>
      <w:lvlJc w:val="left"/>
      <w:pPr>
        <w:ind w:left="4394" w:hanging="512"/>
        <w:jc w:val="left"/>
      </w:pPr>
      <w:rPr>
        <w:rFonts w:hint="default" w:ascii="Arial" w:hAnsi="Arial" w:eastAsia="Arial" w:cs="Arial"/>
        <w:spacing w:val="0"/>
        <w:w w:val="103"/>
        <w:sz w:val="17"/>
        <w:szCs w:val="17"/>
      </w:rPr>
    </w:lvl>
    <w:lvl w:ilvl="3">
      <w:start w:val="0"/>
      <w:numFmt w:val="bullet"/>
      <w:lvlText w:val="•"/>
      <w:lvlJc w:val="left"/>
      <w:pPr>
        <w:ind w:left="9151" w:hanging="512"/>
      </w:pPr>
      <w:rPr>
        <w:rFonts w:hint="default"/>
      </w:rPr>
    </w:lvl>
    <w:lvl w:ilvl="4">
      <w:start w:val="0"/>
      <w:numFmt w:val="bullet"/>
      <w:lvlText w:val="•"/>
      <w:lvlJc w:val="left"/>
      <w:pPr>
        <w:ind w:left="10106" w:hanging="512"/>
      </w:pPr>
      <w:rPr>
        <w:rFonts w:hint="default"/>
      </w:rPr>
    </w:lvl>
    <w:lvl w:ilvl="5">
      <w:start w:val="0"/>
      <w:numFmt w:val="bullet"/>
      <w:lvlText w:val="•"/>
      <w:lvlJc w:val="left"/>
      <w:pPr>
        <w:ind w:left="11062" w:hanging="512"/>
      </w:pPr>
      <w:rPr>
        <w:rFonts w:hint="default"/>
      </w:rPr>
    </w:lvl>
    <w:lvl w:ilvl="6">
      <w:start w:val="0"/>
      <w:numFmt w:val="bullet"/>
      <w:lvlText w:val="•"/>
      <w:lvlJc w:val="left"/>
      <w:pPr>
        <w:ind w:left="12017" w:hanging="512"/>
      </w:pPr>
      <w:rPr>
        <w:rFonts w:hint="default"/>
      </w:rPr>
    </w:lvl>
    <w:lvl w:ilvl="7">
      <w:start w:val="0"/>
      <w:numFmt w:val="bullet"/>
      <w:lvlText w:val="•"/>
      <w:lvlJc w:val="left"/>
      <w:pPr>
        <w:ind w:left="12973" w:hanging="512"/>
      </w:pPr>
      <w:rPr>
        <w:rFonts w:hint="default"/>
      </w:rPr>
    </w:lvl>
    <w:lvl w:ilvl="8">
      <w:start w:val="0"/>
      <w:numFmt w:val="bullet"/>
      <w:lvlText w:val="•"/>
      <w:lvlJc w:val="left"/>
      <w:pPr>
        <w:ind w:left="13928" w:hanging="512"/>
      </w:pPr>
      <w:rPr>
        <w:rFonts w:hint="default"/>
      </w:rPr>
    </w:lvl>
  </w:abstractNum>
  <w:abstractNum w:abstractNumId="34">
    <w:multiLevelType w:val="hybridMultilevel"/>
    <w:lvl w:ilvl="0">
      <w:start w:val="4"/>
      <w:numFmt w:val="decimal"/>
      <w:lvlText w:val="%1"/>
      <w:lvlJc w:val="left"/>
      <w:pPr>
        <w:ind w:left="4794" w:hanging="400"/>
        <w:jc w:val="left"/>
      </w:pPr>
      <w:rPr>
        <w:rFonts w:hint="default"/>
      </w:rPr>
    </w:lvl>
    <w:lvl w:ilvl="1">
      <w:start w:val="2"/>
      <w:numFmt w:val="decimal"/>
      <w:lvlText w:val="%1.%2)"/>
      <w:lvlJc w:val="left"/>
      <w:pPr>
        <w:ind w:left="4794" w:hanging="400"/>
        <w:jc w:val="left"/>
      </w:pPr>
      <w:rPr>
        <w:rFonts w:hint="default" w:ascii="Arial" w:hAnsi="Arial" w:eastAsia="Arial" w:cs="Arial"/>
        <w:spacing w:val="0"/>
        <w:w w:val="103"/>
        <w:sz w:val="19"/>
        <w:szCs w:val="19"/>
      </w:rPr>
    </w:lvl>
    <w:lvl w:ilvl="2">
      <w:start w:val="1"/>
      <w:numFmt w:val="decimal"/>
      <w:lvlText w:val="%1.%2.%3)"/>
      <w:lvlJc w:val="left"/>
      <w:pPr>
        <w:ind w:left="4394" w:hanging="512"/>
        <w:jc w:val="left"/>
      </w:pPr>
      <w:rPr>
        <w:rFonts w:hint="default" w:ascii="Arial" w:hAnsi="Arial" w:eastAsia="Arial" w:cs="Arial"/>
        <w:spacing w:val="0"/>
        <w:w w:val="103"/>
        <w:sz w:val="17"/>
        <w:szCs w:val="17"/>
      </w:rPr>
    </w:lvl>
    <w:lvl w:ilvl="3">
      <w:start w:val="0"/>
      <w:numFmt w:val="bullet"/>
      <w:lvlText w:val="•"/>
      <w:lvlJc w:val="left"/>
      <w:pPr>
        <w:ind w:left="7253" w:hanging="512"/>
      </w:pPr>
      <w:rPr>
        <w:rFonts w:hint="default"/>
      </w:rPr>
    </w:lvl>
    <w:lvl w:ilvl="4">
      <w:start w:val="0"/>
      <w:numFmt w:val="bullet"/>
      <w:lvlText w:val="•"/>
      <w:lvlJc w:val="left"/>
      <w:pPr>
        <w:ind w:left="8480" w:hanging="512"/>
      </w:pPr>
      <w:rPr>
        <w:rFonts w:hint="default"/>
      </w:rPr>
    </w:lvl>
    <w:lvl w:ilvl="5">
      <w:start w:val="0"/>
      <w:numFmt w:val="bullet"/>
      <w:lvlText w:val="•"/>
      <w:lvlJc w:val="left"/>
      <w:pPr>
        <w:ind w:left="9706" w:hanging="512"/>
      </w:pPr>
      <w:rPr>
        <w:rFonts w:hint="default"/>
      </w:rPr>
    </w:lvl>
    <w:lvl w:ilvl="6">
      <w:start w:val="0"/>
      <w:numFmt w:val="bullet"/>
      <w:lvlText w:val="•"/>
      <w:lvlJc w:val="left"/>
      <w:pPr>
        <w:ind w:left="10933" w:hanging="512"/>
      </w:pPr>
      <w:rPr>
        <w:rFonts w:hint="default"/>
      </w:rPr>
    </w:lvl>
    <w:lvl w:ilvl="7">
      <w:start w:val="0"/>
      <w:numFmt w:val="bullet"/>
      <w:lvlText w:val="•"/>
      <w:lvlJc w:val="left"/>
      <w:pPr>
        <w:ind w:left="12160" w:hanging="512"/>
      </w:pPr>
      <w:rPr>
        <w:rFonts w:hint="default"/>
      </w:rPr>
    </w:lvl>
    <w:lvl w:ilvl="8">
      <w:start w:val="0"/>
      <w:numFmt w:val="bullet"/>
      <w:lvlText w:val="•"/>
      <w:lvlJc w:val="left"/>
      <w:pPr>
        <w:ind w:left="13386" w:hanging="512"/>
      </w:pPr>
      <w:rPr>
        <w:rFonts w:hint="default"/>
      </w:rPr>
    </w:lvl>
  </w:abstractNum>
  <w:abstractNum w:abstractNumId="33">
    <w:multiLevelType w:val="hybridMultilevel"/>
    <w:lvl w:ilvl="0">
      <w:start w:val="4"/>
      <w:numFmt w:val="decimal"/>
      <w:lvlText w:val="%1"/>
      <w:lvlJc w:val="left"/>
      <w:pPr>
        <w:ind w:left="4394" w:hanging="512"/>
        <w:jc w:val="left"/>
      </w:pPr>
      <w:rPr>
        <w:rFonts w:hint="default"/>
      </w:rPr>
    </w:lvl>
    <w:lvl w:ilvl="1">
      <w:start w:val="1"/>
      <w:numFmt w:val="decimal"/>
      <w:lvlText w:val="%1.%2"/>
      <w:lvlJc w:val="left"/>
      <w:pPr>
        <w:ind w:left="4394" w:hanging="512"/>
        <w:jc w:val="left"/>
      </w:pPr>
      <w:rPr>
        <w:rFonts w:hint="default"/>
      </w:rPr>
    </w:lvl>
    <w:lvl w:ilvl="2">
      <w:start w:val="3"/>
      <w:numFmt w:val="decimal"/>
      <w:lvlText w:val="%1.%2.%3)"/>
      <w:lvlJc w:val="left"/>
      <w:pPr>
        <w:ind w:left="4394" w:hanging="512"/>
        <w:jc w:val="left"/>
      </w:pPr>
      <w:rPr>
        <w:rFonts w:hint="default" w:ascii="Arial" w:hAnsi="Arial" w:eastAsia="Arial" w:cs="Arial"/>
        <w:spacing w:val="0"/>
        <w:w w:val="103"/>
        <w:sz w:val="17"/>
        <w:szCs w:val="17"/>
      </w:rPr>
    </w:lvl>
    <w:lvl w:ilvl="3">
      <w:start w:val="0"/>
      <w:numFmt w:val="bullet"/>
      <w:lvlText w:val="•"/>
      <w:lvlJc w:val="left"/>
      <w:pPr>
        <w:ind w:left="7832" w:hanging="512"/>
      </w:pPr>
      <w:rPr>
        <w:rFonts w:hint="default"/>
      </w:rPr>
    </w:lvl>
    <w:lvl w:ilvl="4">
      <w:start w:val="0"/>
      <w:numFmt w:val="bullet"/>
      <w:lvlText w:val="•"/>
      <w:lvlJc w:val="left"/>
      <w:pPr>
        <w:ind w:left="8976" w:hanging="512"/>
      </w:pPr>
      <w:rPr>
        <w:rFonts w:hint="default"/>
      </w:rPr>
    </w:lvl>
    <w:lvl w:ilvl="5">
      <w:start w:val="0"/>
      <w:numFmt w:val="bullet"/>
      <w:lvlText w:val="•"/>
      <w:lvlJc w:val="left"/>
      <w:pPr>
        <w:ind w:left="10120" w:hanging="512"/>
      </w:pPr>
      <w:rPr>
        <w:rFonts w:hint="default"/>
      </w:rPr>
    </w:lvl>
    <w:lvl w:ilvl="6">
      <w:start w:val="0"/>
      <w:numFmt w:val="bullet"/>
      <w:lvlText w:val="•"/>
      <w:lvlJc w:val="left"/>
      <w:pPr>
        <w:ind w:left="11264" w:hanging="512"/>
      </w:pPr>
      <w:rPr>
        <w:rFonts w:hint="default"/>
      </w:rPr>
    </w:lvl>
    <w:lvl w:ilvl="7">
      <w:start w:val="0"/>
      <w:numFmt w:val="bullet"/>
      <w:lvlText w:val="•"/>
      <w:lvlJc w:val="left"/>
      <w:pPr>
        <w:ind w:left="12408" w:hanging="512"/>
      </w:pPr>
      <w:rPr>
        <w:rFonts w:hint="default"/>
      </w:rPr>
    </w:lvl>
    <w:lvl w:ilvl="8">
      <w:start w:val="0"/>
      <w:numFmt w:val="bullet"/>
      <w:lvlText w:val="•"/>
      <w:lvlJc w:val="left"/>
      <w:pPr>
        <w:ind w:left="13552" w:hanging="512"/>
      </w:pPr>
      <w:rPr>
        <w:rFonts w:hint="default"/>
      </w:rPr>
    </w:lvl>
  </w:abstractNum>
  <w:abstractNum w:abstractNumId="32">
    <w:multiLevelType w:val="hybridMultilevel"/>
    <w:lvl w:ilvl="0">
      <w:start w:val="2"/>
      <w:numFmt w:val="decimal"/>
      <w:lvlText w:val="%1"/>
      <w:lvlJc w:val="left"/>
      <w:pPr>
        <w:ind w:left="4394" w:hanging="345"/>
        <w:jc w:val="left"/>
      </w:pPr>
      <w:rPr>
        <w:rFonts w:hint="default"/>
      </w:rPr>
    </w:lvl>
    <w:lvl w:ilvl="1">
      <w:start w:val="1"/>
      <w:numFmt w:val="decimal"/>
      <w:lvlText w:val="%1.%2)"/>
      <w:lvlJc w:val="left"/>
      <w:pPr>
        <w:ind w:left="4394" w:hanging="345"/>
        <w:jc w:val="left"/>
      </w:pPr>
      <w:rPr>
        <w:rFonts w:hint="default" w:ascii="Arial" w:hAnsi="Arial" w:eastAsia="Arial" w:cs="Arial"/>
        <w:spacing w:val="0"/>
        <w:w w:val="103"/>
        <w:sz w:val="17"/>
        <w:szCs w:val="17"/>
      </w:rPr>
    </w:lvl>
    <w:lvl w:ilvl="2">
      <w:start w:val="0"/>
      <w:numFmt w:val="bullet"/>
      <w:lvlText w:val="•"/>
      <w:lvlJc w:val="left"/>
      <w:pPr>
        <w:ind w:left="9368" w:hanging="345"/>
      </w:pPr>
      <w:rPr>
        <w:rFonts w:hint="default"/>
      </w:rPr>
    </w:lvl>
    <w:lvl w:ilvl="3">
      <w:start w:val="0"/>
      <w:numFmt w:val="bullet"/>
      <w:lvlText w:val="•"/>
      <w:lvlJc w:val="left"/>
      <w:pPr>
        <w:ind w:left="10177" w:hanging="345"/>
      </w:pPr>
      <w:rPr>
        <w:rFonts w:hint="default"/>
      </w:rPr>
    </w:lvl>
    <w:lvl w:ilvl="4">
      <w:start w:val="0"/>
      <w:numFmt w:val="bullet"/>
      <w:lvlText w:val="•"/>
      <w:lvlJc w:val="left"/>
      <w:pPr>
        <w:ind w:left="10986" w:hanging="345"/>
      </w:pPr>
      <w:rPr>
        <w:rFonts w:hint="default"/>
      </w:rPr>
    </w:lvl>
    <w:lvl w:ilvl="5">
      <w:start w:val="0"/>
      <w:numFmt w:val="bullet"/>
      <w:lvlText w:val="•"/>
      <w:lvlJc w:val="left"/>
      <w:pPr>
        <w:ind w:left="11795" w:hanging="345"/>
      </w:pPr>
      <w:rPr>
        <w:rFonts w:hint="default"/>
      </w:rPr>
    </w:lvl>
    <w:lvl w:ilvl="6">
      <w:start w:val="0"/>
      <w:numFmt w:val="bullet"/>
      <w:lvlText w:val="•"/>
      <w:lvlJc w:val="left"/>
      <w:pPr>
        <w:ind w:left="12604" w:hanging="345"/>
      </w:pPr>
      <w:rPr>
        <w:rFonts w:hint="default"/>
      </w:rPr>
    </w:lvl>
    <w:lvl w:ilvl="7">
      <w:start w:val="0"/>
      <w:numFmt w:val="bullet"/>
      <w:lvlText w:val="•"/>
      <w:lvlJc w:val="left"/>
      <w:pPr>
        <w:ind w:left="13413" w:hanging="345"/>
      </w:pPr>
      <w:rPr>
        <w:rFonts w:hint="default"/>
      </w:rPr>
    </w:lvl>
    <w:lvl w:ilvl="8">
      <w:start w:val="0"/>
      <w:numFmt w:val="bullet"/>
      <w:lvlText w:val="•"/>
      <w:lvlJc w:val="left"/>
      <w:pPr>
        <w:ind w:left="14222" w:hanging="345"/>
      </w:pPr>
      <w:rPr>
        <w:rFonts w:hint="default"/>
      </w:rPr>
    </w:lvl>
  </w:abstractNum>
  <w:abstractNum w:abstractNumId="31">
    <w:multiLevelType w:val="hybridMultilevel"/>
    <w:lvl w:ilvl="0">
      <w:start w:val="1"/>
      <w:numFmt w:val="decimal"/>
      <w:lvlText w:val="%1"/>
      <w:lvlJc w:val="left"/>
      <w:pPr>
        <w:ind w:left="4394" w:hanging="423"/>
        <w:jc w:val="left"/>
      </w:pPr>
      <w:rPr>
        <w:rFonts w:hint="default"/>
      </w:rPr>
    </w:lvl>
    <w:lvl w:ilvl="1">
      <w:start w:val="1"/>
      <w:numFmt w:val="decimal"/>
      <w:lvlText w:val="%1.%2)"/>
      <w:lvlJc w:val="left"/>
      <w:pPr>
        <w:ind w:left="4394" w:hanging="423"/>
        <w:jc w:val="left"/>
      </w:pPr>
      <w:rPr>
        <w:rFonts w:hint="default" w:ascii="Arial" w:hAnsi="Arial" w:eastAsia="Arial" w:cs="Arial"/>
        <w:spacing w:val="0"/>
        <w:w w:val="103"/>
        <w:sz w:val="19"/>
        <w:szCs w:val="19"/>
      </w:rPr>
    </w:lvl>
    <w:lvl w:ilvl="2">
      <w:start w:val="0"/>
      <w:numFmt w:val="bullet"/>
      <w:lvlText w:val="•"/>
      <w:lvlJc w:val="left"/>
      <w:pPr>
        <w:ind w:left="9500" w:hanging="423"/>
      </w:pPr>
      <w:rPr>
        <w:rFonts w:hint="default"/>
      </w:rPr>
    </w:lvl>
    <w:lvl w:ilvl="3">
      <w:start w:val="0"/>
      <w:numFmt w:val="bullet"/>
      <w:lvlText w:val="•"/>
      <w:lvlJc w:val="left"/>
      <w:pPr>
        <w:ind w:left="10292" w:hanging="423"/>
      </w:pPr>
      <w:rPr>
        <w:rFonts w:hint="default"/>
      </w:rPr>
    </w:lvl>
    <w:lvl w:ilvl="4">
      <w:start w:val="0"/>
      <w:numFmt w:val="bullet"/>
      <w:lvlText w:val="•"/>
      <w:lvlJc w:val="left"/>
      <w:pPr>
        <w:ind w:left="11085" w:hanging="423"/>
      </w:pPr>
      <w:rPr>
        <w:rFonts w:hint="default"/>
      </w:rPr>
    </w:lvl>
    <w:lvl w:ilvl="5">
      <w:start w:val="0"/>
      <w:numFmt w:val="bullet"/>
      <w:lvlText w:val="•"/>
      <w:lvlJc w:val="left"/>
      <w:pPr>
        <w:ind w:left="11877" w:hanging="423"/>
      </w:pPr>
      <w:rPr>
        <w:rFonts w:hint="default"/>
      </w:rPr>
    </w:lvl>
    <w:lvl w:ilvl="6">
      <w:start w:val="0"/>
      <w:numFmt w:val="bullet"/>
      <w:lvlText w:val="•"/>
      <w:lvlJc w:val="left"/>
      <w:pPr>
        <w:ind w:left="12670" w:hanging="423"/>
      </w:pPr>
      <w:rPr>
        <w:rFonts w:hint="default"/>
      </w:rPr>
    </w:lvl>
    <w:lvl w:ilvl="7">
      <w:start w:val="0"/>
      <w:numFmt w:val="bullet"/>
      <w:lvlText w:val="•"/>
      <w:lvlJc w:val="left"/>
      <w:pPr>
        <w:ind w:left="13462" w:hanging="423"/>
      </w:pPr>
      <w:rPr>
        <w:rFonts w:hint="default"/>
      </w:rPr>
    </w:lvl>
    <w:lvl w:ilvl="8">
      <w:start w:val="0"/>
      <w:numFmt w:val="bullet"/>
      <w:lvlText w:val="•"/>
      <w:lvlJc w:val="left"/>
      <w:pPr>
        <w:ind w:left="14255" w:hanging="423"/>
      </w:pPr>
      <w:rPr>
        <w:rFonts w:hint="default"/>
      </w:rPr>
    </w:lvl>
  </w:abstractNum>
  <w:abstractNum w:abstractNumId="30">
    <w:multiLevelType w:val="hybridMultilevel"/>
    <w:lvl w:ilvl="0">
      <w:start w:val="7"/>
      <w:numFmt w:val="decimal"/>
      <w:lvlText w:val="%1"/>
      <w:lvlJc w:val="left"/>
      <w:pPr>
        <w:ind w:left="5114" w:hanging="720"/>
        <w:jc w:val="left"/>
      </w:pPr>
      <w:rPr>
        <w:rFonts w:hint="default"/>
      </w:rPr>
    </w:lvl>
    <w:lvl w:ilvl="1">
      <w:start w:val="2"/>
      <w:numFmt w:val="decimal"/>
      <w:lvlText w:val="%1.%2."/>
      <w:lvlJc w:val="left"/>
      <w:pPr>
        <w:ind w:left="5114" w:hanging="720"/>
        <w:jc w:val="left"/>
      </w:pPr>
      <w:rPr>
        <w:rFonts w:hint="default"/>
        <w:spacing w:val="0"/>
        <w:w w:val="98"/>
        <w:highlight w:val="darkCyan"/>
      </w:rPr>
    </w:lvl>
    <w:lvl w:ilvl="2">
      <w:start w:val="1"/>
      <w:numFmt w:val="decimal"/>
      <w:lvlText w:val="%1.%2.%3."/>
      <w:lvlJc w:val="left"/>
      <w:pPr>
        <w:ind w:left="5102" w:hanging="720"/>
        <w:jc w:val="left"/>
      </w:pPr>
      <w:rPr>
        <w:rFonts w:hint="default" w:ascii="DaxCondensed-Black" w:hAnsi="DaxCondensed-Black" w:eastAsia="DaxCondensed-Black" w:cs="DaxCondensed-Black"/>
        <w:b/>
        <w:bCs/>
        <w:color w:val="00666D"/>
        <w:w w:val="99"/>
        <w:sz w:val="28"/>
        <w:szCs w:val="28"/>
      </w:rPr>
    </w:lvl>
    <w:lvl w:ilvl="3">
      <w:start w:val="0"/>
      <w:numFmt w:val="bullet"/>
      <w:lvlText w:val="-"/>
      <w:lvlJc w:val="left"/>
      <w:pPr>
        <w:ind w:left="7249" w:hanging="135"/>
      </w:pPr>
      <w:rPr>
        <w:rFonts w:hint="default" w:ascii="DaxCondensed" w:hAnsi="DaxCondensed" w:eastAsia="DaxCondensed" w:cs="DaxCondensed"/>
        <w:color w:val="00666D"/>
        <w:spacing w:val="-1"/>
        <w:w w:val="100"/>
        <w:sz w:val="24"/>
        <w:szCs w:val="24"/>
      </w:rPr>
    </w:lvl>
    <w:lvl w:ilvl="4">
      <w:start w:val="0"/>
      <w:numFmt w:val="bullet"/>
      <w:lvlText w:val="•"/>
      <w:lvlJc w:val="left"/>
      <w:pPr>
        <w:ind w:left="9390" w:hanging="135"/>
      </w:pPr>
      <w:rPr>
        <w:rFonts w:hint="default"/>
      </w:rPr>
    </w:lvl>
    <w:lvl w:ilvl="5">
      <w:start w:val="0"/>
      <w:numFmt w:val="bullet"/>
      <w:lvlText w:val="•"/>
      <w:lvlJc w:val="left"/>
      <w:pPr>
        <w:ind w:left="10465" w:hanging="135"/>
      </w:pPr>
      <w:rPr>
        <w:rFonts w:hint="default"/>
      </w:rPr>
    </w:lvl>
    <w:lvl w:ilvl="6">
      <w:start w:val="0"/>
      <w:numFmt w:val="bullet"/>
      <w:lvlText w:val="•"/>
      <w:lvlJc w:val="left"/>
      <w:pPr>
        <w:ind w:left="11540" w:hanging="135"/>
      </w:pPr>
      <w:rPr>
        <w:rFonts w:hint="default"/>
      </w:rPr>
    </w:lvl>
    <w:lvl w:ilvl="7">
      <w:start w:val="0"/>
      <w:numFmt w:val="bullet"/>
      <w:lvlText w:val="•"/>
      <w:lvlJc w:val="left"/>
      <w:pPr>
        <w:ind w:left="12615" w:hanging="135"/>
      </w:pPr>
      <w:rPr>
        <w:rFonts w:hint="default"/>
      </w:rPr>
    </w:lvl>
    <w:lvl w:ilvl="8">
      <w:start w:val="0"/>
      <w:numFmt w:val="bullet"/>
      <w:lvlText w:val="•"/>
      <w:lvlJc w:val="left"/>
      <w:pPr>
        <w:ind w:left="13690" w:hanging="135"/>
      </w:pPr>
      <w:rPr>
        <w:rFonts w:hint="default"/>
      </w:rPr>
    </w:lvl>
  </w:abstractNum>
  <w:abstractNum w:abstractNumId="29">
    <w:multiLevelType w:val="hybridMultilevel"/>
    <w:lvl w:ilvl="0">
      <w:start w:val="1"/>
      <w:numFmt w:val="upperRoman"/>
      <w:lvlText w:val="%1"/>
      <w:lvlJc w:val="left"/>
      <w:pPr>
        <w:ind w:left="7229" w:hanging="129"/>
        <w:jc w:val="left"/>
      </w:pPr>
      <w:rPr>
        <w:rFonts w:hint="default" w:ascii="Arial" w:hAnsi="Arial" w:eastAsia="Arial" w:cs="Arial"/>
        <w:i/>
        <w:w w:val="103"/>
        <w:sz w:val="19"/>
        <w:szCs w:val="19"/>
      </w:rPr>
    </w:lvl>
    <w:lvl w:ilvl="1">
      <w:start w:val="0"/>
      <w:numFmt w:val="bullet"/>
      <w:lvlText w:val="•"/>
      <w:lvlJc w:val="left"/>
      <w:pPr>
        <w:ind w:left="8082" w:hanging="129"/>
      </w:pPr>
      <w:rPr>
        <w:rFonts w:hint="default"/>
      </w:rPr>
    </w:lvl>
    <w:lvl w:ilvl="2">
      <w:start w:val="0"/>
      <w:numFmt w:val="bullet"/>
      <w:lvlText w:val="•"/>
      <w:lvlJc w:val="left"/>
      <w:pPr>
        <w:ind w:left="8944" w:hanging="129"/>
      </w:pPr>
      <w:rPr>
        <w:rFonts w:hint="default"/>
      </w:rPr>
    </w:lvl>
    <w:lvl w:ilvl="3">
      <w:start w:val="0"/>
      <w:numFmt w:val="bullet"/>
      <w:lvlText w:val="•"/>
      <w:lvlJc w:val="left"/>
      <w:pPr>
        <w:ind w:left="9806" w:hanging="129"/>
      </w:pPr>
      <w:rPr>
        <w:rFonts w:hint="default"/>
      </w:rPr>
    </w:lvl>
    <w:lvl w:ilvl="4">
      <w:start w:val="0"/>
      <w:numFmt w:val="bullet"/>
      <w:lvlText w:val="•"/>
      <w:lvlJc w:val="left"/>
      <w:pPr>
        <w:ind w:left="10668" w:hanging="129"/>
      </w:pPr>
      <w:rPr>
        <w:rFonts w:hint="default"/>
      </w:rPr>
    </w:lvl>
    <w:lvl w:ilvl="5">
      <w:start w:val="0"/>
      <w:numFmt w:val="bullet"/>
      <w:lvlText w:val="•"/>
      <w:lvlJc w:val="left"/>
      <w:pPr>
        <w:ind w:left="11530" w:hanging="129"/>
      </w:pPr>
      <w:rPr>
        <w:rFonts w:hint="default"/>
      </w:rPr>
    </w:lvl>
    <w:lvl w:ilvl="6">
      <w:start w:val="0"/>
      <w:numFmt w:val="bullet"/>
      <w:lvlText w:val="•"/>
      <w:lvlJc w:val="left"/>
      <w:pPr>
        <w:ind w:left="12392" w:hanging="129"/>
      </w:pPr>
      <w:rPr>
        <w:rFonts w:hint="default"/>
      </w:rPr>
    </w:lvl>
    <w:lvl w:ilvl="7">
      <w:start w:val="0"/>
      <w:numFmt w:val="bullet"/>
      <w:lvlText w:val="•"/>
      <w:lvlJc w:val="left"/>
      <w:pPr>
        <w:ind w:left="13254" w:hanging="129"/>
      </w:pPr>
      <w:rPr>
        <w:rFonts w:hint="default"/>
      </w:rPr>
    </w:lvl>
    <w:lvl w:ilvl="8">
      <w:start w:val="0"/>
      <w:numFmt w:val="bullet"/>
      <w:lvlText w:val="•"/>
      <w:lvlJc w:val="left"/>
      <w:pPr>
        <w:ind w:left="14116" w:hanging="129"/>
      </w:pPr>
      <w:rPr>
        <w:rFonts w:hint="default"/>
      </w:rPr>
    </w:lvl>
  </w:abstractNum>
  <w:abstractNum w:abstractNumId="28">
    <w:multiLevelType w:val="hybridMultilevel"/>
    <w:lvl w:ilvl="0">
      <w:start w:val="1"/>
      <w:numFmt w:val="upperRoman"/>
      <w:lvlText w:val="%1"/>
      <w:lvlJc w:val="left"/>
      <w:pPr>
        <w:ind w:left="7229" w:hanging="116"/>
        <w:jc w:val="left"/>
      </w:pPr>
      <w:rPr>
        <w:rFonts w:hint="default" w:ascii="Arial" w:hAnsi="Arial" w:eastAsia="Arial" w:cs="Arial"/>
        <w:i/>
        <w:w w:val="103"/>
        <w:sz w:val="19"/>
        <w:szCs w:val="19"/>
      </w:rPr>
    </w:lvl>
    <w:lvl w:ilvl="1">
      <w:start w:val="0"/>
      <w:numFmt w:val="bullet"/>
      <w:lvlText w:val="•"/>
      <w:lvlJc w:val="left"/>
      <w:pPr>
        <w:ind w:left="8082" w:hanging="116"/>
      </w:pPr>
      <w:rPr>
        <w:rFonts w:hint="default"/>
      </w:rPr>
    </w:lvl>
    <w:lvl w:ilvl="2">
      <w:start w:val="0"/>
      <w:numFmt w:val="bullet"/>
      <w:lvlText w:val="•"/>
      <w:lvlJc w:val="left"/>
      <w:pPr>
        <w:ind w:left="8944" w:hanging="116"/>
      </w:pPr>
      <w:rPr>
        <w:rFonts w:hint="default"/>
      </w:rPr>
    </w:lvl>
    <w:lvl w:ilvl="3">
      <w:start w:val="0"/>
      <w:numFmt w:val="bullet"/>
      <w:lvlText w:val="•"/>
      <w:lvlJc w:val="left"/>
      <w:pPr>
        <w:ind w:left="9806" w:hanging="116"/>
      </w:pPr>
      <w:rPr>
        <w:rFonts w:hint="default"/>
      </w:rPr>
    </w:lvl>
    <w:lvl w:ilvl="4">
      <w:start w:val="0"/>
      <w:numFmt w:val="bullet"/>
      <w:lvlText w:val="•"/>
      <w:lvlJc w:val="left"/>
      <w:pPr>
        <w:ind w:left="10668" w:hanging="116"/>
      </w:pPr>
      <w:rPr>
        <w:rFonts w:hint="default"/>
      </w:rPr>
    </w:lvl>
    <w:lvl w:ilvl="5">
      <w:start w:val="0"/>
      <w:numFmt w:val="bullet"/>
      <w:lvlText w:val="•"/>
      <w:lvlJc w:val="left"/>
      <w:pPr>
        <w:ind w:left="11530" w:hanging="116"/>
      </w:pPr>
      <w:rPr>
        <w:rFonts w:hint="default"/>
      </w:rPr>
    </w:lvl>
    <w:lvl w:ilvl="6">
      <w:start w:val="0"/>
      <w:numFmt w:val="bullet"/>
      <w:lvlText w:val="•"/>
      <w:lvlJc w:val="left"/>
      <w:pPr>
        <w:ind w:left="12392" w:hanging="116"/>
      </w:pPr>
      <w:rPr>
        <w:rFonts w:hint="default"/>
      </w:rPr>
    </w:lvl>
    <w:lvl w:ilvl="7">
      <w:start w:val="0"/>
      <w:numFmt w:val="bullet"/>
      <w:lvlText w:val="•"/>
      <w:lvlJc w:val="left"/>
      <w:pPr>
        <w:ind w:left="13254" w:hanging="116"/>
      </w:pPr>
      <w:rPr>
        <w:rFonts w:hint="default"/>
      </w:rPr>
    </w:lvl>
    <w:lvl w:ilvl="8">
      <w:start w:val="0"/>
      <w:numFmt w:val="bullet"/>
      <w:lvlText w:val="•"/>
      <w:lvlJc w:val="left"/>
      <w:pPr>
        <w:ind w:left="14116" w:hanging="116"/>
      </w:pPr>
      <w:rPr>
        <w:rFonts w:hint="default"/>
      </w:rPr>
    </w:lvl>
  </w:abstractNum>
  <w:abstractNum w:abstractNumId="27">
    <w:multiLevelType w:val="hybridMultilevel"/>
    <w:lvl w:ilvl="0">
      <w:start w:val="5"/>
      <w:numFmt w:val="upperRoman"/>
      <w:lvlText w:val="%1"/>
      <w:lvlJc w:val="left"/>
      <w:pPr>
        <w:ind w:left="7418" w:hanging="189"/>
        <w:jc w:val="left"/>
      </w:pPr>
      <w:rPr>
        <w:rFonts w:hint="default" w:ascii="Arial" w:hAnsi="Arial" w:eastAsia="Arial" w:cs="Arial"/>
        <w:i/>
        <w:w w:val="103"/>
        <w:sz w:val="19"/>
        <w:szCs w:val="19"/>
      </w:rPr>
    </w:lvl>
    <w:lvl w:ilvl="1">
      <w:start w:val="0"/>
      <w:numFmt w:val="bullet"/>
      <w:lvlText w:val="•"/>
      <w:lvlJc w:val="left"/>
      <w:pPr>
        <w:ind w:left="8262" w:hanging="189"/>
      </w:pPr>
      <w:rPr>
        <w:rFonts w:hint="default"/>
      </w:rPr>
    </w:lvl>
    <w:lvl w:ilvl="2">
      <w:start w:val="0"/>
      <w:numFmt w:val="bullet"/>
      <w:lvlText w:val="•"/>
      <w:lvlJc w:val="left"/>
      <w:pPr>
        <w:ind w:left="9104" w:hanging="189"/>
      </w:pPr>
      <w:rPr>
        <w:rFonts w:hint="default"/>
      </w:rPr>
    </w:lvl>
    <w:lvl w:ilvl="3">
      <w:start w:val="0"/>
      <w:numFmt w:val="bullet"/>
      <w:lvlText w:val="•"/>
      <w:lvlJc w:val="left"/>
      <w:pPr>
        <w:ind w:left="9946" w:hanging="189"/>
      </w:pPr>
      <w:rPr>
        <w:rFonts w:hint="default"/>
      </w:rPr>
    </w:lvl>
    <w:lvl w:ilvl="4">
      <w:start w:val="0"/>
      <w:numFmt w:val="bullet"/>
      <w:lvlText w:val="•"/>
      <w:lvlJc w:val="left"/>
      <w:pPr>
        <w:ind w:left="10788" w:hanging="189"/>
      </w:pPr>
      <w:rPr>
        <w:rFonts w:hint="default"/>
      </w:rPr>
    </w:lvl>
    <w:lvl w:ilvl="5">
      <w:start w:val="0"/>
      <w:numFmt w:val="bullet"/>
      <w:lvlText w:val="•"/>
      <w:lvlJc w:val="left"/>
      <w:pPr>
        <w:ind w:left="11630" w:hanging="189"/>
      </w:pPr>
      <w:rPr>
        <w:rFonts w:hint="default"/>
      </w:rPr>
    </w:lvl>
    <w:lvl w:ilvl="6">
      <w:start w:val="0"/>
      <w:numFmt w:val="bullet"/>
      <w:lvlText w:val="•"/>
      <w:lvlJc w:val="left"/>
      <w:pPr>
        <w:ind w:left="12472" w:hanging="189"/>
      </w:pPr>
      <w:rPr>
        <w:rFonts w:hint="default"/>
      </w:rPr>
    </w:lvl>
    <w:lvl w:ilvl="7">
      <w:start w:val="0"/>
      <w:numFmt w:val="bullet"/>
      <w:lvlText w:val="•"/>
      <w:lvlJc w:val="left"/>
      <w:pPr>
        <w:ind w:left="13314" w:hanging="189"/>
      </w:pPr>
      <w:rPr>
        <w:rFonts w:hint="default"/>
      </w:rPr>
    </w:lvl>
    <w:lvl w:ilvl="8">
      <w:start w:val="0"/>
      <w:numFmt w:val="bullet"/>
      <w:lvlText w:val="•"/>
      <w:lvlJc w:val="left"/>
      <w:pPr>
        <w:ind w:left="14156" w:hanging="189"/>
      </w:pPr>
      <w:rPr>
        <w:rFonts w:hint="default"/>
      </w:rPr>
    </w:lvl>
  </w:abstractNum>
  <w:abstractNum w:abstractNumId="26">
    <w:multiLevelType w:val="hybridMultilevel"/>
    <w:lvl w:ilvl="0">
      <w:start w:val="0"/>
      <w:numFmt w:val="bullet"/>
      <w:lvlText w:val="-"/>
      <w:lvlJc w:val="left"/>
      <w:pPr>
        <w:ind w:left="7249" w:hanging="135"/>
      </w:pPr>
      <w:rPr>
        <w:rFonts w:hint="default" w:ascii="DaxCondensed" w:hAnsi="DaxCondensed" w:eastAsia="DaxCondensed" w:cs="DaxCondensed"/>
        <w:color w:val="00666D"/>
        <w:spacing w:val="-1"/>
        <w:w w:val="100"/>
        <w:sz w:val="24"/>
        <w:szCs w:val="24"/>
      </w:rPr>
    </w:lvl>
    <w:lvl w:ilvl="1">
      <w:start w:val="0"/>
      <w:numFmt w:val="bullet"/>
      <w:lvlText w:val="•"/>
      <w:lvlJc w:val="left"/>
      <w:pPr>
        <w:ind w:left="8100" w:hanging="135"/>
      </w:pPr>
      <w:rPr>
        <w:rFonts w:hint="default"/>
      </w:rPr>
    </w:lvl>
    <w:lvl w:ilvl="2">
      <w:start w:val="0"/>
      <w:numFmt w:val="bullet"/>
      <w:lvlText w:val="•"/>
      <w:lvlJc w:val="left"/>
      <w:pPr>
        <w:ind w:left="8960" w:hanging="135"/>
      </w:pPr>
      <w:rPr>
        <w:rFonts w:hint="default"/>
      </w:rPr>
    </w:lvl>
    <w:lvl w:ilvl="3">
      <w:start w:val="0"/>
      <w:numFmt w:val="bullet"/>
      <w:lvlText w:val="•"/>
      <w:lvlJc w:val="left"/>
      <w:pPr>
        <w:ind w:left="9820" w:hanging="135"/>
      </w:pPr>
      <w:rPr>
        <w:rFonts w:hint="default"/>
      </w:rPr>
    </w:lvl>
    <w:lvl w:ilvl="4">
      <w:start w:val="0"/>
      <w:numFmt w:val="bullet"/>
      <w:lvlText w:val="•"/>
      <w:lvlJc w:val="left"/>
      <w:pPr>
        <w:ind w:left="10680" w:hanging="135"/>
      </w:pPr>
      <w:rPr>
        <w:rFonts w:hint="default"/>
      </w:rPr>
    </w:lvl>
    <w:lvl w:ilvl="5">
      <w:start w:val="0"/>
      <w:numFmt w:val="bullet"/>
      <w:lvlText w:val="•"/>
      <w:lvlJc w:val="left"/>
      <w:pPr>
        <w:ind w:left="11540" w:hanging="135"/>
      </w:pPr>
      <w:rPr>
        <w:rFonts w:hint="default"/>
      </w:rPr>
    </w:lvl>
    <w:lvl w:ilvl="6">
      <w:start w:val="0"/>
      <w:numFmt w:val="bullet"/>
      <w:lvlText w:val="•"/>
      <w:lvlJc w:val="left"/>
      <w:pPr>
        <w:ind w:left="12400" w:hanging="135"/>
      </w:pPr>
      <w:rPr>
        <w:rFonts w:hint="default"/>
      </w:rPr>
    </w:lvl>
    <w:lvl w:ilvl="7">
      <w:start w:val="0"/>
      <w:numFmt w:val="bullet"/>
      <w:lvlText w:val="•"/>
      <w:lvlJc w:val="left"/>
      <w:pPr>
        <w:ind w:left="13260" w:hanging="135"/>
      </w:pPr>
      <w:rPr>
        <w:rFonts w:hint="default"/>
      </w:rPr>
    </w:lvl>
    <w:lvl w:ilvl="8">
      <w:start w:val="0"/>
      <w:numFmt w:val="bullet"/>
      <w:lvlText w:val="•"/>
      <w:lvlJc w:val="left"/>
      <w:pPr>
        <w:ind w:left="14120" w:hanging="135"/>
      </w:pPr>
      <w:rPr>
        <w:rFonts w:hint="default"/>
      </w:rPr>
    </w:lvl>
  </w:abstractNum>
  <w:abstractNum w:abstractNumId="25">
    <w:multiLevelType w:val="hybridMultilevel"/>
    <w:lvl w:ilvl="0">
      <w:start w:val="4"/>
      <w:numFmt w:val="upperRoman"/>
      <w:lvlText w:val="%1"/>
      <w:lvlJc w:val="left"/>
      <w:pPr>
        <w:ind w:left="7229" w:hanging="252"/>
        <w:jc w:val="left"/>
      </w:pPr>
      <w:rPr>
        <w:rFonts w:hint="default" w:ascii="Arial" w:hAnsi="Arial" w:eastAsia="Arial" w:cs="Arial"/>
        <w:i/>
        <w:w w:val="103"/>
        <w:sz w:val="19"/>
        <w:szCs w:val="19"/>
      </w:rPr>
    </w:lvl>
    <w:lvl w:ilvl="1">
      <w:start w:val="0"/>
      <w:numFmt w:val="bullet"/>
      <w:lvlText w:val="•"/>
      <w:lvlJc w:val="left"/>
      <w:pPr>
        <w:ind w:left="8082" w:hanging="252"/>
      </w:pPr>
      <w:rPr>
        <w:rFonts w:hint="default"/>
      </w:rPr>
    </w:lvl>
    <w:lvl w:ilvl="2">
      <w:start w:val="0"/>
      <w:numFmt w:val="bullet"/>
      <w:lvlText w:val="•"/>
      <w:lvlJc w:val="left"/>
      <w:pPr>
        <w:ind w:left="8944" w:hanging="252"/>
      </w:pPr>
      <w:rPr>
        <w:rFonts w:hint="default"/>
      </w:rPr>
    </w:lvl>
    <w:lvl w:ilvl="3">
      <w:start w:val="0"/>
      <w:numFmt w:val="bullet"/>
      <w:lvlText w:val="•"/>
      <w:lvlJc w:val="left"/>
      <w:pPr>
        <w:ind w:left="9806" w:hanging="252"/>
      </w:pPr>
      <w:rPr>
        <w:rFonts w:hint="default"/>
      </w:rPr>
    </w:lvl>
    <w:lvl w:ilvl="4">
      <w:start w:val="0"/>
      <w:numFmt w:val="bullet"/>
      <w:lvlText w:val="•"/>
      <w:lvlJc w:val="left"/>
      <w:pPr>
        <w:ind w:left="10668" w:hanging="252"/>
      </w:pPr>
      <w:rPr>
        <w:rFonts w:hint="default"/>
      </w:rPr>
    </w:lvl>
    <w:lvl w:ilvl="5">
      <w:start w:val="0"/>
      <w:numFmt w:val="bullet"/>
      <w:lvlText w:val="•"/>
      <w:lvlJc w:val="left"/>
      <w:pPr>
        <w:ind w:left="11530" w:hanging="252"/>
      </w:pPr>
      <w:rPr>
        <w:rFonts w:hint="default"/>
      </w:rPr>
    </w:lvl>
    <w:lvl w:ilvl="6">
      <w:start w:val="0"/>
      <w:numFmt w:val="bullet"/>
      <w:lvlText w:val="•"/>
      <w:lvlJc w:val="left"/>
      <w:pPr>
        <w:ind w:left="12392" w:hanging="252"/>
      </w:pPr>
      <w:rPr>
        <w:rFonts w:hint="default"/>
      </w:rPr>
    </w:lvl>
    <w:lvl w:ilvl="7">
      <w:start w:val="0"/>
      <w:numFmt w:val="bullet"/>
      <w:lvlText w:val="•"/>
      <w:lvlJc w:val="left"/>
      <w:pPr>
        <w:ind w:left="13254" w:hanging="252"/>
      </w:pPr>
      <w:rPr>
        <w:rFonts w:hint="default"/>
      </w:rPr>
    </w:lvl>
    <w:lvl w:ilvl="8">
      <w:start w:val="0"/>
      <w:numFmt w:val="bullet"/>
      <w:lvlText w:val="•"/>
      <w:lvlJc w:val="left"/>
      <w:pPr>
        <w:ind w:left="14116" w:hanging="252"/>
      </w:pPr>
      <w:rPr>
        <w:rFonts w:hint="default"/>
      </w:rPr>
    </w:lvl>
  </w:abstractNum>
  <w:abstractNum w:abstractNumId="23">
    <w:multiLevelType w:val="hybridMultilevel"/>
    <w:lvl w:ilvl="0">
      <w:start w:val="26"/>
      <w:numFmt w:val="decimal"/>
      <w:lvlText w:val="%1."/>
      <w:lvlJc w:val="left"/>
      <w:pPr>
        <w:ind w:left="571" w:hanging="425"/>
        <w:jc w:val="left"/>
      </w:pPr>
      <w:rPr>
        <w:rFonts w:hint="default" w:ascii="Arial" w:hAnsi="Arial" w:eastAsia="Arial" w:cs="Arial"/>
        <w:color w:val="FFFFFF"/>
        <w:spacing w:val="0"/>
        <w:w w:val="103"/>
        <w:sz w:val="19"/>
        <w:szCs w:val="19"/>
      </w:rPr>
    </w:lvl>
    <w:lvl w:ilvl="1">
      <w:start w:val="5"/>
      <w:numFmt w:val="decimal"/>
      <w:lvlText w:val="%2."/>
      <w:lvlJc w:val="left"/>
      <w:pPr>
        <w:ind w:left="992" w:hanging="567"/>
        <w:jc w:val="left"/>
      </w:pPr>
      <w:rPr>
        <w:rFonts w:hint="default"/>
        <w:w w:val="99"/>
      </w:rPr>
    </w:lvl>
    <w:lvl w:ilvl="2">
      <w:start w:val="1"/>
      <w:numFmt w:val="decimal"/>
      <w:lvlText w:val="%2.%3."/>
      <w:lvlJc w:val="left"/>
      <w:pPr>
        <w:ind w:left="5114" w:hanging="720"/>
        <w:jc w:val="left"/>
      </w:pPr>
      <w:rPr>
        <w:rFonts w:hint="default"/>
        <w:w w:val="99"/>
        <w:highlight w:val="darkCyan"/>
      </w:rPr>
    </w:lvl>
    <w:lvl w:ilvl="3">
      <w:start w:val="1"/>
      <w:numFmt w:val="upperRoman"/>
      <w:lvlText w:val="%4"/>
      <w:lvlJc w:val="left"/>
      <w:pPr>
        <w:ind w:left="7229" w:hanging="149"/>
        <w:jc w:val="left"/>
      </w:pPr>
      <w:rPr>
        <w:rFonts w:hint="default" w:ascii="Arial" w:hAnsi="Arial" w:eastAsia="Arial" w:cs="Arial"/>
        <w:i/>
        <w:w w:val="103"/>
        <w:sz w:val="19"/>
        <w:szCs w:val="19"/>
      </w:rPr>
    </w:lvl>
    <w:lvl w:ilvl="4">
      <w:start w:val="0"/>
      <w:numFmt w:val="bullet"/>
      <w:lvlText w:val="•"/>
      <w:lvlJc w:val="left"/>
      <w:pPr>
        <w:ind w:left="7220" w:hanging="149"/>
      </w:pPr>
      <w:rPr>
        <w:rFonts w:hint="default"/>
      </w:rPr>
    </w:lvl>
    <w:lvl w:ilvl="5">
      <w:start w:val="0"/>
      <w:numFmt w:val="bullet"/>
      <w:lvlText w:val="•"/>
      <w:lvlJc w:val="left"/>
      <w:pPr>
        <w:ind w:left="6420" w:hanging="149"/>
      </w:pPr>
      <w:rPr>
        <w:rFonts w:hint="default"/>
      </w:rPr>
    </w:lvl>
    <w:lvl w:ilvl="6">
      <w:start w:val="0"/>
      <w:numFmt w:val="bullet"/>
      <w:lvlText w:val="•"/>
      <w:lvlJc w:val="left"/>
      <w:pPr>
        <w:ind w:left="5621" w:hanging="149"/>
      </w:pPr>
      <w:rPr>
        <w:rFonts w:hint="default"/>
      </w:rPr>
    </w:lvl>
    <w:lvl w:ilvl="7">
      <w:start w:val="0"/>
      <w:numFmt w:val="bullet"/>
      <w:lvlText w:val="•"/>
      <w:lvlJc w:val="left"/>
      <w:pPr>
        <w:ind w:left="4822" w:hanging="149"/>
      </w:pPr>
      <w:rPr>
        <w:rFonts w:hint="default"/>
      </w:rPr>
    </w:lvl>
    <w:lvl w:ilvl="8">
      <w:start w:val="0"/>
      <w:numFmt w:val="bullet"/>
      <w:lvlText w:val="•"/>
      <w:lvlJc w:val="left"/>
      <w:pPr>
        <w:ind w:left="4023" w:hanging="149"/>
      </w:pPr>
      <w:rPr>
        <w:rFonts w:hint="default"/>
      </w:rPr>
    </w:lvl>
  </w:abstractNum>
  <w:abstractNum w:abstractNumId="22">
    <w:multiLevelType w:val="hybridMultilevel"/>
    <w:lvl w:ilvl="0">
      <w:start w:val="1"/>
      <w:numFmt w:val="decimal"/>
      <w:lvlText w:val="%1)"/>
      <w:lvlJc w:val="left"/>
      <w:pPr>
        <w:ind w:left="894" w:hanging="360"/>
        <w:jc w:val="left"/>
      </w:pPr>
      <w:rPr>
        <w:rFonts w:hint="default" w:ascii="Arial" w:hAnsi="Arial" w:eastAsia="Arial" w:cs="Arial"/>
        <w:spacing w:val="0"/>
        <w:w w:val="103"/>
        <w:sz w:val="19"/>
        <w:szCs w:val="19"/>
      </w:rPr>
    </w:lvl>
    <w:lvl w:ilvl="1">
      <w:start w:val="0"/>
      <w:numFmt w:val="bullet"/>
      <w:lvlText w:val="•"/>
      <w:lvlJc w:val="left"/>
      <w:pPr>
        <w:ind w:left="2049" w:hanging="360"/>
      </w:pPr>
      <w:rPr>
        <w:rFonts w:hint="default"/>
      </w:rPr>
    </w:lvl>
    <w:lvl w:ilvl="2">
      <w:start w:val="0"/>
      <w:numFmt w:val="bullet"/>
      <w:lvlText w:val="•"/>
      <w:lvlJc w:val="left"/>
      <w:pPr>
        <w:ind w:left="3198" w:hanging="360"/>
      </w:pPr>
      <w:rPr>
        <w:rFonts w:hint="default"/>
      </w:rPr>
    </w:lvl>
    <w:lvl w:ilvl="3">
      <w:start w:val="0"/>
      <w:numFmt w:val="bullet"/>
      <w:lvlText w:val="•"/>
      <w:lvlJc w:val="left"/>
      <w:pPr>
        <w:ind w:left="4347" w:hanging="360"/>
      </w:pPr>
      <w:rPr>
        <w:rFonts w:hint="default"/>
      </w:rPr>
    </w:lvl>
    <w:lvl w:ilvl="4">
      <w:start w:val="0"/>
      <w:numFmt w:val="bullet"/>
      <w:lvlText w:val="•"/>
      <w:lvlJc w:val="left"/>
      <w:pPr>
        <w:ind w:left="5497" w:hanging="360"/>
      </w:pPr>
      <w:rPr>
        <w:rFonts w:hint="default"/>
      </w:rPr>
    </w:lvl>
    <w:lvl w:ilvl="5">
      <w:start w:val="0"/>
      <w:numFmt w:val="bullet"/>
      <w:lvlText w:val="•"/>
      <w:lvlJc w:val="left"/>
      <w:pPr>
        <w:ind w:left="6646" w:hanging="360"/>
      </w:pPr>
      <w:rPr>
        <w:rFonts w:hint="default"/>
      </w:rPr>
    </w:lvl>
    <w:lvl w:ilvl="6">
      <w:start w:val="0"/>
      <w:numFmt w:val="bullet"/>
      <w:lvlText w:val="•"/>
      <w:lvlJc w:val="left"/>
      <w:pPr>
        <w:ind w:left="7795" w:hanging="360"/>
      </w:pPr>
      <w:rPr>
        <w:rFonts w:hint="default"/>
      </w:rPr>
    </w:lvl>
    <w:lvl w:ilvl="7">
      <w:start w:val="0"/>
      <w:numFmt w:val="bullet"/>
      <w:lvlText w:val="•"/>
      <w:lvlJc w:val="left"/>
      <w:pPr>
        <w:ind w:left="8945" w:hanging="360"/>
      </w:pPr>
      <w:rPr>
        <w:rFonts w:hint="default"/>
      </w:rPr>
    </w:lvl>
    <w:lvl w:ilvl="8">
      <w:start w:val="0"/>
      <w:numFmt w:val="bullet"/>
      <w:lvlText w:val="•"/>
      <w:lvlJc w:val="left"/>
      <w:pPr>
        <w:ind w:left="10094" w:hanging="360"/>
      </w:pPr>
      <w:rPr>
        <w:rFonts w:hint="default"/>
      </w:rPr>
    </w:lvl>
  </w:abstractNum>
  <w:abstractNum w:abstractNumId="21">
    <w:multiLevelType w:val="hybridMultilevel"/>
    <w:lvl w:ilvl="0">
      <w:start w:val="1"/>
      <w:numFmt w:val="decimal"/>
      <w:lvlText w:val="%1)"/>
      <w:lvlJc w:val="left"/>
      <w:pPr>
        <w:ind w:left="894" w:hanging="360"/>
        <w:jc w:val="left"/>
      </w:pPr>
      <w:rPr>
        <w:rFonts w:hint="default" w:ascii="Arial" w:hAnsi="Arial" w:eastAsia="Arial" w:cs="Arial"/>
        <w:spacing w:val="0"/>
        <w:w w:val="103"/>
        <w:sz w:val="19"/>
        <w:szCs w:val="19"/>
      </w:rPr>
    </w:lvl>
    <w:lvl w:ilvl="1">
      <w:start w:val="0"/>
      <w:numFmt w:val="bullet"/>
      <w:lvlText w:val="•"/>
      <w:lvlJc w:val="left"/>
      <w:pPr>
        <w:ind w:left="2049" w:hanging="360"/>
      </w:pPr>
      <w:rPr>
        <w:rFonts w:hint="default"/>
      </w:rPr>
    </w:lvl>
    <w:lvl w:ilvl="2">
      <w:start w:val="0"/>
      <w:numFmt w:val="bullet"/>
      <w:lvlText w:val="•"/>
      <w:lvlJc w:val="left"/>
      <w:pPr>
        <w:ind w:left="3198" w:hanging="360"/>
      </w:pPr>
      <w:rPr>
        <w:rFonts w:hint="default"/>
      </w:rPr>
    </w:lvl>
    <w:lvl w:ilvl="3">
      <w:start w:val="0"/>
      <w:numFmt w:val="bullet"/>
      <w:lvlText w:val="•"/>
      <w:lvlJc w:val="left"/>
      <w:pPr>
        <w:ind w:left="4347" w:hanging="360"/>
      </w:pPr>
      <w:rPr>
        <w:rFonts w:hint="default"/>
      </w:rPr>
    </w:lvl>
    <w:lvl w:ilvl="4">
      <w:start w:val="0"/>
      <w:numFmt w:val="bullet"/>
      <w:lvlText w:val="•"/>
      <w:lvlJc w:val="left"/>
      <w:pPr>
        <w:ind w:left="5497" w:hanging="360"/>
      </w:pPr>
      <w:rPr>
        <w:rFonts w:hint="default"/>
      </w:rPr>
    </w:lvl>
    <w:lvl w:ilvl="5">
      <w:start w:val="0"/>
      <w:numFmt w:val="bullet"/>
      <w:lvlText w:val="•"/>
      <w:lvlJc w:val="left"/>
      <w:pPr>
        <w:ind w:left="6646" w:hanging="360"/>
      </w:pPr>
      <w:rPr>
        <w:rFonts w:hint="default"/>
      </w:rPr>
    </w:lvl>
    <w:lvl w:ilvl="6">
      <w:start w:val="0"/>
      <w:numFmt w:val="bullet"/>
      <w:lvlText w:val="•"/>
      <w:lvlJc w:val="left"/>
      <w:pPr>
        <w:ind w:left="7795" w:hanging="360"/>
      </w:pPr>
      <w:rPr>
        <w:rFonts w:hint="default"/>
      </w:rPr>
    </w:lvl>
    <w:lvl w:ilvl="7">
      <w:start w:val="0"/>
      <w:numFmt w:val="bullet"/>
      <w:lvlText w:val="•"/>
      <w:lvlJc w:val="left"/>
      <w:pPr>
        <w:ind w:left="8945" w:hanging="360"/>
      </w:pPr>
      <w:rPr>
        <w:rFonts w:hint="default"/>
      </w:rPr>
    </w:lvl>
    <w:lvl w:ilvl="8">
      <w:start w:val="0"/>
      <w:numFmt w:val="bullet"/>
      <w:lvlText w:val="•"/>
      <w:lvlJc w:val="left"/>
      <w:pPr>
        <w:ind w:left="10094" w:hanging="360"/>
      </w:pPr>
      <w:rPr>
        <w:rFonts w:hint="default"/>
      </w:rPr>
    </w:lvl>
  </w:abstractNum>
  <w:abstractNum w:abstractNumId="20">
    <w:multiLevelType w:val="hybridMultilevel"/>
    <w:lvl w:ilvl="0">
      <w:start w:val="1"/>
      <w:numFmt w:val="decimal"/>
      <w:lvlText w:val="%1)"/>
      <w:lvlJc w:val="left"/>
      <w:pPr>
        <w:ind w:left="894" w:hanging="360"/>
        <w:jc w:val="left"/>
      </w:pPr>
      <w:rPr>
        <w:rFonts w:hint="default" w:ascii="Arial" w:hAnsi="Arial" w:eastAsia="Arial" w:cs="Arial"/>
        <w:spacing w:val="0"/>
        <w:w w:val="103"/>
        <w:sz w:val="19"/>
        <w:szCs w:val="19"/>
      </w:rPr>
    </w:lvl>
    <w:lvl w:ilvl="1">
      <w:start w:val="0"/>
      <w:numFmt w:val="bullet"/>
      <w:lvlText w:val="•"/>
      <w:lvlJc w:val="left"/>
      <w:pPr>
        <w:ind w:left="2049" w:hanging="360"/>
      </w:pPr>
      <w:rPr>
        <w:rFonts w:hint="default"/>
      </w:rPr>
    </w:lvl>
    <w:lvl w:ilvl="2">
      <w:start w:val="0"/>
      <w:numFmt w:val="bullet"/>
      <w:lvlText w:val="•"/>
      <w:lvlJc w:val="left"/>
      <w:pPr>
        <w:ind w:left="3198" w:hanging="360"/>
      </w:pPr>
      <w:rPr>
        <w:rFonts w:hint="default"/>
      </w:rPr>
    </w:lvl>
    <w:lvl w:ilvl="3">
      <w:start w:val="0"/>
      <w:numFmt w:val="bullet"/>
      <w:lvlText w:val="•"/>
      <w:lvlJc w:val="left"/>
      <w:pPr>
        <w:ind w:left="4347" w:hanging="360"/>
      </w:pPr>
      <w:rPr>
        <w:rFonts w:hint="default"/>
      </w:rPr>
    </w:lvl>
    <w:lvl w:ilvl="4">
      <w:start w:val="0"/>
      <w:numFmt w:val="bullet"/>
      <w:lvlText w:val="•"/>
      <w:lvlJc w:val="left"/>
      <w:pPr>
        <w:ind w:left="5497" w:hanging="360"/>
      </w:pPr>
      <w:rPr>
        <w:rFonts w:hint="default"/>
      </w:rPr>
    </w:lvl>
    <w:lvl w:ilvl="5">
      <w:start w:val="0"/>
      <w:numFmt w:val="bullet"/>
      <w:lvlText w:val="•"/>
      <w:lvlJc w:val="left"/>
      <w:pPr>
        <w:ind w:left="6646" w:hanging="360"/>
      </w:pPr>
      <w:rPr>
        <w:rFonts w:hint="default"/>
      </w:rPr>
    </w:lvl>
    <w:lvl w:ilvl="6">
      <w:start w:val="0"/>
      <w:numFmt w:val="bullet"/>
      <w:lvlText w:val="•"/>
      <w:lvlJc w:val="left"/>
      <w:pPr>
        <w:ind w:left="7795" w:hanging="360"/>
      </w:pPr>
      <w:rPr>
        <w:rFonts w:hint="default"/>
      </w:rPr>
    </w:lvl>
    <w:lvl w:ilvl="7">
      <w:start w:val="0"/>
      <w:numFmt w:val="bullet"/>
      <w:lvlText w:val="•"/>
      <w:lvlJc w:val="left"/>
      <w:pPr>
        <w:ind w:left="8945" w:hanging="360"/>
      </w:pPr>
      <w:rPr>
        <w:rFonts w:hint="default"/>
      </w:rPr>
    </w:lvl>
    <w:lvl w:ilvl="8">
      <w:start w:val="0"/>
      <w:numFmt w:val="bullet"/>
      <w:lvlText w:val="•"/>
      <w:lvlJc w:val="left"/>
      <w:pPr>
        <w:ind w:left="10094" w:hanging="360"/>
      </w:pPr>
      <w:rPr>
        <w:rFonts w:hint="default"/>
      </w:rPr>
    </w:lvl>
  </w:abstractNum>
  <w:abstractNum w:abstractNumId="19">
    <w:multiLevelType w:val="hybridMultilevel"/>
    <w:lvl w:ilvl="0">
      <w:start w:val="1"/>
      <w:numFmt w:val="decimal"/>
      <w:lvlText w:val="%1)"/>
      <w:lvlJc w:val="left"/>
      <w:pPr>
        <w:ind w:left="894" w:hanging="360"/>
        <w:jc w:val="left"/>
      </w:pPr>
      <w:rPr>
        <w:rFonts w:hint="default" w:ascii="Arial" w:hAnsi="Arial" w:eastAsia="Arial" w:cs="Arial"/>
        <w:spacing w:val="0"/>
        <w:w w:val="103"/>
        <w:sz w:val="19"/>
        <w:szCs w:val="19"/>
      </w:rPr>
    </w:lvl>
    <w:lvl w:ilvl="1">
      <w:start w:val="0"/>
      <w:numFmt w:val="bullet"/>
      <w:lvlText w:val="•"/>
      <w:lvlJc w:val="left"/>
      <w:pPr>
        <w:ind w:left="2049" w:hanging="360"/>
      </w:pPr>
      <w:rPr>
        <w:rFonts w:hint="default"/>
      </w:rPr>
    </w:lvl>
    <w:lvl w:ilvl="2">
      <w:start w:val="0"/>
      <w:numFmt w:val="bullet"/>
      <w:lvlText w:val="•"/>
      <w:lvlJc w:val="left"/>
      <w:pPr>
        <w:ind w:left="3198" w:hanging="360"/>
      </w:pPr>
      <w:rPr>
        <w:rFonts w:hint="default"/>
      </w:rPr>
    </w:lvl>
    <w:lvl w:ilvl="3">
      <w:start w:val="0"/>
      <w:numFmt w:val="bullet"/>
      <w:lvlText w:val="•"/>
      <w:lvlJc w:val="left"/>
      <w:pPr>
        <w:ind w:left="4347" w:hanging="360"/>
      </w:pPr>
      <w:rPr>
        <w:rFonts w:hint="default"/>
      </w:rPr>
    </w:lvl>
    <w:lvl w:ilvl="4">
      <w:start w:val="0"/>
      <w:numFmt w:val="bullet"/>
      <w:lvlText w:val="•"/>
      <w:lvlJc w:val="left"/>
      <w:pPr>
        <w:ind w:left="5497" w:hanging="360"/>
      </w:pPr>
      <w:rPr>
        <w:rFonts w:hint="default"/>
      </w:rPr>
    </w:lvl>
    <w:lvl w:ilvl="5">
      <w:start w:val="0"/>
      <w:numFmt w:val="bullet"/>
      <w:lvlText w:val="•"/>
      <w:lvlJc w:val="left"/>
      <w:pPr>
        <w:ind w:left="6646" w:hanging="360"/>
      </w:pPr>
      <w:rPr>
        <w:rFonts w:hint="default"/>
      </w:rPr>
    </w:lvl>
    <w:lvl w:ilvl="6">
      <w:start w:val="0"/>
      <w:numFmt w:val="bullet"/>
      <w:lvlText w:val="•"/>
      <w:lvlJc w:val="left"/>
      <w:pPr>
        <w:ind w:left="7795" w:hanging="360"/>
      </w:pPr>
      <w:rPr>
        <w:rFonts w:hint="default"/>
      </w:rPr>
    </w:lvl>
    <w:lvl w:ilvl="7">
      <w:start w:val="0"/>
      <w:numFmt w:val="bullet"/>
      <w:lvlText w:val="•"/>
      <w:lvlJc w:val="left"/>
      <w:pPr>
        <w:ind w:left="8945" w:hanging="360"/>
      </w:pPr>
      <w:rPr>
        <w:rFonts w:hint="default"/>
      </w:rPr>
    </w:lvl>
    <w:lvl w:ilvl="8">
      <w:start w:val="0"/>
      <w:numFmt w:val="bullet"/>
      <w:lvlText w:val="•"/>
      <w:lvlJc w:val="left"/>
      <w:pPr>
        <w:ind w:left="10094" w:hanging="360"/>
      </w:pPr>
      <w:rPr>
        <w:rFonts w:hint="default"/>
      </w:rPr>
    </w:lvl>
  </w:abstractNum>
  <w:abstractNum w:abstractNumId="18">
    <w:multiLevelType w:val="hybridMultilevel"/>
    <w:lvl w:ilvl="0">
      <w:start w:val="1"/>
      <w:numFmt w:val="decimal"/>
      <w:lvlText w:val="%1)"/>
      <w:lvlJc w:val="left"/>
      <w:pPr>
        <w:ind w:left="894" w:hanging="360"/>
        <w:jc w:val="left"/>
      </w:pPr>
      <w:rPr>
        <w:rFonts w:hint="default" w:ascii="Arial" w:hAnsi="Arial" w:eastAsia="Arial" w:cs="Arial"/>
        <w:spacing w:val="0"/>
        <w:w w:val="103"/>
        <w:sz w:val="19"/>
        <w:szCs w:val="19"/>
      </w:rPr>
    </w:lvl>
    <w:lvl w:ilvl="1">
      <w:start w:val="0"/>
      <w:numFmt w:val="bullet"/>
      <w:lvlText w:val="•"/>
      <w:lvlJc w:val="left"/>
      <w:pPr>
        <w:ind w:left="2049" w:hanging="360"/>
      </w:pPr>
      <w:rPr>
        <w:rFonts w:hint="default"/>
      </w:rPr>
    </w:lvl>
    <w:lvl w:ilvl="2">
      <w:start w:val="0"/>
      <w:numFmt w:val="bullet"/>
      <w:lvlText w:val="•"/>
      <w:lvlJc w:val="left"/>
      <w:pPr>
        <w:ind w:left="3198" w:hanging="360"/>
      </w:pPr>
      <w:rPr>
        <w:rFonts w:hint="default"/>
      </w:rPr>
    </w:lvl>
    <w:lvl w:ilvl="3">
      <w:start w:val="0"/>
      <w:numFmt w:val="bullet"/>
      <w:lvlText w:val="•"/>
      <w:lvlJc w:val="left"/>
      <w:pPr>
        <w:ind w:left="4347" w:hanging="360"/>
      </w:pPr>
      <w:rPr>
        <w:rFonts w:hint="default"/>
      </w:rPr>
    </w:lvl>
    <w:lvl w:ilvl="4">
      <w:start w:val="0"/>
      <w:numFmt w:val="bullet"/>
      <w:lvlText w:val="•"/>
      <w:lvlJc w:val="left"/>
      <w:pPr>
        <w:ind w:left="5497" w:hanging="360"/>
      </w:pPr>
      <w:rPr>
        <w:rFonts w:hint="default"/>
      </w:rPr>
    </w:lvl>
    <w:lvl w:ilvl="5">
      <w:start w:val="0"/>
      <w:numFmt w:val="bullet"/>
      <w:lvlText w:val="•"/>
      <w:lvlJc w:val="left"/>
      <w:pPr>
        <w:ind w:left="6646" w:hanging="360"/>
      </w:pPr>
      <w:rPr>
        <w:rFonts w:hint="default"/>
      </w:rPr>
    </w:lvl>
    <w:lvl w:ilvl="6">
      <w:start w:val="0"/>
      <w:numFmt w:val="bullet"/>
      <w:lvlText w:val="•"/>
      <w:lvlJc w:val="left"/>
      <w:pPr>
        <w:ind w:left="7795" w:hanging="360"/>
      </w:pPr>
      <w:rPr>
        <w:rFonts w:hint="default"/>
      </w:rPr>
    </w:lvl>
    <w:lvl w:ilvl="7">
      <w:start w:val="0"/>
      <w:numFmt w:val="bullet"/>
      <w:lvlText w:val="•"/>
      <w:lvlJc w:val="left"/>
      <w:pPr>
        <w:ind w:left="8945" w:hanging="360"/>
      </w:pPr>
      <w:rPr>
        <w:rFonts w:hint="default"/>
      </w:rPr>
    </w:lvl>
    <w:lvl w:ilvl="8">
      <w:start w:val="0"/>
      <w:numFmt w:val="bullet"/>
      <w:lvlText w:val="•"/>
      <w:lvlJc w:val="left"/>
      <w:pPr>
        <w:ind w:left="10094" w:hanging="360"/>
      </w:pPr>
      <w:rPr>
        <w:rFonts w:hint="default"/>
      </w:rPr>
    </w:lvl>
  </w:abstractNum>
  <w:abstractNum w:abstractNumId="17">
    <w:multiLevelType w:val="hybridMultilevel"/>
    <w:lvl w:ilvl="0">
      <w:start w:val="1"/>
      <w:numFmt w:val="decimal"/>
      <w:lvlText w:val="%1)"/>
      <w:lvlJc w:val="left"/>
      <w:pPr>
        <w:ind w:left="894" w:hanging="360"/>
        <w:jc w:val="left"/>
      </w:pPr>
      <w:rPr>
        <w:rFonts w:hint="default" w:ascii="Arial" w:hAnsi="Arial" w:eastAsia="Arial" w:cs="Arial"/>
        <w:spacing w:val="0"/>
        <w:w w:val="103"/>
        <w:sz w:val="19"/>
        <w:szCs w:val="19"/>
      </w:rPr>
    </w:lvl>
    <w:lvl w:ilvl="1">
      <w:start w:val="0"/>
      <w:numFmt w:val="bullet"/>
      <w:lvlText w:val="•"/>
      <w:lvlJc w:val="left"/>
      <w:pPr>
        <w:ind w:left="2049" w:hanging="360"/>
      </w:pPr>
      <w:rPr>
        <w:rFonts w:hint="default"/>
      </w:rPr>
    </w:lvl>
    <w:lvl w:ilvl="2">
      <w:start w:val="0"/>
      <w:numFmt w:val="bullet"/>
      <w:lvlText w:val="•"/>
      <w:lvlJc w:val="left"/>
      <w:pPr>
        <w:ind w:left="3198" w:hanging="360"/>
      </w:pPr>
      <w:rPr>
        <w:rFonts w:hint="default"/>
      </w:rPr>
    </w:lvl>
    <w:lvl w:ilvl="3">
      <w:start w:val="0"/>
      <w:numFmt w:val="bullet"/>
      <w:lvlText w:val="•"/>
      <w:lvlJc w:val="left"/>
      <w:pPr>
        <w:ind w:left="4347" w:hanging="360"/>
      </w:pPr>
      <w:rPr>
        <w:rFonts w:hint="default"/>
      </w:rPr>
    </w:lvl>
    <w:lvl w:ilvl="4">
      <w:start w:val="0"/>
      <w:numFmt w:val="bullet"/>
      <w:lvlText w:val="•"/>
      <w:lvlJc w:val="left"/>
      <w:pPr>
        <w:ind w:left="5497" w:hanging="360"/>
      </w:pPr>
      <w:rPr>
        <w:rFonts w:hint="default"/>
      </w:rPr>
    </w:lvl>
    <w:lvl w:ilvl="5">
      <w:start w:val="0"/>
      <w:numFmt w:val="bullet"/>
      <w:lvlText w:val="•"/>
      <w:lvlJc w:val="left"/>
      <w:pPr>
        <w:ind w:left="6646" w:hanging="360"/>
      </w:pPr>
      <w:rPr>
        <w:rFonts w:hint="default"/>
      </w:rPr>
    </w:lvl>
    <w:lvl w:ilvl="6">
      <w:start w:val="0"/>
      <w:numFmt w:val="bullet"/>
      <w:lvlText w:val="•"/>
      <w:lvlJc w:val="left"/>
      <w:pPr>
        <w:ind w:left="7795" w:hanging="360"/>
      </w:pPr>
      <w:rPr>
        <w:rFonts w:hint="default"/>
      </w:rPr>
    </w:lvl>
    <w:lvl w:ilvl="7">
      <w:start w:val="0"/>
      <w:numFmt w:val="bullet"/>
      <w:lvlText w:val="•"/>
      <w:lvlJc w:val="left"/>
      <w:pPr>
        <w:ind w:left="8945" w:hanging="360"/>
      </w:pPr>
      <w:rPr>
        <w:rFonts w:hint="default"/>
      </w:rPr>
    </w:lvl>
    <w:lvl w:ilvl="8">
      <w:start w:val="0"/>
      <w:numFmt w:val="bullet"/>
      <w:lvlText w:val="•"/>
      <w:lvlJc w:val="left"/>
      <w:pPr>
        <w:ind w:left="10094" w:hanging="360"/>
      </w:pPr>
      <w:rPr>
        <w:rFonts w:hint="default"/>
      </w:rPr>
    </w:lvl>
  </w:abstractNum>
  <w:abstractNum w:abstractNumId="16">
    <w:multiLevelType w:val="hybridMultilevel"/>
    <w:lvl w:ilvl="0">
      <w:start w:val="1"/>
      <w:numFmt w:val="decimal"/>
      <w:lvlText w:val="%1)"/>
      <w:lvlJc w:val="left"/>
      <w:pPr>
        <w:ind w:left="894" w:hanging="360"/>
        <w:jc w:val="left"/>
      </w:pPr>
      <w:rPr>
        <w:rFonts w:hint="default" w:ascii="Arial" w:hAnsi="Arial" w:eastAsia="Arial" w:cs="Arial"/>
        <w:spacing w:val="0"/>
        <w:w w:val="103"/>
        <w:sz w:val="19"/>
        <w:szCs w:val="19"/>
      </w:rPr>
    </w:lvl>
    <w:lvl w:ilvl="1">
      <w:start w:val="0"/>
      <w:numFmt w:val="bullet"/>
      <w:lvlText w:val="•"/>
      <w:lvlJc w:val="left"/>
      <w:pPr>
        <w:ind w:left="2049" w:hanging="360"/>
      </w:pPr>
      <w:rPr>
        <w:rFonts w:hint="default"/>
      </w:rPr>
    </w:lvl>
    <w:lvl w:ilvl="2">
      <w:start w:val="0"/>
      <w:numFmt w:val="bullet"/>
      <w:lvlText w:val="•"/>
      <w:lvlJc w:val="left"/>
      <w:pPr>
        <w:ind w:left="3198" w:hanging="360"/>
      </w:pPr>
      <w:rPr>
        <w:rFonts w:hint="default"/>
      </w:rPr>
    </w:lvl>
    <w:lvl w:ilvl="3">
      <w:start w:val="0"/>
      <w:numFmt w:val="bullet"/>
      <w:lvlText w:val="•"/>
      <w:lvlJc w:val="left"/>
      <w:pPr>
        <w:ind w:left="4347" w:hanging="360"/>
      </w:pPr>
      <w:rPr>
        <w:rFonts w:hint="default"/>
      </w:rPr>
    </w:lvl>
    <w:lvl w:ilvl="4">
      <w:start w:val="0"/>
      <w:numFmt w:val="bullet"/>
      <w:lvlText w:val="•"/>
      <w:lvlJc w:val="left"/>
      <w:pPr>
        <w:ind w:left="5497" w:hanging="360"/>
      </w:pPr>
      <w:rPr>
        <w:rFonts w:hint="default"/>
      </w:rPr>
    </w:lvl>
    <w:lvl w:ilvl="5">
      <w:start w:val="0"/>
      <w:numFmt w:val="bullet"/>
      <w:lvlText w:val="•"/>
      <w:lvlJc w:val="left"/>
      <w:pPr>
        <w:ind w:left="6646" w:hanging="360"/>
      </w:pPr>
      <w:rPr>
        <w:rFonts w:hint="default"/>
      </w:rPr>
    </w:lvl>
    <w:lvl w:ilvl="6">
      <w:start w:val="0"/>
      <w:numFmt w:val="bullet"/>
      <w:lvlText w:val="•"/>
      <w:lvlJc w:val="left"/>
      <w:pPr>
        <w:ind w:left="7795" w:hanging="360"/>
      </w:pPr>
      <w:rPr>
        <w:rFonts w:hint="default"/>
      </w:rPr>
    </w:lvl>
    <w:lvl w:ilvl="7">
      <w:start w:val="0"/>
      <w:numFmt w:val="bullet"/>
      <w:lvlText w:val="•"/>
      <w:lvlJc w:val="left"/>
      <w:pPr>
        <w:ind w:left="8945" w:hanging="360"/>
      </w:pPr>
      <w:rPr>
        <w:rFonts w:hint="default"/>
      </w:rPr>
    </w:lvl>
    <w:lvl w:ilvl="8">
      <w:start w:val="0"/>
      <w:numFmt w:val="bullet"/>
      <w:lvlText w:val="•"/>
      <w:lvlJc w:val="left"/>
      <w:pPr>
        <w:ind w:left="10094" w:hanging="360"/>
      </w:pPr>
      <w:rPr>
        <w:rFonts w:hint="default"/>
      </w:rPr>
    </w:lvl>
  </w:abstractNum>
  <w:abstractNum w:abstractNumId="15">
    <w:multiLevelType w:val="hybridMultilevel"/>
    <w:lvl w:ilvl="0">
      <w:start w:val="1"/>
      <w:numFmt w:val="decimal"/>
      <w:lvlText w:val="%1)"/>
      <w:lvlJc w:val="left"/>
      <w:pPr>
        <w:ind w:left="894" w:hanging="360"/>
        <w:jc w:val="left"/>
      </w:pPr>
      <w:rPr>
        <w:rFonts w:hint="default" w:ascii="Arial" w:hAnsi="Arial" w:eastAsia="Arial" w:cs="Arial"/>
        <w:spacing w:val="0"/>
        <w:w w:val="103"/>
        <w:sz w:val="19"/>
        <w:szCs w:val="19"/>
      </w:rPr>
    </w:lvl>
    <w:lvl w:ilvl="1">
      <w:start w:val="0"/>
      <w:numFmt w:val="bullet"/>
      <w:lvlText w:val="•"/>
      <w:lvlJc w:val="left"/>
      <w:pPr>
        <w:ind w:left="2049" w:hanging="360"/>
      </w:pPr>
      <w:rPr>
        <w:rFonts w:hint="default"/>
      </w:rPr>
    </w:lvl>
    <w:lvl w:ilvl="2">
      <w:start w:val="0"/>
      <w:numFmt w:val="bullet"/>
      <w:lvlText w:val="•"/>
      <w:lvlJc w:val="left"/>
      <w:pPr>
        <w:ind w:left="3198" w:hanging="360"/>
      </w:pPr>
      <w:rPr>
        <w:rFonts w:hint="default"/>
      </w:rPr>
    </w:lvl>
    <w:lvl w:ilvl="3">
      <w:start w:val="0"/>
      <w:numFmt w:val="bullet"/>
      <w:lvlText w:val="•"/>
      <w:lvlJc w:val="left"/>
      <w:pPr>
        <w:ind w:left="4347" w:hanging="360"/>
      </w:pPr>
      <w:rPr>
        <w:rFonts w:hint="default"/>
      </w:rPr>
    </w:lvl>
    <w:lvl w:ilvl="4">
      <w:start w:val="0"/>
      <w:numFmt w:val="bullet"/>
      <w:lvlText w:val="•"/>
      <w:lvlJc w:val="left"/>
      <w:pPr>
        <w:ind w:left="5497" w:hanging="360"/>
      </w:pPr>
      <w:rPr>
        <w:rFonts w:hint="default"/>
      </w:rPr>
    </w:lvl>
    <w:lvl w:ilvl="5">
      <w:start w:val="0"/>
      <w:numFmt w:val="bullet"/>
      <w:lvlText w:val="•"/>
      <w:lvlJc w:val="left"/>
      <w:pPr>
        <w:ind w:left="6646" w:hanging="360"/>
      </w:pPr>
      <w:rPr>
        <w:rFonts w:hint="default"/>
      </w:rPr>
    </w:lvl>
    <w:lvl w:ilvl="6">
      <w:start w:val="0"/>
      <w:numFmt w:val="bullet"/>
      <w:lvlText w:val="•"/>
      <w:lvlJc w:val="left"/>
      <w:pPr>
        <w:ind w:left="7795" w:hanging="360"/>
      </w:pPr>
      <w:rPr>
        <w:rFonts w:hint="default"/>
      </w:rPr>
    </w:lvl>
    <w:lvl w:ilvl="7">
      <w:start w:val="0"/>
      <w:numFmt w:val="bullet"/>
      <w:lvlText w:val="•"/>
      <w:lvlJc w:val="left"/>
      <w:pPr>
        <w:ind w:left="8945" w:hanging="360"/>
      </w:pPr>
      <w:rPr>
        <w:rFonts w:hint="default"/>
      </w:rPr>
    </w:lvl>
    <w:lvl w:ilvl="8">
      <w:start w:val="0"/>
      <w:numFmt w:val="bullet"/>
      <w:lvlText w:val="•"/>
      <w:lvlJc w:val="left"/>
      <w:pPr>
        <w:ind w:left="10094" w:hanging="360"/>
      </w:pPr>
      <w:rPr>
        <w:rFonts w:hint="default"/>
      </w:rPr>
    </w:lvl>
  </w:abstractNum>
  <w:abstractNum w:abstractNumId="14">
    <w:multiLevelType w:val="hybridMultilevel"/>
    <w:lvl w:ilvl="0">
      <w:start w:val="1"/>
      <w:numFmt w:val="decimal"/>
      <w:lvlText w:val="%1)"/>
      <w:lvlJc w:val="left"/>
      <w:pPr>
        <w:ind w:left="937" w:hanging="360"/>
        <w:jc w:val="left"/>
      </w:pPr>
      <w:rPr>
        <w:rFonts w:hint="default" w:ascii="Arial" w:hAnsi="Arial" w:eastAsia="Arial" w:cs="Arial"/>
        <w:spacing w:val="0"/>
        <w:w w:val="103"/>
        <w:sz w:val="19"/>
        <w:szCs w:val="19"/>
      </w:rPr>
    </w:lvl>
    <w:lvl w:ilvl="1">
      <w:start w:val="0"/>
      <w:numFmt w:val="bullet"/>
      <w:lvlText w:val="•"/>
      <w:lvlJc w:val="left"/>
      <w:pPr>
        <w:ind w:left="2085" w:hanging="360"/>
      </w:pPr>
      <w:rPr>
        <w:rFonts w:hint="default"/>
      </w:rPr>
    </w:lvl>
    <w:lvl w:ilvl="2">
      <w:start w:val="0"/>
      <w:numFmt w:val="bullet"/>
      <w:lvlText w:val="•"/>
      <w:lvlJc w:val="left"/>
      <w:pPr>
        <w:ind w:left="3230" w:hanging="360"/>
      </w:pPr>
      <w:rPr>
        <w:rFonts w:hint="default"/>
      </w:rPr>
    </w:lvl>
    <w:lvl w:ilvl="3">
      <w:start w:val="0"/>
      <w:numFmt w:val="bullet"/>
      <w:lvlText w:val="•"/>
      <w:lvlJc w:val="left"/>
      <w:pPr>
        <w:ind w:left="4375" w:hanging="360"/>
      </w:pPr>
      <w:rPr>
        <w:rFonts w:hint="default"/>
      </w:rPr>
    </w:lvl>
    <w:lvl w:ilvl="4">
      <w:start w:val="0"/>
      <w:numFmt w:val="bullet"/>
      <w:lvlText w:val="•"/>
      <w:lvlJc w:val="left"/>
      <w:pPr>
        <w:ind w:left="5521" w:hanging="360"/>
      </w:pPr>
      <w:rPr>
        <w:rFonts w:hint="default"/>
      </w:rPr>
    </w:lvl>
    <w:lvl w:ilvl="5">
      <w:start w:val="0"/>
      <w:numFmt w:val="bullet"/>
      <w:lvlText w:val="•"/>
      <w:lvlJc w:val="left"/>
      <w:pPr>
        <w:ind w:left="6666" w:hanging="360"/>
      </w:pPr>
      <w:rPr>
        <w:rFonts w:hint="default"/>
      </w:rPr>
    </w:lvl>
    <w:lvl w:ilvl="6">
      <w:start w:val="0"/>
      <w:numFmt w:val="bullet"/>
      <w:lvlText w:val="•"/>
      <w:lvlJc w:val="left"/>
      <w:pPr>
        <w:ind w:left="7811" w:hanging="360"/>
      </w:pPr>
      <w:rPr>
        <w:rFonts w:hint="default"/>
      </w:rPr>
    </w:lvl>
    <w:lvl w:ilvl="7">
      <w:start w:val="0"/>
      <w:numFmt w:val="bullet"/>
      <w:lvlText w:val="•"/>
      <w:lvlJc w:val="left"/>
      <w:pPr>
        <w:ind w:left="8957" w:hanging="360"/>
      </w:pPr>
      <w:rPr>
        <w:rFonts w:hint="default"/>
      </w:rPr>
    </w:lvl>
    <w:lvl w:ilvl="8">
      <w:start w:val="0"/>
      <w:numFmt w:val="bullet"/>
      <w:lvlText w:val="•"/>
      <w:lvlJc w:val="left"/>
      <w:pPr>
        <w:ind w:left="10102" w:hanging="360"/>
      </w:pPr>
      <w:rPr>
        <w:rFonts w:hint="default"/>
      </w:rPr>
    </w:lvl>
  </w:abstractNum>
  <w:abstractNum w:abstractNumId="13">
    <w:multiLevelType w:val="hybridMultilevel"/>
    <w:lvl w:ilvl="0">
      <w:start w:val="1"/>
      <w:numFmt w:val="decimal"/>
      <w:lvlText w:val="%1)"/>
      <w:lvlJc w:val="left"/>
      <w:pPr>
        <w:ind w:left="894" w:hanging="360"/>
        <w:jc w:val="left"/>
      </w:pPr>
      <w:rPr>
        <w:rFonts w:hint="default" w:ascii="Arial" w:hAnsi="Arial" w:eastAsia="Arial" w:cs="Arial"/>
        <w:spacing w:val="0"/>
        <w:w w:val="103"/>
        <w:sz w:val="19"/>
        <w:szCs w:val="19"/>
      </w:rPr>
    </w:lvl>
    <w:lvl w:ilvl="1">
      <w:start w:val="0"/>
      <w:numFmt w:val="bullet"/>
      <w:lvlText w:val="•"/>
      <w:lvlJc w:val="left"/>
      <w:pPr>
        <w:ind w:left="2049" w:hanging="360"/>
      </w:pPr>
      <w:rPr>
        <w:rFonts w:hint="default"/>
      </w:rPr>
    </w:lvl>
    <w:lvl w:ilvl="2">
      <w:start w:val="0"/>
      <w:numFmt w:val="bullet"/>
      <w:lvlText w:val="•"/>
      <w:lvlJc w:val="left"/>
      <w:pPr>
        <w:ind w:left="3198" w:hanging="360"/>
      </w:pPr>
      <w:rPr>
        <w:rFonts w:hint="default"/>
      </w:rPr>
    </w:lvl>
    <w:lvl w:ilvl="3">
      <w:start w:val="0"/>
      <w:numFmt w:val="bullet"/>
      <w:lvlText w:val="•"/>
      <w:lvlJc w:val="left"/>
      <w:pPr>
        <w:ind w:left="4347" w:hanging="360"/>
      </w:pPr>
      <w:rPr>
        <w:rFonts w:hint="default"/>
      </w:rPr>
    </w:lvl>
    <w:lvl w:ilvl="4">
      <w:start w:val="0"/>
      <w:numFmt w:val="bullet"/>
      <w:lvlText w:val="•"/>
      <w:lvlJc w:val="left"/>
      <w:pPr>
        <w:ind w:left="5497" w:hanging="360"/>
      </w:pPr>
      <w:rPr>
        <w:rFonts w:hint="default"/>
      </w:rPr>
    </w:lvl>
    <w:lvl w:ilvl="5">
      <w:start w:val="0"/>
      <w:numFmt w:val="bullet"/>
      <w:lvlText w:val="•"/>
      <w:lvlJc w:val="left"/>
      <w:pPr>
        <w:ind w:left="6646" w:hanging="360"/>
      </w:pPr>
      <w:rPr>
        <w:rFonts w:hint="default"/>
      </w:rPr>
    </w:lvl>
    <w:lvl w:ilvl="6">
      <w:start w:val="0"/>
      <w:numFmt w:val="bullet"/>
      <w:lvlText w:val="•"/>
      <w:lvlJc w:val="left"/>
      <w:pPr>
        <w:ind w:left="7795" w:hanging="360"/>
      </w:pPr>
      <w:rPr>
        <w:rFonts w:hint="default"/>
      </w:rPr>
    </w:lvl>
    <w:lvl w:ilvl="7">
      <w:start w:val="0"/>
      <w:numFmt w:val="bullet"/>
      <w:lvlText w:val="•"/>
      <w:lvlJc w:val="left"/>
      <w:pPr>
        <w:ind w:left="8945" w:hanging="360"/>
      </w:pPr>
      <w:rPr>
        <w:rFonts w:hint="default"/>
      </w:rPr>
    </w:lvl>
    <w:lvl w:ilvl="8">
      <w:start w:val="0"/>
      <w:numFmt w:val="bullet"/>
      <w:lvlText w:val="•"/>
      <w:lvlJc w:val="left"/>
      <w:pPr>
        <w:ind w:left="10094" w:hanging="360"/>
      </w:pPr>
      <w:rPr>
        <w:rFonts w:hint="default"/>
      </w:rPr>
    </w:lvl>
  </w:abstractNum>
  <w:abstractNum w:abstractNumId="12">
    <w:multiLevelType w:val="hybridMultilevel"/>
    <w:lvl w:ilvl="0">
      <w:start w:val="1"/>
      <w:numFmt w:val="decimal"/>
      <w:lvlText w:val="%1)"/>
      <w:lvlJc w:val="left"/>
      <w:pPr>
        <w:ind w:left="894" w:hanging="360"/>
        <w:jc w:val="left"/>
      </w:pPr>
      <w:rPr>
        <w:rFonts w:hint="default" w:ascii="Arial" w:hAnsi="Arial" w:eastAsia="Arial" w:cs="Arial"/>
        <w:spacing w:val="0"/>
        <w:w w:val="103"/>
        <w:sz w:val="19"/>
        <w:szCs w:val="19"/>
      </w:rPr>
    </w:lvl>
    <w:lvl w:ilvl="1">
      <w:start w:val="0"/>
      <w:numFmt w:val="bullet"/>
      <w:lvlText w:val="•"/>
      <w:lvlJc w:val="left"/>
      <w:pPr>
        <w:ind w:left="2049" w:hanging="360"/>
      </w:pPr>
      <w:rPr>
        <w:rFonts w:hint="default"/>
      </w:rPr>
    </w:lvl>
    <w:lvl w:ilvl="2">
      <w:start w:val="0"/>
      <w:numFmt w:val="bullet"/>
      <w:lvlText w:val="•"/>
      <w:lvlJc w:val="left"/>
      <w:pPr>
        <w:ind w:left="3198" w:hanging="360"/>
      </w:pPr>
      <w:rPr>
        <w:rFonts w:hint="default"/>
      </w:rPr>
    </w:lvl>
    <w:lvl w:ilvl="3">
      <w:start w:val="0"/>
      <w:numFmt w:val="bullet"/>
      <w:lvlText w:val="•"/>
      <w:lvlJc w:val="left"/>
      <w:pPr>
        <w:ind w:left="4347" w:hanging="360"/>
      </w:pPr>
      <w:rPr>
        <w:rFonts w:hint="default"/>
      </w:rPr>
    </w:lvl>
    <w:lvl w:ilvl="4">
      <w:start w:val="0"/>
      <w:numFmt w:val="bullet"/>
      <w:lvlText w:val="•"/>
      <w:lvlJc w:val="left"/>
      <w:pPr>
        <w:ind w:left="5497" w:hanging="360"/>
      </w:pPr>
      <w:rPr>
        <w:rFonts w:hint="default"/>
      </w:rPr>
    </w:lvl>
    <w:lvl w:ilvl="5">
      <w:start w:val="0"/>
      <w:numFmt w:val="bullet"/>
      <w:lvlText w:val="•"/>
      <w:lvlJc w:val="left"/>
      <w:pPr>
        <w:ind w:left="6646" w:hanging="360"/>
      </w:pPr>
      <w:rPr>
        <w:rFonts w:hint="default"/>
      </w:rPr>
    </w:lvl>
    <w:lvl w:ilvl="6">
      <w:start w:val="0"/>
      <w:numFmt w:val="bullet"/>
      <w:lvlText w:val="•"/>
      <w:lvlJc w:val="left"/>
      <w:pPr>
        <w:ind w:left="7795" w:hanging="360"/>
      </w:pPr>
      <w:rPr>
        <w:rFonts w:hint="default"/>
      </w:rPr>
    </w:lvl>
    <w:lvl w:ilvl="7">
      <w:start w:val="0"/>
      <w:numFmt w:val="bullet"/>
      <w:lvlText w:val="•"/>
      <w:lvlJc w:val="left"/>
      <w:pPr>
        <w:ind w:left="8945" w:hanging="360"/>
      </w:pPr>
      <w:rPr>
        <w:rFonts w:hint="default"/>
      </w:rPr>
    </w:lvl>
    <w:lvl w:ilvl="8">
      <w:start w:val="0"/>
      <w:numFmt w:val="bullet"/>
      <w:lvlText w:val="•"/>
      <w:lvlJc w:val="left"/>
      <w:pPr>
        <w:ind w:left="10094" w:hanging="360"/>
      </w:pPr>
      <w:rPr>
        <w:rFonts w:hint="default"/>
      </w:rPr>
    </w:lvl>
  </w:abstractNum>
  <w:abstractNum w:abstractNumId="11">
    <w:multiLevelType w:val="hybridMultilevel"/>
    <w:lvl w:ilvl="0">
      <w:start w:val="1"/>
      <w:numFmt w:val="decimal"/>
      <w:lvlText w:val="%1)"/>
      <w:lvlJc w:val="left"/>
      <w:pPr>
        <w:ind w:left="894" w:hanging="360"/>
        <w:jc w:val="left"/>
      </w:pPr>
      <w:rPr>
        <w:rFonts w:hint="default" w:ascii="Arial" w:hAnsi="Arial" w:eastAsia="Arial" w:cs="Arial"/>
        <w:spacing w:val="0"/>
        <w:w w:val="103"/>
        <w:sz w:val="19"/>
        <w:szCs w:val="19"/>
      </w:rPr>
    </w:lvl>
    <w:lvl w:ilvl="1">
      <w:start w:val="0"/>
      <w:numFmt w:val="bullet"/>
      <w:lvlText w:val="•"/>
      <w:lvlJc w:val="left"/>
      <w:pPr>
        <w:ind w:left="2049" w:hanging="360"/>
      </w:pPr>
      <w:rPr>
        <w:rFonts w:hint="default"/>
      </w:rPr>
    </w:lvl>
    <w:lvl w:ilvl="2">
      <w:start w:val="0"/>
      <w:numFmt w:val="bullet"/>
      <w:lvlText w:val="•"/>
      <w:lvlJc w:val="left"/>
      <w:pPr>
        <w:ind w:left="3198" w:hanging="360"/>
      </w:pPr>
      <w:rPr>
        <w:rFonts w:hint="default"/>
      </w:rPr>
    </w:lvl>
    <w:lvl w:ilvl="3">
      <w:start w:val="0"/>
      <w:numFmt w:val="bullet"/>
      <w:lvlText w:val="•"/>
      <w:lvlJc w:val="left"/>
      <w:pPr>
        <w:ind w:left="4347" w:hanging="360"/>
      </w:pPr>
      <w:rPr>
        <w:rFonts w:hint="default"/>
      </w:rPr>
    </w:lvl>
    <w:lvl w:ilvl="4">
      <w:start w:val="0"/>
      <w:numFmt w:val="bullet"/>
      <w:lvlText w:val="•"/>
      <w:lvlJc w:val="left"/>
      <w:pPr>
        <w:ind w:left="5497" w:hanging="360"/>
      </w:pPr>
      <w:rPr>
        <w:rFonts w:hint="default"/>
      </w:rPr>
    </w:lvl>
    <w:lvl w:ilvl="5">
      <w:start w:val="0"/>
      <w:numFmt w:val="bullet"/>
      <w:lvlText w:val="•"/>
      <w:lvlJc w:val="left"/>
      <w:pPr>
        <w:ind w:left="6646" w:hanging="360"/>
      </w:pPr>
      <w:rPr>
        <w:rFonts w:hint="default"/>
      </w:rPr>
    </w:lvl>
    <w:lvl w:ilvl="6">
      <w:start w:val="0"/>
      <w:numFmt w:val="bullet"/>
      <w:lvlText w:val="•"/>
      <w:lvlJc w:val="left"/>
      <w:pPr>
        <w:ind w:left="7795" w:hanging="360"/>
      </w:pPr>
      <w:rPr>
        <w:rFonts w:hint="default"/>
      </w:rPr>
    </w:lvl>
    <w:lvl w:ilvl="7">
      <w:start w:val="0"/>
      <w:numFmt w:val="bullet"/>
      <w:lvlText w:val="•"/>
      <w:lvlJc w:val="left"/>
      <w:pPr>
        <w:ind w:left="8945" w:hanging="360"/>
      </w:pPr>
      <w:rPr>
        <w:rFonts w:hint="default"/>
      </w:rPr>
    </w:lvl>
    <w:lvl w:ilvl="8">
      <w:start w:val="0"/>
      <w:numFmt w:val="bullet"/>
      <w:lvlText w:val="•"/>
      <w:lvlJc w:val="left"/>
      <w:pPr>
        <w:ind w:left="10094" w:hanging="360"/>
      </w:pPr>
      <w:rPr>
        <w:rFonts w:hint="default"/>
      </w:rPr>
    </w:lvl>
  </w:abstractNum>
  <w:abstractNum w:abstractNumId="10">
    <w:multiLevelType w:val="hybridMultilevel"/>
    <w:lvl w:ilvl="0">
      <w:start w:val="1"/>
      <w:numFmt w:val="decimal"/>
      <w:lvlText w:val="%1)"/>
      <w:lvlJc w:val="left"/>
      <w:pPr>
        <w:ind w:left="894" w:hanging="360"/>
        <w:jc w:val="left"/>
      </w:pPr>
      <w:rPr>
        <w:rFonts w:hint="default" w:ascii="Arial" w:hAnsi="Arial" w:eastAsia="Arial" w:cs="Arial"/>
        <w:spacing w:val="0"/>
        <w:w w:val="103"/>
        <w:sz w:val="19"/>
        <w:szCs w:val="19"/>
      </w:rPr>
    </w:lvl>
    <w:lvl w:ilvl="1">
      <w:start w:val="0"/>
      <w:numFmt w:val="bullet"/>
      <w:lvlText w:val="•"/>
      <w:lvlJc w:val="left"/>
      <w:pPr>
        <w:ind w:left="2049" w:hanging="360"/>
      </w:pPr>
      <w:rPr>
        <w:rFonts w:hint="default"/>
      </w:rPr>
    </w:lvl>
    <w:lvl w:ilvl="2">
      <w:start w:val="0"/>
      <w:numFmt w:val="bullet"/>
      <w:lvlText w:val="•"/>
      <w:lvlJc w:val="left"/>
      <w:pPr>
        <w:ind w:left="3198" w:hanging="360"/>
      </w:pPr>
      <w:rPr>
        <w:rFonts w:hint="default"/>
      </w:rPr>
    </w:lvl>
    <w:lvl w:ilvl="3">
      <w:start w:val="0"/>
      <w:numFmt w:val="bullet"/>
      <w:lvlText w:val="•"/>
      <w:lvlJc w:val="left"/>
      <w:pPr>
        <w:ind w:left="4347" w:hanging="360"/>
      </w:pPr>
      <w:rPr>
        <w:rFonts w:hint="default"/>
      </w:rPr>
    </w:lvl>
    <w:lvl w:ilvl="4">
      <w:start w:val="0"/>
      <w:numFmt w:val="bullet"/>
      <w:lvlText w:val="•"/>
      <w:lvlJc w:val="left"/>
      <w:pPr>
        <w:ind w:left="5497" w:hanging="360"/>
      </w:pPr>
      <w:rPr>
        <w:rFonts w:hint="default"/>
      </w:rPr>
    </w:lvl>
    <w:lvl w:ilvl="5">
      <w:start w:val="0"/>
      <w:numFmt w:val="bullet"/>
      <w:lvlText w:val="•"/>
      <w:lvlJc w:val="left"/>
      <w:pPr>
        <w:ind w:left="6646" w:hanging="360"/>
      </w:pPr>
      <w:rPr>
        <w:rFonts w:hint="default"/>
      </w:rPr>
    </w:lvl>
    <w:lvl w:ilvl="6">
      <w:start w:val="0"/>
      <w:numFmt w:val="bullet"/>
      <w:lvlText w:val="•"/>
      <w:lvlJc w:val="left"/>
      <w:pPr>
        <w:ind w:left="7795" w:hanging="360"/>
      </w:pPr>
      <w:rPr>
        <w:rFonts w:hint="default"/>
      </w:rPr>
    </w:lvl>
    <w:lvl w:ilvl="7">
      <w:start w:val="0"/>
      <w:numFmt w:val="bullet"/>
      <w:lvlText w:val="•"/>
      <w:lvlJc w:val="left"/>
      <w:pPr>
        <w:ind w:left="8945" w:hanging="360"/>
      </w:pPr>
      <w:rPr>
        <w:rFonts w:hint="default"/>
      </w:rPr>
    </w:lvl>
    <w:lvl w:ilvl="8">
      <w:start w:val="0"/>
      <w:numFmt w:val="bullet"/>
      <w:lvlText w:val="•"/>
      <w:lvlJc w:val="left"/>
      <w:pPr>
        <w:ind w:left="10094" w:hanging="360"/>
      </w:pPr>
      <w:rPr>
        <w:rFonts w:hint="default"/>
      </w:rPr>
    </w:lvl>
  </w:abstractNum>
  <w:abstractNum w:abstractNumId="9">
    <w:multiLevelType w:val="hybridMultilevel"/>
    <w:lvl w:ilvl="0">
      <w:start w:val="1"/>
      <w:numFmt w:val="decimal"/>
      <w:lvlText w:val="%1)"/>
      <w:lvlJc w:val="left"/>
      <w:pPr>
        <w:ind w:left="894" w:hanging="360"/>
        <w:jc w:val="left"/>
      </w:pPr>
      <w:rPr>
        <w:rFonts w:hint="default" w:ascii="Arial" w:hAnsi="Arial" w:eastAsia="Arial" w:cs="Arial"/>
        <w:spacing w:val="0"/>
        <w:w w:val="103"/>
        <w:sz w:val="19"/>
        <w:szCs w:val="19"/>
      </w:rPr>
    </w:lvl>
    <w:lvl w:ilvl="1">
      <w:start w:val="0"/>
      <w:numFmt w:val="bullet"/>
      <w:lvlText w:val="•"/>
      <w:lvlJc w:val="left"/>
      <w:pPr>
        <w:ind w:left="2049" w:hanging="360"/>
      </w:pPr>
      <w:rPr>
        <w:rFonts w:hint="default"/>
      </w:rPr>
    </w:lvl>
    <w:lvl w:ilvl="2">
      <w:start w:val="0"/>
      <w:numFmt w:val="bullet"/>
      <w:lvlText w:val="•"/>
      <w:lvlJc w:val="left"/>
      <w:pPr>
        <w:ind w:left="3198" w:hanging="360"/>
      </w:pPr>
      <w:rPr>
        <w:rFonts w:hint="default"/>
      </w:rPr>
    </w:lvl>
    <w:lvl w:ilvl="3">
      <w:start w:val="0"/>
      <w:numFmt w:val="bullet"/>
      <w:lvlText w:val="•"/>
      <w:lvlJc w:val="left"/>
      <w:pPr>
        <w:ind w:left="4347" w:hanging="360"/>
      </w:pPr>
      <w:rPr>
        <w:rFonts w:hint="default"/>
      </w:rPr>
    </w:lvl>
    <w:lvl w:ilvl="4">
      <w:start w:val="0"/>
      <w:numFmt w:val="bullet"/>
      <w:lvlText w:val="•"/>
      <w:lvlJc w:val="left"/>
      <w:pPr>
        <w:ind w:left="5497" w:hanging="360"/>
      </w:pPr>
      <w:rPr>
        <w:rFonts w:hint="default"/>
      </w:rPr>
    </w:lvl>
    <w:lvl w:ilvl="5">
      <w:start w:val="0"/>
      <w:numFmt w:val="bullet"/>
      <w:lvlText w:val="•"/>
      <w:lvlJc w:val="left"/>
      <w:pPr>
        <w:ind w:left="6646" w:hanging="360"/>
      </w:pPr>
      <w:rPr>
        <w:rFonts w:hint="default"/>
      </w:rPr>
    </w:lvl>
    <w:lvl w:ilvl="6">
      <w:start w:val="0"/>
      <w:numFmt w:val="bullet"/>
      <w:lvlText w:val="•"/>
      <w:lvlJc w:val="left"/>
      <w:pPr>
        <w:ind w:left="7795" w:hanging="360"/>
      </w:pPr>
      <w:rPr>
        <w:rFonts w:hint="default"/>
      </w:rPr>
    </w:lvl>
    <w:lvl w:ilvl="7">
      <w:start w:val="0"/>
      <w:numFmt w:val="bullet"/>
      <w:lvlText w:val="•"/>
      <w:lvlJc w:val="left"/>
      <w:pPr>
        <w:ind w:left="8945" w:hanging="360"/>
      </w:pPr>
      <w:rPr>
        <w:rFonts w:hint="default"/>
      </w:rPr>
    </w:lvl>
    <w:lvl w:ilvl="8">
      <w:start w:val="0"/>
      <w:numFmt w:val="bullet"/>
      <w:lvlText w:val="•"/>
      <w:lvlJc w:val="left"/>
      <w:pPr>
        <w:ind w:left="10094" w:hanging="360"/>
      </w:pPr>
      <w:rPr>
        <w:rFonts w:hint="default"/>
      </w:rPr>
    </w:lvl>
  </w:abstractNum>
  <w:abstractNum w:abstractNumId="8">
    <w:multiLevelType w:val="hybridMultilevel"/>
    <w:lvl w:ilvl="0">
      <w:start w:val="1"/>
      <w:numFmt w:val="decimal"/>
      <w:lvlText w:val="%1)"/>
      <w:lvlJc w:val="left"/>
      <w:pPr>
        <w:ind w:left="894" w:hanging="360"/>
        <w:jc w:val="left"/>
      </w:pPr>
      <w:rPr>
        <w:rFonts w:hint="default" w:ascii="Arial" w:hAnsi="Arial" w:eastAsia="Arial" w:cs="Arial"/>
        <w:spacing w:val="0"/>
        <w:w w:val="103"/>
        <w:sz w:val="19"/>
        <w:szCs w:val="19"/>
      </w:rPr>
    </w:lvl>
    <w:lvl w:ilvl="1">
      <w:start w:val="0"/>
      <w:numFmt w:val="bullet"/>
      <w:lvlText w:val="•"/>
      <w:lvlJc w:val="left"/>
      <w:pPr>
        <w:ind w:left="2049" w:hanging="360"/>
      </w:pPr>
      <w:rPr>
        <w:rFonts w:hint="default"/>
      </w:rPr>
    </w:lvl>
    <w:lvl w:ilvl="2">
      <w:start w:val="0"/>
      <w:numFmt w:val="bullet"/>
      <w:lvlText w:val="•"/>
      <w:lvlJc w:val="left"/>
      <w:pPr>
        <w:ind w:left="3198" w:hanging="360"/>
      </w:pPr>
      <w:rPr>
        <w:rFonts w:hint="default"/>
      </w:rPr>
    </w:lvl>
    <w:lvl w:ilvl="3">
      <w:start w:val="0"/>
      <w:numFmt w:val="bullet"/>
      <w:lvlText w:val="•"/>
      <w:lvlJc w:val="left"/>
      <w:pPr>
        <w:ind w:left="4347" w:hanging="360"/>
      </w:pPr>
      <w:rPr>
        <w:rFonts w:hint="default"/>
      </w:rPr>
    </w:lvl>
    <w:lvl w:ilvl="4">
      <w:start w:val="0"/>
      <w:numFmt w:val="bullet"/>
      <w:lvlText w:val="•"/>
      <w:lvlJc w:val="left"/>
      <w:pPr>
        <w:ind w:left="5497" w:hanging="360"/>
      </w:pPr>
      <w:rPr>
        <w:rFonts w:hint="default"/>
      </w:rPr>
    </w:lvl>
    <w:lvl w:ilvl="5">
      <w:start w:val="0"/>
      <w:numFmt w:val="bullet"/>
      <w:lvlText w:val="•"/>
      <w:lvlJc w:val="left"/>
      <w:pPr>
        <w:ind w:left="6646" w:hanging="360"/>
      </w:pPr>
      <w:rPr>
        <w:rFonts w:hint="default"/>
      </w:rPr>
    </w:lvl>
    <w:lvl w:ilvl="6">
      <w:start w:val="0"/>
      <w:numFmt w:val="bullet"/>
      <w:lvlText w:val="•"/>
      <w:lvlJc w:val="left"/>
      <w:pPr>
        <w:ind w:left="7795" w:hanging="360"/>
      </w:pPr>
      <w:rPr>
        <w:rFonts w:hint="default"/>
      </w:rPr>
    </w:lvl>
    <w:lvl w:ilvl="7">
      <w:start w:val="0"/>
      <w:numFmt w:val="bullet"/>
      <w:lvlText w:val="•"/>
      <w:lvlJc w:val="left"/>
      <w:pPr>
        <w:ind w:left="8945" w:hanging="360"/>
      </w:pPr>
      <w:rPr>
        <w:rFonts w:hint="default"/>
      </w:rPr>
    </w:lvl>
    <w:lvl w:ilvl="8">
      <w:start w:val="0"/>
      <w:numFmt w:val="bullet"/>
      <w:lvlText w:val="•"/>
      <w:lvlJc w:val="left"/>
      <w:pPr>
        <w:ind w:left="10094" w:hanging="360"/>
      </w:pPr>
      <w:rPr>
        <w:rFonts w:hint="default"/>
      </w:rPr>
    </w:lvl>
  </w:abstractNum>
  <w:abstractNum w:abstractNumId="7">
    <w:multiLevelType w:val="hybridMultilevel"/>
    <w:lvl w:ilvl="0">
      <w:start w:val="1"/>
      <w:numFmt w:val="decimal"/>
      <w:lvlText w:val="%1)"/>
      <w:lvlJc w:val="left"/>
      <w:pPr>
        <w:ind w:left="894" w:hanging="360"/>
        <w:jc w:val="left"/>
      </w:pPr>
      <w:rPr>
        <w:rFonts w:hint="default" w:ascii="Arial" w:hAnsi="Arial" w:eastAsia="Arial" w:cs="Arial"/>
        <w:spacing w:val="0"/>
        <w:w w:val="103"/>
        <w:sz w:val="19"/>
        <w:szCs w:val="19"/>
      </w:rPr>
    </w:lvl>
    <w:lvl w:ilvl="1">
      <w:start w:val="0"/>
      <w:numFmt w:val="bullet"/>
      <w:lvlText w:val="•"/>
      <w:lvlJc w:val="left"/>
      <w:pPr>
        <w:ind w:left="2049" w:hanging="360"/>
      </w:pPr>
      <w:rPr>
        <w:rFonts w:hint="default"/>
      </w:rPr>
    </w:lvl>
    <w:lvl w:ilvl="2">
      <w:start w:val="0"/>
      <w:numFmt w:val="bullet"/>
      <w:lvlText w:val="•"/>
      <w:lvlJc w:val="left"/>
      <w:pPr>
        <w:ind w:left="3198" w:hanging="360"/>
      </w:pPr>
      <w:rPr>
        <w:rFonts w:hint="default"/>
      </w:rPr>
    </w:lvl>
    <w:lvl w:ilvl="3">
      <w:start w:val="0"/>
      <w:numFmt w:val="bullet"/>
      <w:lvlText w:val="•"/>
      <w:lvlJc w:val="left"/>
      <w:pPr>
        <w:ind w:left="4347" w:hanging="360"/>
      </w:pPr>
      <w:rPr>
        <w:rFonts w:hint="default"/>
      </w:rPr>
    </w:lvl>
    <w:lvl w:ilvl="4">
      <w:start w:val="0"/>
      <w:numFmt w:val="bullet"/>
      <w:lvlText w:val="•"/>
      <w:lvlJc w:val="left"/>
      <w:pPr>
        <w:ind w:left="5497" w:hanging="360"/>
      </w:pPr>
      <w:rPr>
        <w:rFonts w:hint="default"/>
      </w:rPr>
    </w:lvl>
    <w:lvl w:ilvl="5">
      <w:start w:val="0"/>
      <w:numFmt w:val="bullet"/>
      <w:lvlText w:val="•"/>
      <w:lvlJc w:val="left"/>
      <w:pPr>
        <w:ind w:left="6646" w:hanging="360"/>
      </w:pPr>
      <w:rPr>
        <w:rFonts w:hint="default"/>
      </w:rPr>
    </w:lvl>
    <w:lvl w:ilvl="6">
      <w:start w:val="0"/>
      <w:numFmt w:val="bullet"/>
      <w:lvlText w:val="•"/>
      <w:lvlJc w:val="left"/>
      <w:pPr>
        <w:ind w:left="7795" w:hanging="360"/>
      </w:pPr>
      <w:rPr>
        <w:rFonts w:hint="default"/>
      </w:rPr>
    </w:lvl>
    <w:lvl w:ilvl="7">
      <w:start w:val="0"/>
      <w:numFmt w:val="bullet"/>
      <w:lvlText w:val="•"/>
      <w:lvlJc w:val="left"/>
      <w:pPr>
        <w:ind w:left="8945" w:hanging="360"/>
      </w:pPr>
      <w:rPr>
        <w:rFonts w:hint="default"/>
      </w:rPr>
    </w:lvl>
    <w:lvl w:ilvl="8">
      <w:start w:val="0"/>
      <w:numFmt w:val="bullet"/>
      <w:lvlText w:val="•"/>
      <w:lvlJc w:val="left"/>
      <w:pPr>
        <w:ind w:left="10094" w:hanging="360"/>
      </w:pPr>
      <w:rPr>
        <w:rFonts w:hint="default"/>
      </w:rPr>
    </w:lvl>
  </w:abstractNum>
  <w:abstractNum w:abstractNumId="6">
    <w:multiLevelType w:val="hybridMultilevel"/>
    <w:lvl w:ilvl="0">
      <w:start w:val="1"/>
      <w:numFmt w:val="decimal"/>
      <w:lvlText w:val="%1)"/>
      <w:lvlJc w:val="left"/>
      <w:pPr>
        <w:ind w:left="894" w:hanging="360"/>
        <w:jc w:val="left"/>
      </w:pPr>
      <w:rPr>
        <w:rFonts w:hint="default" w:ascii="Arial" w:hAnsi="Arial" w:eastAsia="Arial" w:cs="Arial"/>
        <w:spacing w:val="0"/>
        <w:w w:val="103"/>
        <w:sz w:val="19"/>
        <w:szCs w:val="19"/>
      </w:rPr>
    </w:lvl>
    <w:lvl w:ilvl="1">
      <w:start w:val="0"/>
      <w:numFmt w:val="bullet"/>
      <w:lvlText w:val="•"/>
      <w:lvlJc w:val="left"/>
      <w:pPr>
        <w:ind w:left="2049" w:hanging="360"/>
      </w:pPr>
      <w:rPr>
        <w:rFonts w:hint="default"/>
      </w:rPr>
    </w:lvl>
    <w:lvl w:ilvl="2">
      <w:start w:val="0"/>
      <w:numFmt w:val="bullet"/>
      <w:lvlText w:val="•"/>
      <w:lvlJc w:val="left"/>
      <w:pPr>
        <w:ind w:left="3198" w:hanging="360"/>
      </w:pPr>
      <w:rPr>
        <w:rFonts w:hint="default"/>
      </w:rPr>
    </w:lvl>
    <w:lvl w:ilvl="3">
      <w:start w:val="0"/>
      <w:numFmt w:val="bullet"/>
      <w:lvlText w:val="•"/>
      <w:lvlJc w:val="left"/>
      <w:pPr>
        <w:ind w:left="4347" w:hanging="360"/>
      </w:pPr>
      <w:rPr>
        <w:rFonts w:hint="default"/>
      </w:rPr>
    </w:lvl>
    <w:lvl w:ilvl="4">
      <w:start w:val="0"/>
      <w:numFmt w:val="bullet"/>
      <w:lvlText w:val="•"/>
      <w:lvlJc w:val="left"/>
      <w:pPr>
        <w:ind w:left="5497" w:hanging="360"/>
      </w:pPr>
      <w:rPr>
        <w:rFonts w:hint="default"/>
      </w:rPr>
    </w:lvl>
    <w:lvl w:ilvl="5">
      <w:start w:val="0"/>
      <w:numFmt w:val="bullet"/>
      <w:lvlText w:val="•"/>
      <w:lvlJc w:val="left"/>
      <w:pPr>
        <w:ind w:left="6646" w:hanging="360"/>
      </w:pPr>
      <w:rPr>
        <w:rFonts w:hint="default"/>
      </w:rPr>
    </w:lvl>
    <w:lvl w:ilvl="6">
      <w:start w:val="0"/>
      <w:numFmt w:val="bullet"/>
      <w:lvlText w:val="•"/>
      <w:lvlJc w:val="left"/>
      <w:pPr>
        <w:ind w:left="7795" w:hanging="360"/>
      </w:pPr>
      <w:rPr>
        <w:rFonts w:hint="default"/>
      </w:rPr>
    </w:lvl>
    <w:lvl w:ilvl="7">
      <w:start w:val="0"/>
      <w:numFmt w:val="bullet"/>
      <w:lvlText w:val="•"/>
      <w:lvlJc w:val="left"/>
      <w:pPr>
        <w:ind w:left="8945" w:hanging="360"/>
      </w:pPr>
      <w:rPr>
        <w:rFonts w:hint="default"/>
      </w:rPr>
    </w:lvl>
    <w:lvl w:ilvl="8">
      <w:start w:val="0"/>
      <w:numFmt w:val="bullet"/>
      <w:lvlText w:val="•"/>
      <w:lvlJc w:val="left"/>
      <w:pPr>
        <w:ind w:left="10094" w:hanging="360"/>
      </w:pPr>
      <w:rPr>
        <w:rFonts w:hint="default"/>
      </w:rPr>
    </w:lvl>
  </w:abstractNum>
  <w:abstractNum w:abstractNumId="5">
    <w:multiLevelType w:val="hybridMultilevel"/>
    <w:lvl w:ilvl="0">
      <w:start w:val="1"/>
      <w:numFmt w:val="decimal"/>
      <w:lvlText w:val="%1)"/>
      <w:lvlJc w:val="left"/>
      <w:pPr>
        <w:ind w:left="894" w:hanging="360"/>
        <w:jc w:val="left"/>
      </w:pPr>
      <w:rPr>
        <w:rFonts w:hint="default" w:ascii="Arial" w:hAnsi="Arial" w:eastAsia="Arial" w:cs="Arial"/>
        <w:spacing w:val="0"/>
        <w:w w:val="103"/>
        <w:sz w:val="19"/>
        <w:szCs w:val="19"/>
      </w:rPr>
    </w:lvl>
    <w:lvl w:ilvl="1">
      <w:start w:val="0"/>
      <w:numFmt w:val="bullet"/>
      <w:lvlText w:val="•"/>
      <w:lvlJc w:val="left"/>
      <w:pPr>
        <w:ind w:left="2049" w:hanging="360"/>
      </w:pPr>
      <w:rPr>
        <w:rFonts w:hint="default"/>
      </w:rPr>
    </w:lvl>
    <w:lvl w:ilvl="2">
      <w:start w:val="0"/>
      <w:numFmt w:val="bullet"/>
      <w:lvlText w:val="•"/>
      <w:lvlJc w:val="left"/>
      <w:pPr>
        <w:ind w:left="3198" w:hanging="360"/>
      </w:pPr>
      <w:rPr>
        <w:rFonts w:hint="default"/>
      </w:rPr>
    </w:lvl>
    <w:lvl w:ilvl="3">
      <w:start w:val="0"/>
      <w:numFmt w:val="bullet"/>
      <w:lvlText w:val="•"/>
      <w:lvlJc w:val="left"/>
      <w:pPr>
        <w:ind w:left="4347" w:hanging="360"/>
      </w:pPr>
      <w:rPr>
        <w:rFonts w:hint="default"/>
      </w:rPr>
    </w:lvl>
    <w:lvl w:ilvl="4">
      <w:start w:val="0"/>
      <w:numFmt w:val="bullet"/>
      <w:lvlText w:val="•"/>
      <w:lvlJc w:val="left"/>
      <w:pPr>
        <w:ind w:left="5497" w:hanging="360"/>
      </w:pPr>
      <w:rPr>
        <w:rFonts w:hint="default"/>
      </w:rPr>
    </w:lvl>
    <w:lvl w:ilvl="5">
      <w:start w:val="0"/>
      <w:numFmt w:val="bullet"/>
      <w:lvlText w:val="•"/>
      <w:lvlJc w:val="left"/>
      <w:pPr>
        <w:ind w:left="6646" w:hanging="360"/>
      </w:pPr>
      <w:rPr>
        <w:rFonts w:hint="default"/>
      </w:rPr>
    </w:lvl>
    <w:lvl w:ilvl="6">
      <w:start w:val="0"/>
      <w:numFmt w:val="bullet"/>
      <w:lvlText w:val="•"/>
      <w:lvlJc w:val="left"/>
      <w:pPr>
        <w:ind w:left="7795" w:hanging="360"/>
      </w:pPr>
      <w:rPr>
        <w:rFonts w:hint="default"/>
      </w:rPr>
    </w:lvl>
    <w:lvl w:ilvl="7">
      <w:start w:val="0"/>
      <w:numFmt w:val="bullet"/>
      <w:lvlText w:val="•"/>
      <w:lvlJc w:val="left"/>
      <w:pPr>
        <w:ind w:left="8945" w:hanging="360"/>
      </w:pPr>
      <w:rPr>
        <w:rFonts w:hint="default"/>
      </w:rPr>
    </w:lvl>
    <w:lvl w:ilvl="8">
      <w:start w:val="0"/>
      <w:numFmt w:val="bullet"/>
      <w:lvlText w:val="•"/>
      <w:lvlJc w:val="left"/>
      <w:pPr>
        <w:ind w:left="10094" w:hanging="360"/>
      </w:pPr>
      <w:rPr>
        <w:rFonts w:hint="default"/>
      </w:rPr>
    </w:lvl>
  </w:abstractNum>
  <w:abstractNum w:abstractNumId="4">
    <w:multiLevelType w:val="hybridMultilevel"/>
    <w:lvl w:ilvl="0">
      <w:start w:val="1"/>
      <w:numFmt w:val="decimal"/>
      <w:lvlText w:val="%1)"/>
      <w:lvlJc w:val="left"/>
      <w:pPr>
        <w:ind w:left="894" w:hanging="360"/>
        <w:jc w:val="left"/>
      </w:pPr>
      <w:rPr>
        <w:rFonts w:hint="default" w:ascii="Arial" w:hAnsi="Arial" w:eastAsia="Arial" w:cs="Arial"/>
        <w:spacing w:val="0"/>
        <w:w w:val="103"/>
        <w:sz w:val="19"/>
        <w:szCs w:val="19"/>
      </w:rPr>
    </w:lvl>
    <w:lvl w:ilvl="1">
      <w:start w:val="0"/>
      <w:numFmt w:val="bullet"/>
      <w:lvlText w:val="•"/>
      <w:lvlJc w:val="left"/>
      <w:pPr>
        <w:ind w:left="2049" w:hanging="360"/>
      </w:pPr>
      <w:rPr>
        <w:rFonts w:hint="default"/>
      </w:rPr>
    </w:lvl>
    <w:lvl w:ilvl="2">
      <w:start w:val="0"/>
      <w:numFmt w:val="bullet"/>
      <w:lvlText w:val="•"/>
      <w:lvlJc w:val="left"/>
      <w:pPr>
        <w:ind w:left="3198" w:hanging="360"/>
      </w:pPr>
      <w:rPr>
        <w:rFonts w:hint="default"/>
      </w:rPr>
    </w:lvl>
    <w:lvl w:ilvl="3">
      <w:start w:val="0"/>
      <w:numFmt w:val="bullet"/>
      <w:lvlText w:val="•"/>
      <w:lvlJc w:val="left"/>
      <w:pPr>
        <w:ind w:left="4347" w:hanging="360"/>
      </w:pPr>
      <w:rPr>
        <w:rFonts w:hint="default"/>
      </w:rPr>
    </w:lvl>
    <w:lvl w:ilvl="4">
      <w:start w:val="0"/>
      <w:numFmt w:val="bullet"/>
      <w:lvlText w:val="•"/>
      <w:lvlJc w:val="left"/>
      <w:pPr>
        <w:ind w:left="5497" w:hanging="360"/>
      </w:pPr>
      <w:rPr>
        <w:rFonts w:hint="default"/>
      </w:rPr>
    </w:lvl>
    <w:lvl w:ilvl="5">
      <w:start w:val="0"/>
      <w:numFmt w:val="bullet"/>
      <w:lvlText w:val="•"/>
      <w:lvlJc w:val="left"/>
      <w:pPr>
        <w:ind w:left="6646" w:hanging="360"/>
      </w:pPr>
      <w:rPr>
        <w:rFonts w:hint="default"/>
      </w:rPr>
    </w:lvl>
    <w:lvl w:ilvl="6">
      <w:start w:val="0"/>
      <w:numFmt w:val="bullet"/>
      <w:lvlText w:val="•"/>
      <w:lvlJc w:val="left"/>
      <w:pPr>
        <w:ind w:left="7795" w:hanging="360"/>
      </w:pPr>
      <w:rPr>
        <w:rFonts w:hint="default"/>
      </w:rPr>
    </w:lvl>
    <w:lvl w:ilvl="7">
      <w:start w:val="0"/>
      <w:numFmt w:val="bullet"/>
      <w:lvlText w:val="•"/>
      <w:lvlJc w:val="left"/>
      <w:pPr>
        <w:ind w:left="8945" w:hanging="360"/>
      </w:pPr>
      <w:rPr>
        <w:rFonts w:hint="default"/>
      </w:rPr>
    </w:lvl>
    <w:lvl w:ilvl="8">
      <w:start w:val="0"/>
      <w:numFmt w:val="bullet"/>
      <w:lvlText w:val="•"/>
      <w:lvlJc w:val="left"/>
      <w:pPr>
        <w:ind w:left="10094" w:hanging="360"/>
      </w:pPr>
      <w:rPr>
        <w:rFonts w:hint="default"/>
      </w:rPr>
    </w:lvl>
  </w:abstractNum>
  <w:abstractNum w:abstractNumId="3">
    <w:multiLevelType w:val="hybridMultilevel"/>
    <w:lvl w:ilvl="0">
      <w:start w:val="1"/>
      <w:numFmt w:val="decimal"/>
      <w:lvlText w:val="%1)"/>
      <w:lvlJc w:val="left"/>
      <w:pPr>
        <w:ind w:left="894" w:hanging="360"/>
        <w:jc w:val="left"/>
      </w:pPr>
      <w:rPr>
        <w:rFonts w:hint="default" w:ascii="Arial" w:hAnsi="Arial" w:eastAsia="Arial" w:cs="Arial"/>
        <w:spacing w:val="0"/>
        <w:w w:val="103"/>
        <w:sz w:val="19"/>
        <w:szCs w:val="19"/>
      </w:rPr>
    </w:lvl>
    <w:lvl w:ilvl="1">
      <w:start w:val="0"/>
      <w:numFmt w:val="bullet"/>
      <w:lvlText w:val="•"/>
      <w:lvlJc w:val="left"/>
      <w:pPr>
        <w:ind w:left="2049" w:hanging="360"/>
      </w:pPr>
      <w:rPr>
        <w:rFonts w:hint="default"/>
      </w:rPr>
    </w:lvl>
    <w:lvl w:ilvl="2">
      <w:start w:val="0"/>
      <w:numFmt w:val="bullet"/>
      <w:lvlText w:val="•"/>
      <w:lvlJc w:val="left"/>
      <w:pPr>
        <w:ind w:left="3198" w:hanging="360"/>
      </w:pPr>
      <w:rPr>
        <w:rFonts w:hint="default"/>
      </w:rPr>
    </w:lvl>
    <w:lvl w:ilvl="3">
      <w:start w:val="0"/>
      <w:numFmt w:val="bullet"/>
      <w:lvlText w:val="•"/>
      <w:lvlJc w:val="left"/>
      <w:pPr>
        <w:ind w:left="4347" w:hanging="360"/>
      </w:pPr>
      <w:rPr>
        <w:rFonts w:hint="default"/>
      </w:rPr>
    </w:lvl>
    <w:lvl w:ilvl="4">
      <w:start w:val="0"/>
      <w:numFmt w:val="bullet"/>
      <w:lvlText w:val="•"/>
      <w:lvlJc w:val="left"/>
      <w:pPr>
        <w:ind w:left="5497" w:hanging="360"/>
      </w:pPr>
      <w:rPr>
        <w:rFonts w:hint="default"/>
      </w:rPr>
    </w:lvl>
    <w:lvl w:ilvl="5">
      <w:start w:val="0"/>
      <w:numFmt w:val="bullet"/>
      <w:lvlText w:val="•"/>
      <w:lvlJc w:val="left"/>
      <w:pPr>
        <w:ind w:left="6646" w:hanging="360"/>
      </w:pPr>
      <w:rPr>
        <w:rFonts w:hint="default"/>
      </w:rPr>
    </w:lvl>
    <w:lvl w:ilvl="6">
      <w:start w:val="0"/>
      <w:numFmt w:val="bullet"/>
      <w:lvlText w:val="•"/>
      <w:lvlJc w:val="left"/>
      <w:pPr>
        <w:ind w:left="7795" w:hanging="360"/>
      </w:pPr>
      <w:rPr>
        <w:rFonts w:hint="default"/>
      </w:rPr>
    </w:lvl>
    <w:lvl w:ilvl="7">
      <w:start w:val="0"/>
      <w:numFmt w:val="bullet"/>
      <w:lvlText w:val="•"/>
      <w:lvlJc w:val="left"/>
      <w:pPr>
        <w:ind w:left="8945" w:hanging="360"/>
      </w:pPr>
      <w:rPr>
        <w:rFonts w:hint="default"/>
      </w:rPr>
    </w:lvl>
    <w:lvl w:ilvl="8">
      <w:start w:val="0"/>
      <w:numFmt w:val="bullet"/>
      <w:lvlText w:val="•"/>
      <w:lvlJc w:val="left"/>
      <w:pPr>
        <w:ind w:left="10094" w:hanging="360"/>
      </w:pPr>
      <w:rPr>
        <w:rFonts w:hint="default"/>
      </w:rPr>
    </w:lvl>
  </w:abstractNum>
  <w:abstractNum w:abstractNumId="2">
    <w:multiLevelType w:val="hybridMultilevel"/>
    <w:lvl w:ilvl="0">
      <w:start w:val="1"/>
      <w:numFmt w:val="lowerLetter"/>
      <w:lvlText w:val="%1)"/>
      <w:lvlJc w:val="left"/>
      <w:pPr>
        <w:ind w:left="1132" w:hanging="254"/>
        <w:jc w:val="left"/>
      </w:pPr>
      <w:rPr>
        <w:rFonts w:hint="default" w:ascii="Arial" w:hAnsi="Arial" w:eastAsia="Arial" w:cs="Arial"/>
        <w:spacing w:val="0"/>
        <w:w w:val="103"/>
        <w:sz w:val="19"/>
        <w:szCs w:val="19"/>
      </w:rPr>
    </w:lvl>
    <w:lvl w:ilvl="1">
      <w:start w:val="0"/>
      <w:numFmt w:val="bullet"/>
      <w:lvlText w:val="•"/>
      <w:lvlJc w:val="left"/>
      <w:pPr>
        <w:ind w:left="2265" w:hanging="254"/>
      </w:pPr>
      <w:rPr>
        <w:rFonts w:hint="default"/>
      </w:rPr>
    </w:lvl>
    <w:lvl w:ilvl="2">
      <w:start w:val="0"/>
      <w:numFmt w:val="bullet"/>
      <w:lvlText w:val="•"/>
      <w:lvlJc w:val="left"/>
      <w:pPr>
        <w:ind w:left="3390" w:hanging="254"/>
      </w:pPr>
      <w:rPr>
        <w:rFonts w:hint="default"/>
      </w:rPr>
    </w:lvl>
    <w:lvl w:ilvl="3">
      <w:start w:val="0"/>
      <w:numFmt w:val="bullet"/>
      <w:lvlText w:val="•"/>
      <w:lvlJc w:val="left"/>
      <w:pPr>
        <w:ind w:left="4515" w:hanging="254"/>
      </w:pPr>
      <w:rPr>
        <w:rFonts w:hint="default"/>
      </w:rPr>
    </w:lvl>
    <w:lvl w:ilvl="4">
      <w:start w:val="0"/>
      <w:numFmt w:val="bullet"/>
      <w:lvlText w:val="•"/>
      <w:lvlJc w:val="left"/>
      <w:pPr>
        <w:ind w:left="5641" w:hanging="254"/>
      </w:pPr>
      <w:rPr>
        <w:rFonts w:hint="default"/>
      </w:rPr>
    </w:lvl>
    <w:lvl w:ilvl="5">
      <w:start w:val="0"/>
      <w:numFmt w:val="bullet"/>
      <w:lvlText w:val="•"/>
      <w:lvlJc w:val="left"/>
      <w:pPr>
        <w:ind w:left="6766" w:hanging="254"/>
      </w:pPr>
      <w:rPr>
        <w:rFonts w:hint="default"/>
      </w:rPr>
    </w:lvl>
    <w:lvl w:ilvl="6">
      <w:start w:val="0"/>
      <w:numFmt w:val="bullet"/>
      <w:lvlText w:val="•"/>
      <w:lvlJc w:val="left"/>
      <w:pPr>
        <w:ind w:left="7891" w:hanging="254"/>
      </w:pPr>
      <w:rPr>
        <w:rFonts w:hint="default"/>
      </w:rPr>
    </w:lvl>
    <w:lvl w:ilvl="7">
      <w:start w:val="0"/>
      <w:numFmt w:val="bullet"/>
      <w:lvlText w:val="•"/>
      <w:lvlJc w:val="left"/>
      <w:pPr>
        <w:ind w:left="9017" w:hanging="254"/>
      </w:pPr>
      <w:rPr>
        <w:rFonts w:hint="default"/>
      </w:rPr>
    </w:lvl>
    <w:lvl w:ilvl="8">
      <w:start w:val="0"/>
      <w:numFmt w:val="bullet"/>
      <w:lvlText w:val="•"/>
      <w:lvlJc w:val="left"/>
      <w:pPr>
        <w:ind w:left="10142" w:hanging="254"/>
      </w:pPr>
      <w:rPr>
        <w:rFonts w:hint="default"/>
      </w:rPr>
    </w:lvl>
  </w:abstractNum>
  <w:abstractNum w:abstractNumId="1">
    <w:multiLevelType w:val="hybridMultilevel"/>
    <w:lvl w:ilvl="0">
      <w:start w:val="1"/>
      <w:numFmt w:val="decimal"/>
      <w:lvlText w:val="%1."/>
      <w:lvlJc w:val="left"/>
      <w:pPr>
        <w:ind w:left="992" w:hanging="567"/>
        <w:jc w:val="left"/>
      </w:pPr>
      <w:rPr>
        <w:rFonts w:hint="default"/>
        <w:w w:val="99"/>
      </w:rPr>
    </w:lvl>
    <w:lvl w:ilvl="1">
      <w:start w:val="1"/>
      <w:numFmt w:val="decimal"/>
      <w:lvlText w:val="%1.%2."/>
      <w:lvlJc w:val="left"/>
      <w:pPr>
        <w:ind w:left="5114" w:hanging="720"/>
        <w:jc w:val="left"/>
      </w:pPr>
      <w:rPr>
        <w:rFonts w:hint="default"/>
        <w:w w:val="99"/>
        <w:highlight w:val="darkCyan"/>
      </w:rPr>
    </w:lvl>
    <w:lvl w:ilvl="2">
      <w:start w:val="1"/>
      <w:numFmt w:val="upperRoman"/>
      <w:lvlText w:val="%3"/>
      <w:lvlJc w:val="left"/>
      <w:pPr>
        <w:ind w:left="7229" w:hanging="115"/>
        <w:jc w:val="left"/>
      </w:pPr>
      <w:rPr>
        <w:rFonts w:hint="default" w:ascii="Arial" w:hAnsi="Arial" w:eastAsia="Arial" w:cs="Arial"/>
        <w:i/>
        <w:w w:val="103"/>
        <w:sz w:val="19"/>
        <w:szCs w:val="19"/>
      </w:rPr>
    </w:lvl>
    <w:lvl w:ilvl="3">
      <w:start w:val="0"/>
      <w:numFmt w:val="bullet"/>
      <w:lvlText w:val="•"/>
      <w:lvlJc w:val="left"/>
      <w:pPr>
        <w:ind w:left="8297" w:hanging="115"/>
      </w:pPr>
      <w:rPr>
        <w:rFonts w:hint="default"/>
      </w:rPr>
    </w:lvl>
    <w:lvl w:ilvl="4">
      <w:start w:val="0"/>
      <w:numFmt w:val="bullet"/>
      <w:lvlText w:val="•"/>
      <w:lvlJc w:val="left"/>
      <w:pPr>
        <w:ind w:left="9375" w:hanging="115"/>
      </w:pPr>
      <w:rPr>
        <w:rFonts w:hint="default"/>
      </w:rPr>
    </w:lvl>
    <w:lvl w:ilvl="5">
      <w:start w:val="0"/>
      <w:numFmt w:val="bullet"/>
      <w:lvlText w:val="•"/>
      <w:lvlJc w:val="left"/>
      <w:pPr>
        <w:ind w:left="10452" w:hanging="115"/>
      </w:pPr>
      <w:rPr>
        <w:rFonts w:hint="default"/>
      </w:rPr>
    </w:lvl>
    <w:lvl w:ilvl="6">
      <w:start w:val="0"/>
      <w:numFmt w:val="bullet"/>
      <w:lvlText w:val="•"/>
      <w:lvlJc w:val="left"/>
      <w:pPr>
        <w:ind w:left="11530" w:hanging="115"/>
      </w:pPr>
      <w:rPr>
        <w:rFonts w:hint="default"/>
      </w:rPr>
    </w:lvl>
    <w:lvl w:ilvl="7">
      <w:start w:val="0"/>
      <w:numFmt w:val="bullet"/>
      <w:lvlText w:val="•"/>
      <w:lvlJc w:val="left"/>
      <w:pPr>
        <w:ind w:left="12607" w:hanging="115"/>
      </w:pPr>
      <w:rPr>
        <w:rFonts w:hint="default"/>
      </w:rPr>
    </w:lvl>
    <w:lvl w:ilvl="8">
      <w:start w:val="0"/>
      <w:numFmt w:val="bullet"/>
      <w:lvlText w:val="•"/>
      <w:lvlJc w:val="left"/>
      <w:pPr>
        <w:ind w:left="13685" w:hanging="115"/>
      </w:pPr>
      <w:rPr>
        <w:rFonts w:hint="default"/>
      </w:rPr>
    </w:lvl>
  </w:abstractNum>
  <w:abstractNum w:abstractNumId="0">
    <w:multiLevelType w:val="hybridMultilevel"/>
    <w:lvl w:ilvl="0">
      <w:start w:val="1"/>
      <w:numFmt w:val="decimal"/>
      <w:lvlText w:val="%1."/>
      <w:lvlJc w:val="left"/>
      <w:pPr>
        <w:ind w:left="4911" w:hanging="517"/>
        <w:jc w:val="left"/>
      </w:pPr>
      <w:rPr>
        <w:rFonts w:hint="default" w:ascii="Arial Unicode MS" w:hAnsi="Arial Unicode MS" w:eastAsia="Arial Unicode MS" w:cs="Arial Unicode MS"/>
        <w:color w:val="00666D"/>
        <w:w w:val="99"/>
        <w:sz w:val="24"/>
        <w:szCs w:val="24"/>
      </w:rPr>
    </w:lvl>
    <w:lvl w:ilvl="1">
      <w:start w:val="1"/>
      <w:numFmt w:val="decimal"/>
      <w:lvlText w:val="%1.%2."/>
      <w:lvlJc w:val="left"/>
      <w:pPr>
        <w:ind w:left="5350" w:hanging="390"/>
        <w:jc w:val="left"/>
      </w:pPr>
      <w:rPr>
        <w:rFonts w:hint="default" w:ascii="Arial Unicode MS" w:hAnsi="Arial Unicode MS" w:eastAsia="Arial Unicode MS" w:cs="Arial Unicode MS"/>
        <w:color w:val="00666D"/>
        <w:spacing w:val="0"/>
        <w:w w:val="103"/>
        <w:sz w:val="19"/>
        <w:szCs w:val="19"/>
      </w:rPr>
    </w:lvl>
    <w:lvl w:ilvl="2">
      <w:start w:val="1"/>
      <w:numFmt w:val="decimal"/>
      <w:lvlText w:val="%1.%2.%3."/>
      <w:lvlJc w:val="left"/>
      <w:pPr>
        <w:ind w:left="6084" w:hanging="556"/>
        <w:jc w:val="left"/>
      </w:pPr>
      <w:rPr>
        <w:rFonts w:hint="default" w:ascii="Arial Unicode MS" w:hAnsi="Arial Unicode MS" w:eastAsia="Arial Unicode MS" w:cs="Arial Unicode MS"/>
        <w:color w:val="00666D"/>
        <w:spacing w:val="0"/>
        <w:w w:val="103"/>
        <w:sz w:val="19"/>
        <w:szCs w:val="19"/>
      </w:rPr>
    </w:lvl>
    <w:lvl w:ilvl="3">
      <w:start w:val="0"/>
      <w:numFmt w:val="bullet"/>
      <w:lvlText w:val="•"/>
      <w:lvlJc w:val="left"/>
      <w:pPr>
        <w:ind w:left="7240" w:hanging="556"/>
      </w:pPr>
      <w:rPr>
        <w:rFonts w:hint="default"/>
      </w:rPr>
    </w:lvl>
    <w:lvl w:ilvl="4">
      <w:start w:val="0"/>
      <w:numFmt w:val="bullet"/>
      <w:lvlText w:val="•"/>
      <w:lvlJc w:val="left"/>
      <w:pPr>
        <w:ind w:left="8468" w:hanging="556"/>
      </w:pPr>
      <w:rPr>
        <w:rFonts w:hint="default"/>
      </w:rPr>
    </w:lvl>
    <w:lvl w:ilvl="5">
      <w:start w:val="0"/>
      <w:numFmt w:val="bullet"/>
      <w:lvlText w:val="•"/>
      <w:lvlJc w:val="left"/>
      <w:pPr>
        <w:ind w:left="9697" w:hanging="556"/>
      </w:pPr>
      <w:rPr>
        <w:rFonts w:hint="default"/>
      </w:rPr>
    </w:lvl>
    <w:lvl w:ilvl="6">
      <w:start w:val="0"/>
      <w:numFmt w:val="bullet"/>
      <w:lvlText w:val="•"/>
      <w:lvlJc w:val="left"/>
      <w:pPr>
        <w:ind w:left="10925" w:hanging="556"/>
      </w:pPr>
      <w:rPr>
        <w:rFonts w:hint="default"/>
      </w:rPr>
    </w:lvl>
    <w:lvl w:ilvl="7">
      <w:start w:val="0"/>
      <w:numFmt w:val="bullet"/>
      <w:lvlText w:val="•"/>
      <w:lvlJc w:val="left"/>
      <w:pPr>
        <w:ind w:left="12154" w:hanging="556"/>
      </w:pPr>
      <w:rPr>
        <w:rFonts w:hint="default"/>
      </w:rPr>
    </w:lvl>
    <w:lvl w:ilvl="8">
      <w:start w:val="0"/>
      <w:numFmt w:val="bullet"/>
      <w:lvlText w:val="•"/>
      <w:lvlJc w:val="left"/>
      <w:pPr>
        <w:ind w:left="13382" w:hanging="556"/>
      </w:pPr>
      <w:rPr>
        <w:rFonts w:hint="default"/>
      </w:rPr>
    </w:lvl>
  </w:abstractNum>
  <w:num w:numId="25">
    <w:abstractNumId w:val="24"/>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56" w:line="330" w:lineRule="exact"/>
      <w:ind w:left="741" w:right="3422"/>
      <w:jc w:val="center"/>
    </w:pPr>
    <w:rPr>
      <w:rFonts w:ascii="Arial Unicode MS" w:hAnsi="Arial Unicode MS" w:eastAsia="Arial Unicode MS" w:cs="Arial Unicode MS"/>
      <w:sz w:val="19"/>
      <w:szCs w:val="19"/>
    </w:rPr>
  </w:style>
  <w:style w:styleId="TOC2" w:type="paragraph">
    <w:name w:val="TOC 2"/>
    <w:basedOn w:val="Normal"/>
    <w:uiPriority w:val="1"/>
    <w:qFormat/>
    <w:pPr>
      <w:spacing w:before="240"/>
      <w:ind w:left="1381"/>
    </w:pPr>
    <w:rPr>
      <w:rFonts w:ascii="Arial" w:hAnsi="Arial" w:eastAsia="Arial" w:cs="Arial"/>
      <w:sz w:val="19"/>
      <w:szCs w:val="19"/>
    </w:rPr>
  </w:style>
  <w:style w:styleId="TOC3" w:type="paragraph">
    <w:name w:val="TOC 3"/>
    <w:basedOn w:val="Normal"/>
    <w:uiPriority w:val="1"/>
    <w:qFormat/>
    <w:pPr>
      <w:spacing w:before="114"/>
      <w:ind w:left="4911" w:hanging="517"/>
    </w:pPr>
    <w:rPr>
      <w:rFonts w:ascii="Arial Unicode MS" w:hAnsi="Arial Unicode MS" w:eastAsia="Arial Unicode MS" w:cs="Arial Unicode MS"/>
      <w:b/>
      <w:bCs/>
      <w:sz w:val="24"/>
      <w:szCs w:val="24"/>
    </w:rPr>
  </w:style>
  <w:style w:styleId="TOC4" w:type="paragraph">
    <w:name w:val="TOC 4"/>
    <w:basedOn w:val="Normal"/>
    <w:uiPriority w:val="1"/>
    <w:qFormat/>
    <w:pPr>
      <w:spacing w:before="120"/>
      <w:ind w:left="4911" w:hanging="517"/>
    </w:pPr>
    <w:rPr>
      <w:rFonts w:ascii="Arial Unicode MS" w:hAnsi="Arial Unicode MS" w:eastAsia="Arial Unicode MS" w:cs="Arial Unicode MS"/>
      <w:b/>
      <w:bCs/>
      <w:i/>
    </w:rPr>
  </w:style>
  <w:style w:styleId="TOC5" w:type="paragraph">
    <w:name w:val="TOC 5"/>
    <w:basedOn w:val="Normal"/>
    <w:uiPriority w:val="1"/>
    <w:qFormat/>
    <w:pPr>
      <w:spacing w:before="151"/>
      <w:ind w:left="5350" w:hanging="389"/>
    </w:pPr>
    <w:rPr>
      <w:rFonts w:ascii="Arial Unicode MS" w:hAnsi="Arial Unicode MS" w:eastAsia="Arial Unicode MS" w:cs="Arial Unicode MS"/>
      <w:sz w:val="19"/>
      <w:szCs w:val="19"/>
    </w:rPr>
  </w:style>
  <w:style w:styleId="TOC6" w:type="paragraph">
    <w:name w:val="TOC 6"/>
    <w:basedOn w:val="Normal"/>
    <w:uiPriority w:val="1"/>
    <w:qFormat/>
    <w:pPr>
      <w:spacing w:before="151"/>
      <w:ind w:left="6084" w:hanging="556"/>
    </w:pPr>
    <w:rPr>
      <w:rFonts w:ascii="Arial Unicode MS" w:hAnsi="Arial Unicode MS" w:eastAsia="Arial Unicode MS" w:cs="Arial Unicode MS"/>
      <w:sz w:val="19"/>
      <w:szCs w:val="19"/>
    </w:rPr>
  </w:style>
  <w:style w:styleId="TOC7" w:type="paragraph">
    <w:name w:val="TOC 7"/>
    <w:basedOn w:val="Normal"/>
    <w:uiPriority w:val="1"/>
    <w:qFormat/>
    <w:pPr>
      <w:spacing w:before="482"/>
      <w:ind w:left="7115"/>
    </w:pPr>
    <w:rPr>
      <w:rFonts w:ascii="DaxCondensed" w:hAnsi="DaxCondensed" w:eastAsia="DaxCondensed" w:cs="DaxCondensed"/>
      <w:sz w:val="24"/>
      <w:szCs w:val="24"/>
    </w:rPr>
  </w:style>
  <w:style w:styleId="BodyText" w:type="paragraph">
    <w:name w:val="Body Text"/>
    <w:basedOn w:val="Normal"/>
    <w:uiPriority w:val="1"/>
    <w:qFormat/>
    <w:pPr/>
    <w:rPr>
      <w:rFonts w:ascii="Arial" w:hAnsi="Arial" w:eastAsia="Arial" w:cs="Arial"/>
      <w:sz w:val="19"/>
      <w:szCs w:val="19"/>
    </w:rPr>
  </w:style>
  <w:style w:styleId="Heading1" w:type="paragraph">
    <w:name w:val="Heading 1"/>
    <w:basedOn w:val="Normal"/>
    <w:uiPriority w:val="1"/>
    <w:qFormat/>
    <w:pPr>
      <w:spacing w:before="251"/>
      <w:ind w:left="992" w:hanging="567"/>
      <w:outlineLvl w:val="1"/>
    </w:pPr>
    <w:rPr>
      <w:rFonts w:ascii="DaxCondensed" w:hAnsi="DaxCondensed" w:eastAsia="DaxCondensed" w:cs="DaxCondensed"/>
      <w:sz w:val="31"/>
      <w:szCs w:val="31"/>
    </w:rPr>
  </w:style>
  <w:style w:styleId="Heading2" w:type="paragraph">
    <w:name w:val="Heading 2"/>
    <w:basedOn w:val="Normal"/>
    <w:uiPriority w:val="1"/>
    <w:qFormat/>
    <w:pPr>
      <w:spacing w:before="212"/>
      <w:ind w:left="5102" w:hanging="720"/>
      <w:outlineLvl w:val="2"/>
    </w:pPr>
    <w:rPr>
      <w:rFonts w:ascii="DaxCondensed-Black" w:hAnsi="DaxCondensed-Black" w:eastAsia="DaxCondensed-Black" w:cs="DaxCondensed-Black"/>
      <w:b/>
      <w:bCs/>
      <w:sz w:val="28"/>
      <w:szCs w:val="28"/>
    </w:rPr>
  </w:style>
  <w:style w:styleId="Heading3" w:type="paragraph">
    <w:name w:val="Heading 3"/>
    <w:basedOn w:val="Normal"/>
    <w:uiPriority w:val="1"/>
    <w:qFormat/>
    <w:pPr>
      <w:spacing w:before="99"/>
      <w:ind w:left="5114"/>
      <w:outlineLvl w:val="3"/>
    </w:pPr>
    <w:rPr>
      <w:rFonts w:ascii="DaxCondensed" w:hAnsi="DaxCondensed" w:eastAsia="DaxCondensed" w:cs="DaxCondensed"/>
      <w:sz w:val="28"/>
      <w:szCs w:val="28"/>
    </w:rPr>
  </w:style>
  <w:style w:styleId="Heading4" w:type="paragraph">
    <w:name w:val="Heading 4"/>
    <w:basedOn w:val="Normal"/>
    <w:uiPriority w:val="1"/>
    <w:qFormat/>
    <w:pPr>
      <w:ind w:left="7115"/>
      <w:outlineLvl w:val="4"/>
    </w:pPr>
    <w:rPr>
      <w:rFonts w:ascii="DaxCondensed" w:hAnsi="DaxCondensed" w:eastAsia="DaxCondensed" w:cs="DaxCondensed"/>
      <w:sz w:val="24"/>
      <w:szCs w:val="24"/>
    </w:rPr>
  </w:style>
  <w:style w:styleId="Heading5" w:type="paragraph">
    <w:name w:val="Heading 5"/>
    <w:basedOn w:val="Normal"/>
    <w:uiPriority w:val="1"/>
    <w:qFormat/>
    <w:pPr>
      <w:ind w:left="5086"/>
      <w:outlineLvl w:val="5"/>
    </w:pPr>
    <w:rPr>
      <w:rFonts w:ascii="Arial" w:hAnsi="Arial" w:eastAsia="Arial" w:cs="Arial"/>
      <w:b/>
      <w:bCs/>
      <w:sz w:val="19"/>
      <w:szCs w:val="19"/>
    </w:rPr>
  </w:style>
  <w:style w:styleId="ListParagraph" w:type="paragraph">
    <w:name w:val="List Paragraph"/>
    <w:basedOn w:val="Normal"/>
    <w:uiPriority w:val="1"/>
    <w:qFormat/>
    <w:pPr>
      <w:ind w:left="4394"/>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2019-04-12T17:40:29Z</dcterms:created>
  <dcterms:modified xsi:type="dcterms:W3CDTF">2019-04-12T17:40:29Z</dcterms:modified>
</cp:coreProperties>
</file>