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jc w:val="left"/>
        <w:rPr>
          <w:rFonts w:ascii="Times New Roman"/>
          <w:sz w:val="12"/>
        </w:rPr>
      </w:pPr>
    </w:p>
    <w:p>
      <w:pPr>
        <w:pStyle w:val="Heading1"/>
        <w:spacing w:before="56"/>
        <w:ind w:left="2050"/>
        <w:jc w:val="left"/>
      </w:pPr>
      <w:r>
        <w:rPr/>
        <w:t>DELIBERAÇÃO PLENÁRIA N° 6, DE 15 DE DEZEMBRO DE 2011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"/>
        <w:ind w:left="4372" w:right="110"/>
      </w:pPr>
      <w:r>
        <w:rPr/>
        <w:t>Regulamenta o procedimento de registro das Instituições de Ensino Superior de Arquitetura e Urbanismo e dos egressos do ano de 2011, para fins de registro no CAU/BR e nos</w:t>
      </w:r>
      <w:r>
        <w:rPr>
          <w:spacing w:val="-7"/>
        </w:rPr>
        <w:t> </w:t>
      </w:r>
      <w:r>
        <w:rPr/>
        <w:t>CAU/UF.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118" w:right="114"/>
      </w:pPr>
      <w:r>
        <w:rPr/>
        <w:t>O Plenário do Conselho de Arquitetura e Urbanismo do Brasil (CAU/BR), na Sessão Plenária Ordinária n° 2, realizada no período de 14 a 15 de dezembro de 2011, no uso das atribuições que lhe conferem os incisos III e XI do art. 28 da Lei n° 12.378, de 31 de dezembro de 2010, e os incisos X e XXXI do art. 29 do Regimento Geral Provisório aprovado na Sessão Plenária Ordinária n° 1, de 18 de novembro de 2011;</w:t>
      </w:r>
    </w:p>
    <w:p>
      <w:pPr>
        <w:pStyle w:val="BodyText"/>
        <w:spacing w:before="1"/>
        <w:jc w:val="left"/>
      </w:pPr>
    </w:p>
    <w:p>
      <w:pPr>
        <w:pStyle w:val="BodyText"/>
        <w:ind w:left="118" w:right="110"/>
      </w:pPr>
      <w:r>
        <w:rPr/>
        <w:t>Considerando que o art. 5º da Lei nº 12.378, de 31 de dezembro de 2010, determina que para o uso do título de arquiteto e urbanista e para o exercício das atividades profissionais privativas correspondentes é obrigatório o registro do profissional no CAU do Estado ou do Distrito Federal;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118" w:right="111"/>
      </w:pPr>
      <w:r>
        <w:rPr/>
        <w:t>Considerando que o art. 6º da Lei nº 12.378, de 31 de dezembro de 2010, determina que são requisitos para o registro a capacidade civil e o diploma de graduação em arquitetura e urbanismo, obtido em instituição de ensino superior oficialmente reconhecida pelo poder público;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118" w:right="111"/>
      </w:pPr>
      <w:r>
        <w:rPr/>
        <w:t>Considerando que o art. 4º da Lei nº 12.378, de 31 de dezembro de 2010, determina que o CAU/BR organizará e manterá atualizado cadastro nacional das escolas e faculdades de arquitetura e urbanismo, incluindo o currículo de todos os cursos oferecidos e os projetos pedagógicos; e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ind w:left="118" w:right="114"/>
      </w:pPr>
      <w:r>
        <w:rPr/>
        <w:t>Considerando a necessidade de registro dos egressos dos cursos de arquitetura e urbanismo no Conselho de Arquitetura e Urbanismo das Unidades da Federação</w:t>
      </w:r>
      <w:r>
        <w:rPr>
          <w:spacing w:val="-8"/>
        </w:rPr>
        <w:t> </w:t>
      </w:r>
      <w:r>
        <w:rPr/>
        <w:t>(CAU/UF);</w:t>
      </w:r>
    </w:p>
    <w:p>
      <w:pPr>
        <w:pStyle w:val="BodyText"/>
        <w:spacing w:before="1"/>
        <w:jc w:val="left"/>
      </w:pPr>
    </w:p>
    <w:p>
      <w:pPr>
        <w:pStyle w:val="Heading1"/>
        <w:ind w:left="118"/>
        <w:jc w:val="both"/>
      </w:pPr>
      <w:r>
        <w:rPr/>
        <w:t>DELIBEROU: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118" w:right="109" w:firstLine="0"/>
        <w:jc w:val="both"/>
        <w:rPr>
          <w:sz w:val="22"/>
        </w:rPr>
      </w:pPr>
      <w:r>
        <w:rPr>
          <w:sz w:val="22"/>
        </w:rPr>
        <w:t>Solicitar das Instituições de Ensino Superior com curso de Arquitetura e Urbanismo o envio das seguintes</w:t>
      </w:r>
      <w:r>
        <w:rPr>
          <w:spacing w:val="-1"/>
          <w:sz w:val="22"/>
        </w:rPr>
        <w:t> </w:t>
      </w:r>
      <w:r>
        <w:rPr>
          <w:sz w:val="22"/>
        </w:rPr>
        <w:t>informações:</w:t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0" w:lineRule="auto" w:before="0" w:after="0"/>
        <w:ind w:left="291" w:right="0" w:hanging="173"/>
        <w:jc w:val="both"/>
        <w:rPr>
          <w:sz w:val="22"/>
        </w:rPr>
      </w:pPr>
      <w:r>
        <w:rPr>
          <w:sz w:val="22"/>
        </w:rPr>
        <w:t>nome do</w:t>
      </w:r>
      <w:r>
        <w:rPr>
          <w:spacing w:val="1"/>
          <w:sz w:val="22"/>
        </w:rPr>
        <w:t> </w:t>
      </w:r>
      <w:r>
        <w:rPr>
          <w:sz w:val="22"/>
        </w:rPr>
        <w:t>curso;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67" w:lineRule="exact" w:before="0" w:after="0"/>
        <w:ind w:left="346" w:right="0" w:hanging="228"/>
        <w:jc w:val="both"/>
        <w:rPr>
          <w:sz w:val="22"/>
        </w:rPr>
      </w:pPr>
      <w:r>
        <w:rPr>
          <w:sz w:val="22"/>
        </w:rPr>
        <w:t>entidade</w:t>
      </w:r>
      <w:r>
        <w:rPr>
          <w:spacing w:val="-2"/>
          <w:sz w:val="22"/>
        </w:rPr>
        <w:t> </w:t>
      </w:r>
      <w:r>
        <w:rPr>
          <w:sz w:val="22"/>
        </w:rPr>
        <w:t>mantenedora;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67" w:lineRule="exact" w:before="0" w:after="0"/>
        <w:ind w:left="401" w:right="0" w:hanging="283"/>
        <w:jc w:val="both"/>
        <w:rPr>
          <w:sz w:val="22"/>
        </w:rPr>
      </w:pPr>
      <w:r>
        <w:rPr>
          <w:sz w:val="22"/>
        </w:rPr>
        <w:t>inscrição no</w:t>
      </w:r>
      <w:r>
        <w:rPr>
          <w:spacing w:val="-5"/>
          <w:sz w:val="22"/>
        </w:rPr>
        <w:t> </w:t>
      </w:r>
      <w:r>
        <w:rPr>
          <w:sz w:val="22"/>
        </w:rPr>
        <w:t>CNPJ;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416" w:right="0" w:hanging="298"/>
        <w:jc w:val="both"/>
        <w:rPr>
          <w:sz w:val="22"/>
        </w:rPr>
      </w:pPr>
      <w:r>
        <w:rPr>
          <w:sz w:val="22"/>
        </w:rPr>
        <w:t>endereço (logradouro, número, complemento, bairro, cidade,</w:t>
      </w:r>
      <w:r>
        <w:rPr>
          <w:spacing w:val="-8"/>
          <w:sz w:val="22"/>
        </w:rPr>
        <w:t> </w:t>
      </w:r>
      <w:r>
        <w:rPr>
          <w:sz w:val="22"/>
        </w:rPr>
        <w:t>UF);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1" w:after="0"/>
        <w:ind w:left="360" w:right="0" w:hanging="242"/>
        <w:jc w:val="both"/>
        <w:rPr>
          <w:sz w:val="22"/>
        </w:rPr>
      </w:pPr>
      <w:r>
        <w:rPr>
          <w:sz w:val="22"/>
        </w:rPr>
        <w:t>telefone de contato da</w:t>
      </w:r>
      <w:r>
        <w:rPr>
          <w:spacing w:val="-5"/>
          <w:sz w:val="22"/>
        </w:rPr>
        <w:t> </w:t>
      </w:r>
      <w:r>
        <w:rPr>
          <w:sz w:val="22"/>
        </w:rPr>
        <w:t>IES;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416" w:right="0" w:hanging="298"/>
        <w:jc w:val="both"/>
        <w:rPr>
          <w:sz w:val="22"/>
        </w:rPr>
      </w:pPr>
      <w:r>
        <w:rPr>
          <w:sz w:val="22"/>
        </w:rPr>
        <w:t>telefone de contato do</w:t>
      </w:r>
      <w:r>
        <w:rPr>
          <w:spacing w:val="-3"/>
          <w:sz w:val="22"/>
        </w:rPr>
        <w:t> </w:t>
      </w:r>
      <w:r>
        <w:rPr>
          <w:sz w:val="22"/>
        </w:rPr>
        <w:t>curso;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53"/>
        <w:jc w:val="both"/>
        <w:rPr>
          <w:sz w:val="22"/>
        </w:rPr>
      </w:pPr>
      <w:r>
        <w:rPr>
          <w:sz w:val="22"/>
        </w:rPr>
        <w:t>nome do coordenador do curso e número do seu registro profissional no</w:t>
      </w:r>
      <w:r>
        <w:rPr>
          <w:spacing w:val="-5"/>
          <w:sz w:val="22"/>
        </w:rPr>
        <w:t> </w:t>
      </w:r>
      <w:r>
        <w:rPr>
          <w:sz w:val="22"/>
        </w:rPr>
        <w:t>CREA;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0" w:after="0"/>
        <w:ind w:left="118" w:right="110" w:firstLine="0"/>
        <w:jc w:val="both"/>
        <w:rPr>
          <w:sz w:val="22"/>
        </w:rPr>
      </w:pPr>
      <w:r>
        <w:rPr>
          <w:sz w:val="22"/>
        </w:rPr>
        <w:t>Projeto Pedagógico do Curso (PPC) contemplando informações sobre as três dimensões (infraestrutura, corpo docente e proposta didático-pedagógica) com a respectiva estrutura curricular no formato de planilha eletrônica (compatível com Microsoft Excel, Open Office ou equivalente), exceto o projeto pedagógico que deverá ser remetido no formato</w:t>
      </w:r>
      <w:r>
        <w:rPr>
          <w:spacing w:val="-1"/>
          <w:sz w:val="22"/>
        </w:rPr>
        <w:t> </w:t>
      </w:r>
      <w:r>
        <w:rPr>
          <w:sz w:val="22"/>
        </w:rPr>
        <w:t>PDF.</w:t>
      </w:r>
    </w:p>
    <w:p>
      <w:pPr>
        <w:pStyle w:val="BodyText"/>
        <w:spacing w:before="12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18" w:right="109" w:firstLine="0"/>
        <w:jc w:val="both"/>
        <w:rPr>
          <w:sz w:val="22"/>
        </w:rPr>
      </w:pPr>
      <w:r>
        <w:rPr>
          <w:sz w:val="22"/>
        </w:rPr>
        <w:t>Solicitar das Instituições de Ensino Superior com curso de Arquitetura e Urbanismo o envio da relação dos egressos dos cursos de Arquitetura e Urbanismo, em formato de planilha eletrônica (compatível com Microsoft Excel, Open Office ou equivalente), contendo as seguintes</w:t>
      </w:r>
      <w:r>
        <w:rPr>
          <w:spacing w:val="-13"/>
          <w:sz w:val="22"/>
        </w:rPr>
        <w:t> </w:t>
      </w:r>
      <w:r>
        <w:rPr>
          <w:sz w:val="22"/>
        </w:rPr>
        <w:t>informações: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708" w:top="2620" w:bottom="280" w:left="1300" w:right="102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92" w:val="left" w:leader="none"/>
        </w:tabs>
        <w:spacing w:line="240" w:lineRule="auto" w:before="0" w:after="0"/>
        <w:ind w:left="291" w:right="0" w:hanging="173"/>
        <w:jc w:val="both"/>
        <w:rPr>
          <w:sz w:val="22"/>
        </w:rPr>
      </w:pPr>
      <w:r>
        <w:rPr>
          <w:sz w:val="22"/>
        </w:rPr>
        <w:t>nome;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6" w:right="0" w:hanging="228"/>
        <w:jc w:val="both"/>
        <w:rPr>
          <w:sz w:val="22"/>
        </w:rPr>
      </w:pPr>
      <w:r>
        <w:rPr>
          <w:sz w:val="22"/>
        </w:rPr>
        <w:t>inscrição no</w:t>
      </w:r>
      <w:r>
        <w:rPr>
          <w:spacing w:val="-5"/>
          <w:sz w:val="22"/>
        </w:rPr>
        <w:t> </w:t>
      </w:r>
      <w:r>
        <w:rPr>
          <w:sz w:val="22"/>
        </w:rPr>
        <w:t>CPF;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83"/>
        <w:jc w:val="both"/>
        <w:rPr>
          <w:sz w:val="22"/>
        </w:rPr>
      </w:pPr>
      <w:r>
        <w:rPr>
          <w:sz w:val="22"/>
        </w:rPr>
        <w:t>número do documento de identificação civil e órgão</w:t>
      </w:r>
      <w:r>
        <w:rPr>
          <w:spacing w:val="-10"/>
          <w:sz w:val="22"/>
        </w:rPr>
        <w:t> </w:t>
      </w:r>
      <w:r>
        <w:rPr>
          <w:sz w:val="22"/>
        </w:rPr>
        <w:t>expedidor;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67" w:lineRule="exact" w:before="1" w:after="0"/>
        <w:ind w:left="416" w:right="0" w:hanging="298"/>
        <w:jc w:val="both"/>
        <w:rPr>
          <w:sz w:val="22"/>
        </w:rPr>
      </w:pPr>
      <w:r>
        <w:rPr>
          <w:sz w:val="22"/>
        </w:rPr>
        <w:t>endereço;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67" w:lineRule="exact" w:before="0" w:after="0"/>
        <w:ind w:left="360" w:right="0" w:hanging="242"/>
        <w:jc w:val="both"/>
        <w:rPr>
          <w:sz w:val="22"/>
        </w:rPr>
      </w:pPr>
      <w:r>
        <w:rPr>
          <w:sz w:val="22"/>
        </w:rPr>
        <w:t>filiação;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" w:after="0"/>
        <w:ind w:left="416" w:right="0" w:hanging="298"/>
        <w:jc w:val="both"/>
        <w:rPr>
          <w:sz w:val="22"/>
        </w:rPr>
      </w:pPr>
      <w:r>
        <w:rPr>
          <w:sz w:val="22"/>
        </w:rPr>
        <w:t>data de</w:t>
      </w:r>
      <w:r>
        <w:rPr>
          <w:spacing w:val="-1"/>
          <w:sz w:val="22"/>
        </w:rPr>
        <w:t> </w:t>
      </w:r>
      <w:r>
        <w:rPr>
          <w:sz w:val="22"/>
        </w:rPr>
        <w:t>nascimento;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0" w:hanging="353"/>
        <w:jc w:val="both"/>
        <w:rPr>
          <w:sz w:val="22"/>
        </w:rPr>
      </w:pPr>
      <w:r>
        <w:rPr>
          <w:sz w:val="22"/>
        </w:rPr>
        <w:t>data de colação de</w:t>
      </w:r>
      <w:r>
        <w:rPr>
          <w:spacing w:val="-4"/>
          <w:sz w:val="22"/>
        </w:rPr>
        <w:t> </w:t>
      </w:r>
      <w:r>
        <w:rPr>
          <w:sz w:val="22"/>
        </w:rPr>
        <w:t>grau.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118" w:right="112" w:firstLine="0"/>
        <w:jc w:val="both"/>
        <w:rPr>
          <w:sz w:val="22"/>
        </w:rPr>
      </w:pPr>
      <w:r>
        <w:rPr>
          <w:sz w:val="22"/>
        </w:rPr>
        <w:t>Solicitar das Instituições de Ensino Superior com curso de Arquitetura e Urbanismo o envio dos documentos comprobatórios do ato autorizativo vigente (reconhecimento ou renovação de reconhecimento do curso), assim como cópia dos demais documentos autorizativos desde a criação do curso, em formato</w:t>
      </w:r>
      <w:r>
        <w:rPr>
          <w:spacing w:val="-4"/>
          <w:sz w:val="22"/>
        </w:rPr>
        <w:t> </w:t>
      </w:r>
      <w:r>
        <w:rPr>
          <w:sz w:val="22"/>
        </w:rPr>
        <w:t>PDF.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21"/>
        <w:jc w:val="both"/>
        <w:rPr>
          <w:sz w:val="22"/>
        </w:rPr>
      </w:pPr>
      <w:r>
        <w:rPr>
          <w:sz w:val="22"/>
        </w:rPr>
        <w:t>Esta Deliberação entra em vigor nesta</w:t>
      </w:r>
      <w:r>
        <w:rPr>
          <w:spacing w:val="-3"/>
          <w:sz w:val="22"/>
        </w:rPr>
        <w:t> </w:t>
      </w:r>
      <w:r>
        <w:rPr>
          <w:sz w:val="22"/>
        </w:rPr>
        <w:t>data.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2"/>
        <w:jc w:val="left"/>
      </w:pPr>
    </w:p>
    <w:p>
      <w:pPr>
        <w:pStyle w:val="Heading1"/>
        <w:ind w:left="2908" w:right="2903"/>
      </w:pPr>
      <w:r>
        <w:rPr/>
        <w:t>HAROLDO PINHEIRO VILLAR DE QUEIROZ</w:t>
      </w:r>
    </w:p>
    <w:p>
      <w:pPr>
        <w:spacing w:before="0"/>
        <w:ind w:left="2908" w:right="2902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sectPr>
      <w:pgSz w:w="11910" w:h="16840"/>
      <w:pgMar w:header="708" w:footer="0" w:top="262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268432271">
          <wp:simplePos x="0" y="0"/>
          <wp:positionH relativeFrom="page">
            <wp:posOffset>3458209</wp:posOffset>
          </wp:positionH>
          <wp:positionV relativeFrom="page">
            <wp:posOffset>449579</wp:posOffset>
          </wp:positionV>
          <wp:extent cx="822960" cy="81216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96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783997pt;margin-top:101.200684pt;width:414.05pt;height:31.75pt;mso-position-horizontal-relative:page;mso-position-vertical-relative:page;z-index:-3160" type="#_x0000_t202" filled="false" stroked="false">
          <v:textbox inset="0,0,0,0">
            <w:txbxContent>
              <w:p>
                <w:pPr>
                  <w:spacing w:before="21"/>
                  <w:ind w:left="2" w:right="2" w:firstLine="0"/>
                  <w:jc w:val="center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Verdana" w:hAnsi="Verdana"/>
                    <w:b/>
                    <w:sz w:val="22"/>
                  </w:rPr>
                  <w:t>SERVIÇO PÚBLICO FEDERAL</w:t>
                </w:r>
              </w:p>
              <w:p>
                <w:pPr>
                  <w:spacing w:before="59"/>
                  <w:ind w:left="2" w:right="2" w:firstLine="0"/>
                  <w:jc w:val="center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Verdana" w:hAnsi="Verdana"/>
                    <w:b/>
                    <w:sz w:val="22"/>
                  </w:rPr>
                  <w:t>CONSELHO DE ARQUITETURA E URBANISMO DO BRASIL – CAU/BR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)"/>
      <w:lvlJc w:val="left"/>
      <w:pPr>
        <w:ind w:left="291" w:hanging="17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8" w:hanging="17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7" w:hanging="17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17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4" w:hanging="17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43" w:hanging="17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7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00" w:hanging="17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29" w:hanging="173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291" w:hanging="17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8" w:hanging="17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7" w:hanging="17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17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4" w:hanging="17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43" w:hanging="17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7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00" w:hanging="17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29" w:hanging="173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67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26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3" w:hanging="26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9" w:hanging="26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6" w:hanging="26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3" w:hanging="26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9" w:hanging="26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6" w:hanging="26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93" w:hanging="267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8" w:hanging="298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</dc:creator>
  <dc:title>Às oito horas e cinqüenta e nove minutos de vinte e oito de outubro de dois mil e sete, na sede deste Conselho Federal, reuniu-se o Plenário do Confea em sua Sessão Ordinária número 1</dc:title>
  <dcterms:created xsi:type="dcterms:W3CDTF">2019-04-12T17:36:56Z</dcterms:created>
  <dcterms:modified xsi:type="dcterms:W3CDTF">2019-04-12T17:36:56Z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2019-04-12T00:00:00Z</vt:filetime>
  </property>
</Properties>
</file>