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Heading1"/>
        <w:spacing w:before="56"/>
        <w:ind w:left="2050"/>
        <w:jc w:val="left"/>
      </w:pPr>
      <w:r>
        <w:rPr/>
        <w:t>DELIBERAÇÃO PLENÁRIA N° 5, DE 15 DE DEZEMBRO DE 2011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4290"/>
      </w:pPr>
      <w:r>
        <w:rPr/>
        <w:t>Institui o Colegiado Permanente das Entidades Nacionais dos Arquitetos e Urbanistas e dá outras providências.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09"/>
        <w:jc w:val="both"/>
      </w:pPr>
      <w:r>
        <w:rPr/>
        <w:t>O Plenário do Conselho de Arquitetura e Urbanismo do Brasil (CAU/BR), na Sessão Plenária Ordinária n° 2, realizada no período de 14 a 15 de dezembro de 2011, no uso das atribuições que lhe conferem os incisos I e X do art. 28 da Lei n° 12.378, de 31 de dezembro de 2010, e os incisos I e XIX do art. 29 do Regimento Geral Provisório aprovado na Sessão Plenária Ordinária n° 1, de 18 de novembro de 2011, e tendo em vista as alterações nesse mesmo Regimento aprovadas na Sessão Plenária Ordinária n° 2, de 14 e 15 de dezembro de</w:t>
      </w:r>
      <w:r>
        <w:rPr>
          <w:spacing w:val="-5"/>
        </w:rPr>
        <w:t> </w:t>
      </w:r>
      <w:r>
        <w:rPr/>
        <w:t>2011;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ind w:left="118"/>
        <w:jc w:val="both"/>
      </w:pPr>
      <w:r>
        <w:rPr/>
        <w:t>DELIBEROU: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118" w:right="110" w:firstLine="0"/>
        <w:jc w:val="both"/>
        <w:rPr>
          <w:sz w:val="22"/>
        </w:rPr>
      </w:pPr>
      <w:r>
        <w:rPr>
          <w:sz w:val="22"/>
        </w:rPr>
        <w:t>Fica instituído no âmbito do Conselho de Arquitetura e Urbanismo do Brasil (CAU/BR), em conformidade com o art. 61 da Lei n° 12.378, de 31 de dezembro de 2010, e com o art. 45 do Regimento Geral Provisório do CAU/BR, na redação aprovada na Sessão Plenária Ordinária n° 2, de 14 e 15 de dezembro de 2011, o Colegiado Permanente das Entidades Nacionais dos Arquitetos e Urbanistas, com atribuição para tratar das questões do ensino e exercício</w:t>
      </w:r>
      <w:r>
        <w:rPr>
          <w:spacing w:val="-7"/>
          <w:sz w:val="22"/>
        </w:rPr>
        <w:t> </w:t>
      </w:r>
      <w:r>
        <w:rPr>
          <w:sz w:val="22"/>
        </w:rPr>
        <w:t>profissional.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21"/>
        <w:jc w:val="both"/>
        <w:rPr>
          <w:sz w:val="22"/>
        </w:rPr>
      </w:pPr>
      <w:r>
        <w:rPr>
          <w:sz w:val="22"/>
        </w:rPr>
        <w:t>O Colegiado Permanente será integrado por representantes das seguintes</w:t>
      </w:r>
      <w:r>
        <w:rPr>
          <w:spacing w:val="-10"/>
          <w:sz w:val="22"/>
        </w:rPr>
        <w:t> </w:t>
      </w:r>
      <w:r>
        <w:rPr>
          <w:sz w:val="22"/>
        </w:rPr>
        <w:t>entidades: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60" w:val="left" w:leader="none"/>
        </w:tabs>
        <w:spacing w:line="240" w:lineRule="auto" w:before="0" w:after="0"/>
        <w:ind w:left="1759" w:right="0" w:hanging="222"/>
        <w:jc w:val="left"/>
        <w:rPr>
          <w:sz w:val="22"/>
        </w:rPr>
      </w:pPr>
      <w:r>
        <w:rPr>
          <w:sz w:val="22"/>
        </w:rPr>
        <w:t>Instituto de Arquitetos do Brasil – Direção Nacional</w:t>
      </w:r>
      <w:r>
        <w:rPr>
          <w:spacing w:val="-8"/>
          <w:sz w:val="22"/>
        </w:rPr>
        <w:t> </w:t>
      </w:r>
      <w:r>
        <w:rPr>
          <w:sz w:val="22"/>
        </w:rPr>
        <w:t>(IAB/DN);</w:t>
      </w:r>
    </w:p>
    <w:p>
      <w:pPr>
        <w:pStyle w:val="ListParagraph"/>
        <w:numPr>
          <w:ilvl w:val="1"/>
          <w:numId w:val="1"/>
        </w:numPr>
        <w:tabs>
          <w:tab w:pos="1770" w:val="left" w:leader="none"/>
        </w:tabs>
        <w:spacing w:line="240" w:lineRule="auto" w:before="1" w:after="0"/>
        <w:ind w:left="1769" w:right="0" w:hanging="232"/>
        <w:jc w:val="left"/>
        <w:rPr>
          <w:sz w:val="22"/>
        </w:rPr>
      </w:pPr>
      <w:r>
        <w:rPr>
          <w:sz w:val="22"/>
        </w:rPr>
        <w:t>Federação Nacional de Arquitetos e Urbanistas</w:t>
      </w:r>
      <w:r>
        <w:rPr>
          <w:spacing w:val="-5"/>
          <w:sz w:val="22"/>
        </w:rPr>
        <w:t> </w:t>
      </w:r>
      <w:r>
        <w:rPr>
          <w:sz w:val="22"/>
        </w:rPr>
        <w:t>(FNA);</w:t>
      </w:r>
    </w:p>
    <w:p>
      <w:pPr>
        <w:pStyle w:val="ListParagraph"/>
        <w:numPr>
          <w:ilvl w:val="1"/>
          <w:numId w:val="1"/>
        </w:numPr>
        <w:tabs>
          <w:tab w:pos="1749" w:val="left" w:leader="none"/>
        </w:tabs>
        <w:spacing w:line="240" w:lineRule="auto" w:before="0" w:after="0"/>
        <w:ind w:left="1748" w:right="0" w:hanging="211"/>
        <w:jc w:val="left"/>
        <w:rPr>
          <w:sz w:val="22"/>
        </w:rPr>
      </w:pPr>
      <w:r>
        <w:rPr>
          <w:sz w:val="22"/>
        </w:rPr>
        <w:t>Associação Brasileira dos Escritórios de Arquitetura</w:t>
      </w:r>
      <w:r>
        <w:rPr>
          <w:spacing w:val="-8"/>
          <w:sz w:val="22"/>
        </w:rPr>
        <w:t> </w:t>
      </w:r>
      <w:r>
        <w:rPr>
          <w:sz w:val="22"/>
        </w:rPr>
        <w:t>(AsBEA);</w:t>
      </w:r>
    </w:p>
    <w:p>
      <w:pPr>
        <w:pStyle w:val="ListParagraph"/>
        <w:numPr>
          <w:ilvl w:val="1"/>
          <w:numId w:val="1"/>
        </w:numPr>
        <w:tabs>
          <w:tab w:pos="1770" w:val="left" w:leader="none"/>
        </w:tabs>
        <w:spacing w:line="240" w:lineRule="auto" w:before="0" w:after="0"/>
        <w:ind w:left="1769" w:right="0" w:hanging="232"/>
        <w:jc w:val="left"/>
        <w:rPr>
          <w:sz w:val="22"/>
        </w:rPr>
      </w:pPr>
      <w:r>
        <w:rPr>
          <w:sz w:val="22"/>
        </w:rPr>
        <w:t>Associação Brasileira de Ensino de Arquitetura e Urbanismo</w:t>
      </w:r>
      <w:r>
        <w:rPr>
          <w:spacing w:val="-10"/>
          <w:sz w:val="22"/>
        </w:rPr>
        <w:t> </w:t>
      </w:r>
      <w:r>
        <w:rPr>
          <w:sz w:val="22"/>
        </w:rPr>
        <w:t>(ABEA);</w:t>
      </w:r>
    </w:p>
    <w:p>
      <w:pPr>
        <w:pStyle w:val="ListParagraph"/>
        <w:numPr>
          <w:ilvl w:val="1"/>
          <w:numId w:val="1"/>
        </w:numPr>
        <w:tabs>
          <w:tab w:pos="1765" w:val="left" w:leader="none"/>
        </w:tabs>
        <w:spacing w:line="240" w:lineRule="auto" w:before="0" w:after="0"/>
        <w:ind w:left="1764" w:right="0" w:hanging="227"/>
        <w:jc w:val="left"/>
        <w:rPr>
          <w:sz w:val="22"/>
        </w:rPr>
      </w:pPr>
      <w:r>
        <w:rPr>
          <w:sz w:val="22"/>
        </w:rPr>
        <w:t>Associação Brasileira de Arquitetos Paisagistas</w:t>
      </w:r>
      <w:r>
        <w:rPr>
          <w:spacing w:val="-7"/>
          <w:sz w:val="22"/>
        </w:rPr>
        <w:t> </w:t>
      </w:r>
      <w:r>
        <w:rPr>
          <w:sz w:val="22"/>
        </w:rPr>
        <w:t>(ABAP).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b/>
        </w:rPr>
        <w:t>2.1. </w:t>
      </w:r>
      <w:r>
        <w:rPr/>
        <w:t>Integrará o Colegiado Permanente, como membro honorário, com direito a voz e sem  direito a voto, a Federação Nacional de Estudantes de Arquitetura e Urbanismo</w:t>
      </w:r>
      <w:r>
        <w:rPr>
          <w:spacing w:val="-7"/>
        </w:rPr>
        <w:t> </w:t>
      </w:r>
      <w:r>
        <w:rPr/>
        <w:t>(FeNEA).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As entidades designadas no item 2 e subitem 2.1 serão representadas no Colegiado Permanente pelo respectivo presidente e por um assessor técnico, facultada a indicação de suplentes para as substituições eventuais.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b/>
        </w:rPr>
        <w:t>3.1. </w:t>
      </w:r>
      <w:r>
        <w:rPr/>
        <w:t>A indicação dos assessores técnicos e dos suplentes observará o que dispuserem os atos constitutivos ou estatutos das respectivas entidades.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118" w:right="109" w:firstLine="0"/>
        <w:jc w:val="both"/>
        <w:rPr>
          <w:sz w:val="22"/>
        </w:rPr>
      </w:pPr>
      <w:r>
        <w:rPr>
          <w:sz w:val="22"/>
        </w:rPr>
        <w:t>Os representantes das entidades representadas no Colegiado Permanente reunir-se-ão, por convocação do Presidente do CAU/BR, para aprovação do regimento interno do</w:t>
      </w:r>
      <w:r>
        <w:rPr>
          <w:spacing w:val="-17"/>
          <w:sz w:val="22"/>
        </w:rPr>
        <w:t> </w:t>
      </w:r>
      <w:r>
        <w:rPr>
          <w:sz w:val="22"/>
        </w:rPr>
        <w:t>Colegiado.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118" w:right="108" w:firstLine="0"/>
        <w:jc w:val="both"/>
        <w:rPr>
          <w:sz w:val="22"/>
        </w:rPr>
      </w:pPr>
      <w:r>
        <w:rPr>
          <w:sz w:val="22"/>
        </w:rPr>
        <w:t>Na primeira reunião que se seguir à convocação de que trata o item 4 o Colegiado Permanente apresentará ao CAU/BR a programação de seus trabalhos de elaboração do regimento interno e de atuação no exercício corrente e no seguinte, com vistas à avaliação e deliberação sobre as despesas a serem suportadas pelo</w:t>
      </w:r>
      <w:r>
        <w:rPr>
          <w:spacing w:val="1"/>
          <w:sz w:val="22"/>
        </w:rPr>
        <w:t> </w:t>
      </w:r>
      <w:r>
        <w:rPr>
          <w:sz w:val="22"/>
        </w:rPr>
        <w:t>CAU/BR.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type w:val="continuous"/>
          <w:pgSz w:w="11910" w:h="16840"/>
          <w:pgMar w:header="708" w:top="2620" w:bottom="280" w:left="13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525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As despesas com as reuniões e atuação do Colegiado Permanente serão suportadas pelo Conselho de Arquitetura e Urbanismo do Brasil (CAU/BR), nos limites e termos previstos nas respectivas dotações orçamentárias.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21"/>
        <w:jc w:val="both"/>
        <w:rPr>
          <w:sz w:val="22"/>
        </w:rPr>
      </w:pPr>
      <w:r>
        <w:rPr>
          <w:sz w:val="22"/>
        </w:rPr>
        <w:t>Esta Deliberação entra em vigor nesta</w:t>
      </w:r>
      <w:r>
        <w:rPr>
          <w:spacing w:val="-3"/>
          <w:sz w:val="22"/>
        </w:rPr>
        <w:t> </w:t>
      </w:r>
      <w:r>
        <w:rPr>
          <w:sz w:val="22"/>
        </w:rPr>
        <w:t>data.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2908" w:right="2903"/>
      </w:pPr>
      <w:r>
        <w:rPr/>
        <w:t>HAROLDO PINHEIRO VILLAR DE QUEIROZ</w:t>
      </w:r>
    </w:p>
    <w:p>
      <w:pPr>
        <w:spacing w:before="0"/>
        <w:ind w:left="2908" w:right="2902" w:firstLine="0"/>
        <w:jc w:val="center"/>
        <w:rPr>
          <w:b/>
          <w:sz w:val="22"/>
        </w:rPr>
      </w:pPr>
      <w:r>
        <w:rPr>
          <w:b/>
          <w:sz w:val="22"/>
        </w:rPr>
        <w:t>Presidente do CAU/BR</w:t>
      </w:r>
    </w:p>
    <w:sectPr>
      <w:pgSz w:w="11910" w:h="16840"/>
      <w:pgMar w:header="708" w:footer="0" w:top="26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2511">
          <wp:simplePos x="0" y="0"/>
          <wp:positionH relativeFrom="page">
            <wp:posOffset>3458209</wp:posOffset>
          </wp:positionH>
          <wp:positionV relativeFrom="page">
            <wp:posOffset>449579</wp:posOffset>
          </wp:positionV>
          <wp:extent cx="822960" cy="812165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6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7.783997pt;margin-top:101.200684pt;width:414.05pt;height:31.75pt;mso-position-horizontal-relative:page;mso-position-vertical-relative:page;z-index:-2920" type="#_x0000_t202" filled="false" stroked="false">
          <v:textbox inset="0,0,0,0">
            <w:txbxContent>
              <w:p>
                <w:pPr>
                  <w:spacing w:before="21"/>
                  <w:ind w:left="2" w:right="2" w:firstLine="0"/>
                  <w:jc w:val="center"/>
                  <w:rPr>
                    <w:rFonts w:ascii="Verdana" w:hAnsi="Verdana"/>
                    <w:b/>
                    <w:sz w:val="22"/>
                  </w:rPr>
                </w:pPr>
                <w:r>
                  <w:rPr>
                    <w:rFonts w:ascii="Verdana" w:hAnsi="Verdana"/>
                    <w:b/>
                    <w:sz w:val="22"/>
                  </w:rPr>
                  <w:t>SERVIÇO PÚBLICO FEDERAL</w:t>
                </w:r>
              </w:p>
              <w:p>
                <w:pPr>
                  <w:spacing w:before="59"/>
                  <w:ind w:left="2" w:right="2" w:firstLine="0"/>
                  <w:jc w:val="center"/>
                  <w:rPr>
                    <w:rFonts w:ascii="Verdana" w:hAnsi="Verdana"/>
                    <w:b/>
                    <w:sz w:val="22"/>
                  </w:rPr>
                </w:pPr>
                <w:r>
                  <w:rPr>
                    <w:rFonts w:ascii="Verdana" w:hAnsi="Verdana"/>
                    <w:b/>
                    <w:sz w:val="22"/>
                  </w:rPr>
                  <w:t>CONSELHO DE ARQUITETURA E URBANISMO DO BRASIL – CAU/BR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118" w:hanging="423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8" w:hanging="42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13" w:hanging="423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2959" w:hanging="423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906" w:hanging="423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853" w:hanging="423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799" w:hanging="423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746" w:hanging="423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693" w:hanging="423"/>
      </w:pPr>
      <w:rPr>
        <w:rFonts w:hint="default"/>
        <w:lang w:val="pt-br" w:eastAsia="pt-br" w:bidi="pt-b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30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lowerLetter"/>
      <w:lvlText w:val="%2)"/>
      <w:lvlJc w:val="left"/>
      <w:pPr>
        <w:ind w:left="1759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629" w:hanging="223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499" w:hanging="223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368" w:hanging="223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5238" w:hanging="223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6108" w:hanging="223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977" w:hanging="223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847" w:hanging="223"/>
      </w:pPr>
      <w:rPr>
        <w:rFonts w:hint="default"/>
        <w:lang w:val="pt-br" w:eastAsia="pt-br" w:bidi="pt-b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2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Calibri" w:hAnsi="Calibri" w:eastAsia="Calibri" w:cs="Calibri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clecia</dc:creator>
  <dc:title>Às oito horas e cinqüenta e nove minutos de vinte e oito de outubro de dois mil e sete, na sede deste Conselho Federal, reuniu-se o Plenário do Confea em sua Sessão Ordinária número 1</dc:title>
  <dcterms:created xsi:type="dcterms:W3CDTF">2019-04-12T17:36:36Z</dcterms:created>
  <dcterms:modified xsi:type="dcterms:W3CDTF">2019-04-12T17:36:36Z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2019-04-12T00:00:00Z</vt:filetime>
  </property>
</Properties>
</file>