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B47F6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47F6A" w:rsidRDefault="00F51FE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47F6A" w:rsidRDefault="00F51FE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B47F6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47F6A" w:rsidRDefault="00F51FE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47F6A" w:rsidRDefault="00F51FE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OCDE </w:t>
            </w:r>
          </w:p>
        </w:tc>
      </w:tr>
      <w:tr w:rsidR="00B47F6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47F6A" w:rsidRDefault="00F51FE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47F6A" w:rsidRDefault="00F51FED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ALTERAÇÃO DA RESOLUÇÃO 49 QUANTO ÀS EXIGÊNCIAS DE RECIPROCIDADE NA LEGISLAÇÃO DO PAÍS DE ORIGEM PARA A REALIZAÇÃO DE SOCIEDADE PERSONIFICADA COM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PESSOA JURÍDICA ESTRANGEIRA </w:t>
            </w:r>
          </w:p>
        </w:tc>
      </w:tr>
    </w:tbl>
    <w:p w:rsidR="00B47F6A" w:rsidRDefault="00F51FED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008/2019 – CRI – CAU/BR</w:t>
      </w:r>
    </w:p>
    <w:p w:rsidR="00B47F6A" w:rsidRDefault="00B47F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47F6A" w:rsidRDefault="00F51FED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RELAÇÕES INTERNACIONAIS – CRI-CAU/BR, reunida ordinariamente em Brasília-DF, na Sede do CAU/BR, no dia 13 de março de 2019,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 do Regimento Interno do CAU/BR, após análise do assunto em epígrafe, e</w:t>
      </w:r>
    </w:p>
    <w:p w:rsidR="00B47F6A" w:rsidRDefault="00B47F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47F6A" w:rsidRDefault="00F51F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Acordo Marco de Cooperação entre o Governo brasileiro e a Organização para a Cooperação e Desenvolvimento Econômico (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OCDE)”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assinado pelo Brasil em 2015, com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objetivo de</w:t>
      </w:r>
    </w:p>
    <w:p w:rsidR="00B47F6A" w:rsidRDefault="00F51F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aprofundar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sistematizar o relacionamento com a OCDE;</w:t>
      </w:r>
    </w:p>
    <w:p w:rsidR="00B47F6A" w:rsidRDefault="00B47F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47F6A" w:rsidRDefault="00F51F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governo brasileiro solicitou, em maio de 2017, a adesão do País aos “Códigos de Liberalização de Movimento de Capital e de Operações Correntes Intangíveis da OCDE”,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que significaria o reconhecimento internacional dos esforços recentes do governo brasileiro de promover um ambiente aberto, estável e atraente para investimentos estrangeiros, assim permitiria a empresas e profissionais brasileiros acesso ao mercados dos 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aíses dos Códigos em condições iguais a concorrentes de outros aderentes, em decorrência de um dos princípios centrais do acordo, o da “não-discriminação”;</w:t>
      </w:r>
    </w:p>
    <w:p w:rsidR="00B47F6A" w:rsidRDefault="00B47F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47F6A" w:rsidRDefault="00F51F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Brasil assinou, em maio de 2018, contrato para iniciar o processo oficial de ade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são aos Códigos de Liberalização, para o qual leis ou normas que seguem o princípio da reciprocidade, ao imporem restrição a residentes de um país que discrimina residentes brasileiros sem estender o mesmo tipo de restrição a outros países, ferem o princíp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io da “não-discriminação” e não podem ser objetos de</w:t>
      </w:r>
    </w:p>
    <w:p w:rsidR="00B47F6A" w:rsidRDefault="00F51F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reservas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dos aderentes, devendo, portanto, ser alteradas;</w:t>
      </w:r>
    </w:p>
    <w:p w:rsidR="00B47F6A" w:rsidRDefault="00B47F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47F6A" w:rsidRDefault="00F51F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nº 49, de 7 de junho de 2013, que dispõe sobre o registro temporário e a baixa de registro de pessoa jurídica 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trangeira nos Conselhos de Arquitetura e Urbanismo dos Estados e do Distrito Federal (CAU/UF), mediante constituição de sociedade personificada com pessoa jurídica brasileira, e dá outras providências;</w:t>
      </w:r>
    </w:p>
    <w:p w:rsidR="00B47F6A" w:rsidRDefault="00B47F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47F6A" w:rsidRDefault="00F51FED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</w:t>
      </w:r>
      <w: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§ 3 do Art. 1º da supracitada resoluçã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o, que determina que a “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sociedade personificada somente poderá ser realizada em associação com pessoa jurídica estrangeira em cujos países de origem </w:t>
      </w:r>
      <w:proofErr w:type="gramStart"/>
      <w:r>
        <w:rPr>
          <w:rFonts w:ascii="Times New Roman" w:eastAsia="Times New Roman" w:hAnsi="Times New Roman"/>
          <w:i/>
          <w:sz w:val="22"/>
          <w:szCs w:val="22"/>
          <w:lang w:eastAsia="pt-BR"/>
        </w:rPr>
        <w:t>a</w:t>
      </w:r>
      <w:proofErr w:type="gramEnd"/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legislação vigente admitir o mesmo tipo de associação com pessoas jurídicas brasileiras para atuarem naqu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eles países na atividade de Arquitetura e Urbanismo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”;</w:t>
      </w:r>
    </w:p>
    <w:p w:rsidR="00B47F6A" w:rsidRDefault="00B47F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47F6A" w:rsidRDefault="00F51F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Comitê de Investimentos da OCDE recomendou que o governo brasileiro procurasse possíveis soluções para a exigência de reciprocidade na provisão de serviços de arquitetura e urbanismo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com o objetivo de adequar o arcabouço legal doméstico às obrigações dos Códigos;</w:t>
      </w:r>
    </w:p>
    <w:p w:rsidR="00B47F6A" w:rsidRDefault="00B47F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47F6A" w:rsidRDefault="00F51F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os países que aderem aos Códigos assumem a obrigação de eliminar, de forma progressiva e unilateral, restrições estabelecidas pela legislação ou práticas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omésticas que discriminem entre residentes e não-residentes nas áreas cobertas pelos Códigos, a saber, realização de investimentos</w:t>
      </w:r>
    </w:p>
    <w:p w:rsidR="00B47F6A" w:rsidRDefault="00F51F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estrangeiros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diretos, movimentação de capital e prestação de serviços;</w:t>
      </w:r>
    </w:p>
    <w:p w:rsidR="00B47F6A" w:rsidRDefault="00B47F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47F6A" w:rsidRDefault="00F51F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que, como medida de transparência e em 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econhecimento das peculiaridades de cada país no que se refere à capacidade de promover processos de liberalização, os membros dos Códigos podem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apor reservas, no momento de sua adesão, que reflitam aspectos da legislação incompatíveis com as obrigações 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Códigos ou justificados por questões de segurança nacional ou saúde pública;</w:t>
      </w:r>
    </w:p>
    <w:p w:rsidR="00B47F6A" w:rsidRDefault="00B47F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47F6A" w:rsidRDefault="00F51F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que, em resposta ao GAD nº 0021400, de 18 de fevereiro de 2019, a equipe do Centro de Serviços Compartilhados informou à Comissão de Relações Internacionais sobre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registro de apenas 3 (três) sociedades personificadas entre pessoas jurídicas brasileiras e estrangeiras no Sistema de Informação e Comunicação do CAU (SICCAU);</w:t>
      </w:r>
    </w:p>
    <w:p w:rsidR="00B47F6A" w:rsidRDefault="00B47F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47F6A" w:rsidRDefault="00F51FED"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proposta de alteração do §3º do Art. 1º da Resolução CAU/BR nº 49, de 7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junho de 2013, apresentada pela Divisão de Negociação e Serviços do Itamaraty, no sentido de dispensar a exigência de reciprocidade imposta pelo dispositivo para pessoas jurídicas estrangeiras cujo país de origem seja aderente aos Códigos de Liberalização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Movimento de Capital e Operações Correntes Intangíveis da Organização para a Cooperação e Desenvolvimento Econômico (OCDE);</w:t>
      </w:r>
      <w:r>
        <w:rPr>
          <w:rFonts w:eastAsia="Times New Roman"/>
        </w:rPr>
        <w:br/>
      </w:r>
    </w:p>
    <w:p w:rsidR="00B47F6A" w:rsidRDefault="00F51F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Comissão de Relações Internacionais se manifesta, a princípio, favoravelmente a essa alteração, mas não tem 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ompetência para deliberar especificamente sobre a matéria, não possuindo subsídios técnicos para analisar amplamente os possíveis impactos desta abertura de mercado;</w:t>
      </w:r>
    </w:p>
    <w:p w:rsidR="00B47F6A" w:rsidRDefault="00B47F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47F6A" w:rsidRDefault="00F51F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compete à Comissão de Exercício Profissional (CEP) apreciar e deliberar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sobre requerimentos de registro temporário de pessoas jurídicas estrangeiras sem sede no Brasil, para homologação do Plenário do CAU/BR; assim como propor, apreciar e deliberar sobre questionamentos a atos já normatizados pelo CAU/BR referentes a registro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pessoas jurídicas;</w:t>
      </w:r>
    </w:p>
    <w:p w:rsidR="00B47F6A" w:rsidRDefault="00B47F6A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B47F6A" w:rsidRDefault="00F51FED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</w:rPr>
        <w:t>Resolução nº 104, de 26 de junho de 2015, que dispõe sobre os procedimentos para aprovação dos atos administrativos do tipo resolução, deliberação e proposta, de competência do CAU, e dá outras providências;</w:t>
      </w:r>
    </w:p>
    <w:p w:rsidR="00B47F6A" w:rsidRDefault="00B47F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47F6A" w:rsidRDefault="00F51FE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B47F6A" w:rsidRDefault="00B47F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47F6A" w:rsidRDefault="00F51FED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1 – Encaminhar à Comissão de Exercício Profissional, comissão competente para a matéria, minuta de projeto de Resolução alterando o Art. 1º da Resolução CAU/BR 49/2013, nos termos propostos pelo Itamaraty, para análise e encaminhamentos nos termos da Res</w:t>
      </w:r>
      <w:r>
        <w:rPr>
          <w:rFonts w:ascii="Times New Roman" w:eastAsia="Times New Roman" w:hAnsi="Times New Roman"/>
          <w:sz w:val="22"/>
          <w:szCs w:val="22"/>
        </w:rPr>
        <w:t xml:space="preserve">olução nº 104, de 26 de junho de 2015; </w:t>
      </w:r>
    </w:p>
    <w:p w:rsidR="00B47F6A" w:rsidRDefault="00B47F6A">
      <w:pPr>
        <w:pStyle w:val="Default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</w:rPr>
      </w:pPr>
    </w:p>
    <w:p w:rsidR="00B47F6A" w:rsidRDefault="00F51FED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2 – Recomendar o encaminhamento do texto para consulta pública, em consonância com os padrões de transparência e comunicação da OCDE.</w:t>
      </w:r>
    </w:p>
    <w:p w:rsidR="00B47F6A" w:rsidRDefault="00B47F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47F6A" w:rsidRDefault="00B47F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47F6A" w:rsidRDefault="00F51FED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13 de março de 2019.</w:t>
      </w:r>
    </w:p>
    <w:p w:rsidR="00B47F6A" w:rsidRDefault="00B47F6A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76"/>
        <w:gridCol w:w="4677"/>
      </w:tblGrid>
      <w:tr w:rsidR="00B47F6A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47F6A" w:rsidRDefault="00F51FED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:rsidR="00B47F6A" w:rsidRDefault="00F51FE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47F6A" w:rsidRDefault="00F51FE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47F6A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47F6A" w:rsidRDefault="00F51FED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B47F6A" w:rsidRDefault="00F51FE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47F6A" w:rsidRDefault="00F51FE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47F6A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47F6A" w:rsidRDefault="00F51FED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B47F6A" w:rsidRDefault="00F51FE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47F6A" w:rsidRDefault="00F51FE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47F6A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47F6A" w:rsidRDefault="00F51FED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B47F6A" w:rsidRDefault="00F51FE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47F6A" w:rsidRDefault="00F51FE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47F6A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47F6A" w:rsidRDefault="00F51FED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B47F6A" w:rsidRDefault="00F51FE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47F6A" w:rsidRDefault="00F51FE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00000" w:rsidRDefault="00F51FED">
      <w:pPr>
        <w:sectPr w:rsidR="00000000">
          <w:headerReference w:type="default" r:id="rId6"/>
          <w:footerReference w:type="default" r:id="rId7"/>
          <w:pgSz w:w="595pt" w:h="842pt"/>
          <w:pgMar w:top="99.25pt" w:right="56.40pt" w:bottom="77.95pt" w:left="77.95pt" w:header="66.35pt" w:footer="29.20pt" w:gutter="0pt"/>
          <w:cols w:space="36pt"/>
        </w:sectPr>
      </w:pPr>
    </w:p>
    <w:p w:rsidR="00B47F6A" w:rsidRDefault="00B47F6A"/>
    <w:sectPr w:rsidR="00B47F6A">
      <w:type w:val="continuous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F51FED">
      <w:r>
        <w:separator/>
      </w:r>
    </w:p>
  </w:endnote>
  <w:endnote w:type="continuationSeparator" w:id="0">
    <w:p w:rsidR="00000000" w:rsidRDefault="00F5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335B3" w:rsidRDefault="00F51FED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4335B3" w:rsidRDefault="00F51FED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F51FED">
      <w:r>
        <w:rPr>
          <w:color w:val="000000"/>
        </w:rPr>
        <w:separator/>
      </w:r>
    </w:p>
  </w:footnote>
  <w:footnote w:type="continuationSeparator" w:id="0">
    <w:p w:rsidR="00000000" w:rsidRDefault="00F51FE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335B3" w:rsidRDefault="00F51FED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47F6A"/>
    <w:rsid w:val="00B47F6A"/>
    <w:rsid w:val="00F5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1192B4D-781A-4AEB-9095-73A26D521D5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962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2019-03-13T13:38:00Z</cp:lastPrinted>
  <dcterms:created xsi:type="dcterms:W3CDTF">2019-04-30T15:41:00Z</dcterms:created>
  <dcterms:modified xsi:type="dcterms:W3CDTF">2019-04-30T15:41:00Z</dcterms:modified>
</cp:coreProperties>
</file>