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4"/>
        <w:gridCol w:w="7438"/>
      </w:tblGrid>
      <w:tr w:rsidR="002916A7" w:rsidRPr="002916A7" w14:paraId="1BAAB6A4" w14:textId="77777777" w:rsidTr="008608B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3E23AF46" w14:textId="77777777" w:rsidR="002916A7" w:rsidRPr="002916A7" w:rsidRDefault="002916A7" w:rsidP="00291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bookmarkStart w:id="0" w:name="_Hlk35511071"/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br w:type="page"/>
              <w:t>PROCESSO</w:t>
            </w:r>
          </w:p>
        </w:tc>
        <w:tc>
          <w:tcPr>
            <w:tcW w:w="74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7A07E35F" w14:textId="77777777" w:rsidR="002916A7" w:rsidRPr="002916A7" w:rsidRDefault="002916A7" w:rsidP="00291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</w:p>
        </w:tc>
      </w:tr>
      <w:tr w:rsidR="002916A7" w:rsidRPr="002916A7" w14:paraId="4DEBC203" w14:textId="77777777" w:rsidTr="008608B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7F2D6041" w14:textId="77777777" w:rsidR="002916A7" w:rsidRPr="002916A7" w:rsidRDefault="002916A7" w:rsidP="002916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INTERESSADO</w:t>
            </w:r>
          </w:p>
        </w:tc>
        <w:tc>
          <w:tcPr>
            <w:tcW w:w="74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0AD2A40A" w14:textId="77777777" w:rsidR="002916A7" w:rsidRPr="002916A7" w:rsidRDefault="002916A7" w:rsidP="00291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CPP-CAU/BR</w:t>
            </w:r>
          </w:p>
        </w:tc>
      </w:tr>
      <w:tr w:rsidR="002916A7" w:rsidRPr="002916A7" w14:paraId="1B24B15D" w14:textId="77777777" w:rsidTr="008608B2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87ED7A3" w14:textId="77777777" w:rsidR="002916A7" w:rsidRPr="002916A7" w:rsidRDefault="002916A7" w:rsidP="008608B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ASSUNTO</w:t>
            </w:r>
          </w:p>
        </w:tc>
        <w:tc>
          <w:tcPr>
            <w:tcW w:w="74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65236D4B" w14:textId="77777777" w:rsidR="002916A7" w:rsidRPr="002916A7" w:rsidRDefault="002916A7" w:rsidP="00291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SOLICITAÇÃO DE TRANSFERÊNCIA, PARA A CONTA DA ASSESSORIA DE COMUNICAÇÃO DO CAUBR, OS RECURSOS DE ATHIS REFERENTE A DIRETRIZ ORÇAMENTÁRIA DOS 2% DO FATURAMENTO LÍQUIDO DO CAU/BR, CONFORME PLANO DE AÇÃO DO CAU/BR-2020, PARA PRODUÇÃO DO DOCUMENTÁRIO DE ATHIS.</w:t>
            </w:r>
          </w:p>
        </w:tc>
      </w:tr>
    </w:tbl>
    <w:p w14:paraId="69B4EB77" w14:textId="77777777" w:rsidR="002916A7" w:rsidRPr="002916A7" w:rsidRDefault="002916A7" w:rsidP="002916A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mallCaps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b/>
          <w:smallCaps/>
          <w:color w:val="auto"/>
          <w:lang w:eastAsia="pt-BR"/>
        </w:rPr>
        <w:t xml:space="preserve"> </w:t>
      </w:r>
      <w:r w:rsidRPr="002916A7">
        <w:rPr>
          <w:rFonts w:ascii="Times New Roman" w:eastAsia="Times New Roman" w:hAnsi="Times New Roman" w:cs="Times New Roman"/>
          <w:smallCaps/>
          <w:color w:val="auto"/>
          <w:lang w:eastAsia="pt-BR"/>
        </w:rPr>
        <w:t>DELIBERAÇÃO Nº 014/2020 – CPP-CAU/BR</w:t>
      </w:r>
    </w:p>
    <w:p w14:paraId="5CBA144A" w14:textId="0AC209FD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A COMISSÃO DE POLÍTICA PROFISSIONAL – CPP-CAU/BR, reunida ordinariamente, sob videoconferência, no dia 8 de julho de 2020, no uso das competências que lhe conferem o art. 104 do Regimento Interno do CAU/BR, após análise do assunto em epígrafe, e</w:t>
      </w:r>
    </w:p>
    <w:p w14:paraId="69A92F7A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A8F37EF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</w:t>
      </w:r>
      <w:r w:rsidRPr="002916A7">
        <w:rPr>
          <w:rFonts w:ascii="Times New Roman" w:eastAsia="Cambria" w:hAnsi="Times New Roman" w:cs="Times New Roman"/>
          <w:color w:val="000000"/>
        </w:rPr>
        <w:t>IV – propor, apreciar e deliberar sobre diretrizes para implementação e difusão de ações visando à valorização profissional;</w:t>
      </w:r>
    </w:p>
    <w:p w14:paraId="036192C9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Cambria" w:hAnsi="Times New Roman" w:cs="Times New Roman"/>
          <w:color w:val="000000"/>
        </w:rPr>
        <w:t> </w:t>
      </w:r>
    </w:p>
    <w:p w14:paraId="5148DD05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</w:t>
      </w:r>
      <w:r w:rsidRPr="002916A7">
        <w:rPr>
          <w:rFonts w:ascii="Times New Roman" w:eastAsia="Cambria" w:hAnsi="Times New Roman" w:cs="Times New Roman"/>
          <w:color w:val="000000"/>
        </w:rPr>
        <w:t>V – propor, apreciar e deliberar sobre ações articuladas de política profissional entre os CAU/UF e o CAU/BR;</w:t>
      </w:r>
    </w:p>
    <w:p w14:paraId="7353E4E7" w14:textId="77777777" w:rsidR="002916A7" w:rsidRPr="002916A7" w:rsidRDefault="002916A7" w:rsidP="002916A7">
      <w:pPr>
        <w:shd w:val="clear" w:color="auto" w:fill="FFFFFF"/>
        <w:spacing w:beforeLines="1" w:before="2" w:afterLines="1" w:after="2" w:line="240" w:lineRule="auto"/>
        <w:jc w:val="both"/>
        <w:rPr>
          <w:rFonts w:ascii="Times New Roman" w:eastAsia="Cambria" w:hAnsi="Times New Roman" w:cs="Times New Roman"/>
          <w:color w:val="000000"/>
        </w:rPr>
      </w:pPr>
    </w:p>
    <w:p w14:paraId="748154D2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Considerando o art. 104 do Regimento Interno do CAU/BR, no Inciso VIII – propor, apreciar e deliberar sobre critérios de uniformização de ações e procedimentos voltados à Assistência Técnica para Habitação de Interesse Social - ATHIS;</w:t>
      </w:r>
    </w:p>
    <w:p w14:paraId="209FF381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34D4F0A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o art. 104 do Regimento Interno do CAU/BR, no Inciso IX – apreciar e deliberar sobre propostas de concessão de apoio institucional a atividades de Assistência Técnica para Habitação de Interesse Social-ATHIS, conforme as diretrizes do Planejamento Estratégico do CAU; </w:t>
      </w:r>
    </w:p>
    <w:p w14:paraId="37DE0ECC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5CEA6B9E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a Pandemia do </w:t>
      </w:r>
      <w:proofErr w:type="spellStart"/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Coronavirus</w:t>
      </w:r>
      <w:proofErr w:type="spellEnd"/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, necessitando de ações do CAU/BR para compreensão desse novo momento social, econômico e profissional vivenciado pelos arquitetos e urbanistas brasileiros; </w:t>
      </w:r>
    </w:p>
    <w:p w14:paraId="282F7F7D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13AB840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Considerando que, para o desenvolvimento deste projeto em tempo exequível, seja necessário um aditamento no contrato da ASCOM – Assessoria de Comunicação do CAU/BR; e</w:t>
      </w:r>
    </w:p>
    <w:p w14:paraId="04BB40ED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EB67720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Considerando que o tema </w:t>
      </w:r>
      <w:r w:rsidRPr="002916A7">
        <w:rPr>
          <w:rFonts w:ascii="Times New Roman" w:eastAsia="Cambria" w:hAnsi="Times New Roman" w:cs="Times New Roman"/>
          <w:color w:val="auto"/>
          <w:lang w:eastAsia="pt-BR"/>
        </w:rPr>
        <w:t>“Assistência Técnica em Habitação de Interesse Social – ATHIS, desenvolvido pela CPP-CAU/BR desde 2014, necessita de um registro audiovisual para que sirva de material educacional nas entidades brasileiras e internacionais sobre o tema, capaz de disseminar a importância e presença do arquiteto e urbanista na sociedade, “Levando Arquitetura e Urbanismo para todos”.</w:t>
      </w:r>
    </w:p>
    <w:p w14:paraId="0306EFBE" w14:textId="77777777" w:rsid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14:paraId="5B878841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b/>
          <w:color w:val="auto"/>
          <w:lang w:eastAsia="pt-BR"/>
        </w:rPr>
        <w:t>DELIBEROU:</w:t>
      </w:r>
    </w:p>
    <w:p w14:paraId="7983067E" w14:textId="77777777" w:rsidR="002916A7" w:rsidRPr="002916A7" w:rsidRDefault="002916A7" w:rsidP="002916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AA6909F" w14:textId="43341082" w:rsidR="002916A7" w:rsidRDefault="002916A7" w:rsidP="00CD1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1 - Solicitar à presidência do CAU/BR a transferência, para a conta da Assessoria de Comunicação do CAUBR, os recursos de ATHIS referente a Diretriz Orçamentária dos 2% do faturamento líquido do CAU/BR, conforme plano de ação do CAU/BR-2020, para produção do Documentário de ATHIS.          </w:t>
      </w:r>
    </w:p>
    <w:p w14:paraId="4869F55A" w14:textId="77777777" w:rsidR="002916A7" w:rsidRDefault="002916A7" w:rsidP="002916A7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FF04BED" w14:textId="168D96CC" w:rsidR="002916A7" w:rsidRPr="002916A7" w:rsidRDefault="002916A7" w:rsidP="00291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>Brasília</w:t>
      </w:r>
      <w:r w:rsidR="00CD13A5">
        <w:rPr>
          <w:rFonts w:ascii="Times New Roman" w:eastAsia="Times New Roman" w:hAnsi="Times New Roman" w:cs="Times New Roman"/>
          <w:color w:val="auto"/>
          <w:lang w:eastAsia="pt-BR"/>
        </w:rPr>
        <w:t>-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DF, </w:t>
      </w:r>
      <w:r>
        <w:rPr>
          <w:rFonts w:ascii="Times New Roman" w:eastAsia="Times New Roman" w:hAnsi="Times New Roman" w:cs="Times New Roman"/>
          <w:color w:val="auto"/>
          <w:lang w:eastAsia="pt-BR"/>
        </w:rPr>
        <w:t>8</w:t>
      </w:r>
      <w:r w:rsidRPr="002916A7">
        <w:rPr>
          <w:rFonts w:ascii="Times New Roman" w:eastAsia="Times New Roman" w:hAnsi="Times New Roman" w:cs="Times New Roman"/>
          <w:color w:val="auto"/>
          <w:lang w:eastAsia="pt-BR"/>
        </w:rPr>
        <w:t xml:space="preserve"> de julho de 2020.</w:t>
      </w:r>
    </w:p>
    <w:p w14:paraId="009D9D17" w14:textId="77777777" w:rsidR="002916A7" w:rsidRPr="002916A7" w:rsidRDefault="002916A7" w:rsidP="002916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36C909A" w14:textId="77777777" w:rsidR="00113048" w:rsidRPr="00D06FF5" w:rsidRDefault="00113048" w:rsidP="00113048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hd w:val="clear" w:color="auto" w:fill="FFFFFF"/>
        </w:rPr>
      </w:pPr>
      <w:r w:rsidRPr="00D06FF5">
        <w:rPr>
          <w:rFonts w:ascii="Times New Roman" w:eastAsia="Cambria" w:hAnsi="Times New Roman" w:cs="Times New Roman"/>
          <w:bCs/>
          <w:color w:val="000000"/>
          <w:spacing w:val="4"/>
          <w:lang w:eastAsia="pt-BR"/>
        </w:rPr>
        <w:t xml:space="preserve">Considerando a autorização do Conselho Diretor, </w:t>
      </w:r>
      <w:r w:rsidRPr="00D06FF5">
        <w:rPr>
          <w:rFonts w:ascii="Times New Roman" w:eastAsia="Cambria" w:hAnsi="Times New Roman" w:cs="Times New Roman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CD13A5">
        <w:rPr>
          <w:rFonts w:ascii="Times New Roman" w:eastAsia="Cambria" w:hAnsi="Times New Roman" w:cs="Times New Roman"/>
          <w:b/>
          <w:bCs/>
          <w:color w:val="000000"/>
          <w:spacing w:val="4"/>
          <w:lang w:eastAsia="pt-BR"/>
        </w:rPr>
        <w:t>atesto a veracidade e a autenticidade das informações prestadas</w:t>
      </w:r>
      <w:r w:rsidRPr="00D06FF5">
        <w:rPr>
          <w:rFonts w:ascii="Times New Roman" w:eastAsia="Cambria" w:hAnsi="Times New Roman" w:cs="Times New Roman"/>
          <w:color w:val="000000"/>
          <w:spacing w:val="4"/>
          <w:lang w:eastAsia="pt-BR"/>
        </w:rPr>
        <w:t>.</w:t>
      </w:r>
    </w:p>
    <w:bookmarkEnd w:id="0"/>
    <w:p w14:paraId="5534DFB2" w14:textId="77777777" w:rsidR="00113048" w:rsidRPr="00D06FF5" w:rsidRDefault="00113048" w:rsidP="00113048">
      <w:pPr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87698B6" w14:textId="77777777" w:rsidR="00113048" w:rsidRPr="00CD13A5" w:rsidRDefault="00113048" w:rsidP="00113048">
      <w:pPr>
        <w:spacing w:before="2" w:after="2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CD13A5">
        <w:rPr>
          <w:rFonts w:ascii="Times New Roman" w:eastAsia="Calibri" w:hAnsi="Times New Roman" w:cs="Times New Roman"/>
          <w:b/>
          <w:bCs/>
          <w:color w:val="auto"/>
        </w:rPr>
        <w:t>DANIELA DEMARTINI</w:t>
      </w:r>
    </w:p>
    <w:p w14:paraId="28CD7149" w14:textId="77777777" w:rsidR="00113048" w:rsidRPr="00D06FF5" w:rsidRDefault="00113048" w:rsidP="0011304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06FF5">
        <w:rPr>
          <w:rFonts w:ascii="Times New Roman" w:eastAsia="Calibri" w:hAnsi="Times New Roman" w:cs="Times New Roman"/>
          <w:color w:val="auto"/>
        </w:rPr>
        <w:t>Secretária-Geral da Mesa do CAU/BR</w:t>
      </w:r>
    </w:p>
    <w:p w14:paraId="3FDBEB62" w14:textId="46AAE966" w:rsidR="00113048" w:rsidRPr="00CD13A5" w:rsidRDefault="002916A7" w:rsidP="00113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CD13A5">
        <w:rPr>
          <w:rFonts w:ascii="Times New Roman" w:eastAsia="Calibri" w:hAnsi="Times New Roman" w:cs="Times New Roman"/>
          <w:b/>
          <w:bCs/>
          <w:color w:val="auto"/>
        </w:rPr>
        <w:lastRenderedPageBreak/>
        <w:t>87</w:t>
      </w:r>
      <w:r w:rsidR="00113048" w:rsidRPr="00CD13A5">
        <w:rPr>
          <w:rFonts w:ascii="Times New Roman" w:eastAsia="Calibri" w:hAnsi="Times New Roman" w:cs="Times New Roman"/>
          <w:b/>
          <w:bCs/>
          <w:color w:val="auto"/>
        </w:rPr>
        <w:t>ª REUNIÃO ORDINÁRIA DA C</w:t>
      </w:r>
      <w:r w:rsidRPr="00CD13A5">
        <w:rPr>
          <w:rFonts w:ascii="Times New Roman" w:eastAsia="Calibri" w:hAnsi="Times New Roman" w:cs="Times New Roman"/>
          <w:b/>
          <w:bCs/>
          <w:color w:val="auto"/>
        </w:rPr>
        <w:t>P</w:t>
      </w:r>
      <w:r w:rsidR="00113048" w:rsidRPr="00CD13A5">
        <w:rPr>
          <w:rFonts w:ascii="Times New Roman" w:eastAsia="Calibri" w:hAnsi="Times New Roman" w:cs="Times New Roman"/>
          <w:b/>
          <w:bCs/>
          <w:color w:val="auto"/>
        </w:rPr>
        <w:t>P-CAU/BR</w:t>
      </w:r>
    </w:p>
    <w:p w14:paraId="72E1EEF5" w14:textId="77777777" w:rsidR="00113048" w:rsidRPr="00D06FF5" w:rsidRDefault="00113048" w:rsidP="0011304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06FF5">
        <w:rPr>
          <w:rFonts w:ascii="Times New Roman" w:eastAsia="Calibri" w:hAnsi="Times New Roman" w:cs="Times New Roman"/>
          <w:color w:val="auto"/>
        </w:rPr>
        <w:t>Videoconferência</w:t>
      </w:r>
    </w:p>
    <w:p w14:paraId="60991D78" w14:textId="77777777" w:rsidR="00113048" w:rsidRPr="00D06FF5" w:rsidRDefault="00113048" w:rsidP="0011304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6D0C7728" w14:textId="77777777" w:rsidR="00113048" w:rsidRPr="00CD13A5" w:rsidRDefault="00113048" w:rsidP="00113048">
      <w:pPr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color w:val="auto"/>
          <w:lang w:eastAsia="pt-BR"/>
        </w:rPr>
      </w:pPr>
      <w:r w:rsidRPr="00CD13A5">
        <w:rPr>
          <w:rFonts w:ascii="Times New Roman" w:eastAsia="Cambria" w:hAnsi="Times New Roman" w:cs="Times New Roman"/>
          <w:b/>
          <w:bCs/>
          <w:color w:val="auto"/>
          <w:lang w:eastAsia="pt-BR"/>
        </w:rPr>
        <w:t>Folha de Votação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993"/>
      </w:tblGrid>
      <w:tr w:rsidR="00113048" w:rsidRPr="00D06FF5" w14:paraId="4C138007" w14:textId="77777777" w:rsidTr="0058032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2F52" w14:textId="77777777" w:rsidR="00113048" w:rsidRPr="00CD13A5" w:rsidRDefault="00113048" w:rsidP="005803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UF</w:t>
            </w:r>
          </w:p>
          <w:p w14:paraId="5CD824F2" w14:textId="77777777" w:rsidR="00113048" w:rsidRPr="00CD13A5" w:rsidRDefault="00113048" w:rsidP="005803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EAE" w14:textId="77777777" w:rsidR="00113048" w:rsidRPr="00CD13A5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1A21B017" w14:textId="77777777" w:rsidR="00113048" w:rsidRPr="00CD13A5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Função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24F8" w14:textId="77777777" w:rsidR="00113048" w:rsidRPr="00CD13A5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Conselheiro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03EE" w14:textId="77777777" w:rsidR="00113048" w:rsidRPr="00CD13A5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Votação</w:t>
            </w:r>
          </w:p>
        </w:tc>
      </w:tr>
      <w:tr w:rsidR="00113048" w:rsidRPr="00D06FF5" w14:paraId="5AA37D38" w14:textId="77777777" w:rsidTr="0058032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59B9" w14:textId="77777777" w:rsidR="00113048" w:rsidRPr="00CD13A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C522" w14:textId="77777777" w:rsidR="00113048" w:rsidRPr="00CD13A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624D" w14:textId="77777777" w:rsidR="00113048" w:rsidRPr="00CD13A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D93E" w14:textId="77777777" w:rsidR="00113048" w:rsidRPr="00CD13A5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2558" w14:textId="77777777" w:rsidR="00113048" w:rsidRPr="00CD13A5" w:rsidRDefault="00113048" w:rsidP="0058032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8AB2" w14:textId="77777777" w:rsidR="00113048" w:rsidRPr="00CD13A5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proofErr w:type="spellStart"/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8D74" w14:textId="77777777" w:rsidR="00113048" w:rsidRPr="00CD13A5" w:rsidRDefault="00113048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proofErr w:type="spellStart"/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Ausên</w:t>
            </w:r>
            <w:proofErr w:type="spellEnd"/>
          </w:p>
        </w:tc>
      </w:tr>
      <w:tr w:rsidR="00113048" w:rsidRPr="00D06FF5" w14:paraId="61B8DC0B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C4A1" w14:textId="10D07E00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34EC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12CE" w14:textId="754267A6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>Josemée</w:t>
            </w:r>
            <w:proofErr w:type="spellEnd"/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Lima</w:t>
            </w:r>
            <w:r w:rsidR="00113048" w:rsidRPr="00D06FF5">
              <w:rPr>
                <w:rFonts w:ascii="Times New Roman" w:eastAsia="Cambria" w:hAnsi="Times New Roman" w:cs="Times New Roman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734" w14:textId="5062BF68" w:rsidR="00113048" w:rsidRPr="00CD13A5" w:rsidRDefault="00CD13A5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516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5C0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88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246081E9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E89" w14:textId="1CB63FAE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3DC1" w14:textId="3F6A24FE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Coordenador-adjunta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19F7" w14:textId="630E285B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snapToGrid w:val="0"/>
                <w:color w:val="000000"/>
              </w:rPr>
              <w:t>Emerson Fraga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E28" w14:textId="30D48293" w:rsidR="00113048" w:rsidRPr="00CD13A5" w:rsidRDefault="00CD13A5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B91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01B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21E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3AB26E1C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889C" w14:textId="022876E2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8EA8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8F88" w14:textId="4569B4D6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Guivaldo Baptista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B4" w14:textId="5C5AF270" w:rsidR="00113048" w:rsidRPr="00CD13A5" w:rsidRDefault="00CD13A5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A6E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FDD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A14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4AA6A4A5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EE87" w14:textId="13555817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063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CCA8" w14:textId="5CCE5E0C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Roseana Vasconcelos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8F0" w14:textId="1108A876" w:rsidR="00113048" w:rsidRPr="00CD13A5" w:rsidRDefault="00CD13A5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C35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21C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262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2AC39D79" w14:textId="77777777" w:rsidTr="00580328">
        <w:trPr>
          <w:trHeight w:val="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2CDF" w14:textId="2CECFB45" w:rsidR="00113048" w:rsidRPr="00D06FF5" w:rsidRDefault="00E107ED" w:rsidP="00E107ED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C8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>Membro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919F" w14:textId="2EB113A4" w:rsidR="00113048" w:rsidRPr="00D06FF5" w:rsidRDefault="002916A7" w:rsidP="002916A7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Eduardo Fajardo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5009" w14:textId="123612A5" w:rsidR="00113048" w:rsidRPr="00CD13A5" w:rsidRDefault="00CD13A5" w:rsidP="0058032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9DB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F34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404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7333AA87" w14:textId="77777777" w:rsidTr="00580328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CF3A4" w14:textId="77777777" w:rsidR="00113048" w:rsidRPr="00D06FF5" w:rsidRDefault="00113048" w:rsidP="0058032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B9566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F3415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DF526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2A5BF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D5C71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01C8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</w:tc>
      </w:tr>
      <w:tr w:rsidR="00113048" w:rsidRPr="00D06FF5" w14:paraId="1AF1B078" w14:textId="77777777" w:rsidTr="00580328">
        <w:trPr>
          <w:trHeight w:val="211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2021F96D" w14:textId="77777777" w:rsidR="00113048" w:rsidRPr="00CD13A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Histórico da votação:</w:t>
            </w:r>
          </w:p>
          <w:p w14:paraId="526A9227" w14:textId="77777777" w:rsidR="00113048" w:rsidRPr="00CD13A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5D75CDEA" w14:textId="0C104755" w:rsidR="00113048" w:rsidRPr="00CD13A5" w:rsidRDefault="00094199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87</w:t>
            </w:r>
            <w:r w:rsidR="00113048"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ª REUNIÃO </w:t>
            </w:r>
            <w:r w:rsidR="00113048" w:rsidRPr="00CD13A5">
              <w:rPr>
                <w:rFonts w:ascii="Times New Roman" w:eastAsia="Calibri" w:hAnsi="Times New Roman" w:cs="Times New Roman"/>
                <w:b/>
                <w:bCs/>
                <w:color w:val="auto"/>
              </w:rPr>
              <w:t>ORDINÁRIA DA C</w:t>
            </w:r>
            <w:r w:rsidR="002916A7" w:rsidRPr="00CD13A5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</w:t>
            </w:r>
            <w:r w:rsidR="00113048" w:rsidRPr="00CD13A5">
              <w:rPr>
                <w:rFonts w:ascii="Times New Roman" w:eastAsia="Calibri" w:hAnsi="Times New Roman" w:cs="Times New Roman"/>
                <w:b/>
                <w:bCs/>
                <w:color w:val="auto"/>
              </w:rPr>
              <w:t>P-CAU/BR</w:t>
            </w:r>
            <w:r w:rsidR="00113048"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</w:t>
            </w:r>
          </w:p>
          <w:p w14:paraId="0B696B7E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64D8050" w14:textId="11B0E942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Data: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2916A7">
              <w:rPr>
                <w:rFonts w:ascii="Times New Roman" w:eastAsia="Cambria" w:hAnsi="Times New Roman" w:cs="Times New Roman"/>
                <w:color w:val="auto"/>
                <w:lang w:eastAsia="pt-BR"/>
              </w:rPr>
              <w:t>8</w:t>
            </w:r>
            <w:r w:rsidRPr="007F6F57">
              <w:rPr>
                <w:rFonts w:ascii="Times New Roman" w:eastAsia="Cambria" w:hAnsi="Times New Roman" w:cs="Times New Roman"/>
                <w:color w:val="auto"/>
                <w:lang w:eastAsia="pt-BR"/>
              </w:rPr>
              <w:t>/7/2020</w:t>
            </w:r>
          </w:p>
          <w:p w14:paraId="4640581A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</w:p>
          <w:p w14:paraId="3F108610" w14:textId="7C5B581A" w:rsidR="00E107ED" w:rsidRPr="002916A7" w:rsidRDefault="00113048" w:rsidP="00E10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Matéria em votação: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8C619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S</w:t>
            </w:r>
            <w:r w:rsidR="008C619F"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olicitação de transferência, para a conta da </w:t>
            </w:r>
            <w:r w:rsidR="008C619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A</w:t>
            </w:r>
            <w:r w:rsidR="008C619F"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ssessoria de </w:t>
            </w:r>
            <w:r w:rsidR="008C619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C</w:t>
            </w:r>
            <w:r w:rsidR="008C619F"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omunicação do CAU</w:t>
            </w:r>
            <w:r w:rsidR="008C619F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/</w:t>
            </w:r>
            <w:r w:rsidR="008C619F"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BR, os recursos de ATHIS referente a diretriz orçamentária dos 2% do faturamento líquido do CAU/BR, conforme plano de ação do CAU/BR-2020, para produção do documentário de ATHIS.</w:t>
            </w:r>
          </w:p>
          <w:p w14:paraId="77F3EAE0" w14:textId="77777777" w:rsidR="00E107ED" w:rsidRDefault="00E107ED" w:rsidP="00E1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2916A7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                                                                         </w:t>
            </w:r>
          </w:p>
          <w:p w14:paraId="227D695C" w14:textId="61F079C2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Resultado da votação: Sim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</w:t>
            </w:r>
            <w:r w:rsidR="00CD13A5">
              <w:rPr>
                <w:rFonts w:ascii="Times New Roman" w:eastAsia="Cambria" w:hAnsi="Times New Roman" w:cs="Times New Roman"/>
                <w:color w:val="auto"/>
                <w:lang w:eastAsia="pt-BR"/>
              </w:rPr>
              <w:t>0</w:t>
            </w:r>
            <w:r w:rsidR="002916A7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  <w:r w:rsidR="00CD13A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Não 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(0) </w:t>
            </w:r>
            <w:r w:rsidR="00CD13A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Abstenções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="00CD13A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Ausências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(0) </w:t>
            </w:r>
            <w:r w:rsidR="00CD13A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Total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(0</w:t>
            </w:r>
            <w:r w:rsidR="00CD13A5"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) </w:t>
            </w:r>
          </w:p>
          <w:p w14:paraId="403FA831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5243B5C" w14:textId="77777777" w:rsidR="00113048" w:rsidRPr="00CD13A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Ocorrências: </w:t>
            </w:r>
          </w:p>
          <w:p w14:paraId="3A063747" w14:textId="77777777" w:rsidR="00113048" w:rsidRPr="00D06FF5" w:rsidRDefault="00113048" w:rsidP="0058032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1B836621" w14:textId="4A61CB73" w:rsidR="00113048" w:rsidRPr="00D06FF5" w:rsidRDefault="00113048" w:rsidP="00CD13A5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Assessoria Técnica: Jorge Moura </w:t>
            </w:r>
            <w:r w:rsid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                 </w:t>
            </w: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Condução dos trabalhos (coordenadora): </w:t>
            </w:r>
            <w:proofErr w:type="spellStart"/>
            <w:r w:rsidR="002916A7"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Josemée</w:t>
            </w:r>
            <w:proofErr w:type="spellEnd"/>
            <w:r w:rsidR="002916A7"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Lima</w:t>
            </w:r>
            <w:r w:rsidRPr="00CD13A5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 </w:t>
            </w:r>
            <w:r w:rsidRPr="00D06FF5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                </w:t>
            </w:r>
          </w:p>
        </w:tc>
      </w:tr>
    </w:tbl>
    <w:p w14:paraId="450BB313" w14:textId="77777777" w:rsidR="00113048" w:rsidRPr="00D06FF5" w:rsidRDefault="00113048" w:rsidP="00113048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p w14:paraId="6CE1C4AE" w14:textId="77777777" w:rsidR="00113048" w:rsidRPr="00D06FF5" w:rsidRDefault="00113048" w:rsidP="00113048"/>
    <w:p w14:paraId="69F07194" w14:textId="2AF7346D" w:rsidR="007A55E4" w:rsidRPr="007A55E4" w:rsidRDefault="00702B94" w:rsidP="00702B94">
      <w:pPr>
        <w:tabs>
          <w:tab w:val="left" w:pos="5112"/>
        </w:tabs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sectPr w:rsidR="007A55E4" w:rsidRPr="007A55E4" w:rsidSect="002916A7">
      <w:headerReference w:type="default" r:id="rId11"/>
      <w:footerReference w:type="default" r:id="rId12"/>
      <w:pgSz w:w="11906" w:h="16838"/>
      <w:pgMar w:top="1673" w:right="849" w:bottom="1134" w:left="1701" w:header="426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138C8" w14:textId="77777777" w:rsidR="00872E1E" w:rsidRDefault="00872E1E" w:rsidP="00EE0A57">
      <w:pPr>
        <w:spacing w:after="0" w:line="240" w:lineRule="auto"/>
      </w:pPr>
      <w:r>
        <w:separator/>
      </w:r>
    </w:p>
  </w:endnote>
  <w:endnote w:type="continuationSeparator" w:id="0">
    <w:p w14:paraId="697D0B4F" w14:textId="77777777" w:rsidR="00872E1E" w:rsidRDefault="00872E1E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  <w:sz w:val="18"/>
        <w:szCs w:val="18"/>
      </w:rPr>
    </w:sdtEndPr>
    <w:sdtContent>
      <w:p w14:paraId="60361774" w14:textId="77777777" w:rsidR="00314C0D" w:rsidRPr="00BC3390" w:rsidRDefault="00687B28">
        <w:pPr>
          <w:pStyle w:val="Rodap"/>
          <w:jc w:val="right"/>
          <w:rPr>
            <w:b/>
            <w:bCs/>
            <w:color w:val="1B6469"/>
            <w:sz w:val="18"/>
            <w:szCs w:val="18"/>
          </w:rPr>
        </w:pPr>
        <w:r w:rsidRPr="00BC3390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BC3390">
          <w:rPr>
            <w:bCs/>
            <w:color w:val="1B6469"/>
            <w:sz w:val="18"/>
            <w:szCs w:val="18"/>
          </w:rPr>
          <w:instrText>PAGE   \* MERGEFORMAT</w:instrText>
        </w:r>
        <w:r w:rsidRPr="00BC3390">
          <w:rPr>
            <w:b/>
            <w:bCs/>
            <w:color w:val="1B6469"/>
            <w:sz w:val="18"/>
            <w:szCs w:val="18"/>
          </w:rPr>
          <w:fldChar w:fldCharType="separate"/>
        </w:r>
        <w:r w:rsidR="00E107ED" w:rsidRPr="00E107ED">
          <w:rPr>
            <w:b/>
            <w:bCs/>
            <w:noProof/>
            <w:color w:val="1B6469"/>
            <w:sz w:val="18"/>
            <w:szCs w:val="18"/>
          </w:rPr>
          <w:t>2</w:t>
        </w:r>
        <w:r w:rsidRPr="00BC3390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162EA7C4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8DEFFBA" wp14:editId="0E055A2A">
          <wp:simplePos x="0" y="0"/>
          <wp:positionH relativeFrom="column">
            <wp:posOffset>-1080135</wp:posOffset>
          </wp:positionH>
          <wp:positionV relativeFrom="paragraph">
            <wp:posOffset>65405</wp:posOffset>
          </wp:positionV>
          <wp:extent cx="7559675" cy="723900"/>
          <wp:effectExtent l="19050" t="0" r="3175" b="0"/>
          <wp:wrapNone/>
          <wp:docPr id="14" name="Imagem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34E26" w14:textId="77777777" w:rsidR="00872E1E" w:rsidRDefault="00872E1E" w:rsidP="00EE0A57">
      <w:pPr>
        <w:spacing w:after="0" w:line="240" w:lineRule="auto"/>
      </w:pPr>
      <w:r>
        <w:separator/>
      </w:r>
    </w:p>
  </w:footnote>
  <w:footnote w:type="continuationSeparator" w:id="0">
    <w:p w14:paraId="7D380E81" w14:textId="77777777" w:rsidR="00872E1E" w:rsidRDefault="00872E1E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ECB2D" w14:textId="77777777" w:rsidR="005C2E15" w:rsidRPr="002916A7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6A9153C5" wp14:editId="644792FE">
          <wp:simplePos x="0" y="0"/>
          <wp:positionH relativeFrom="column">
            <wp:posOffset>-1080135</wp:posOffset>
          </wp:positionH>
          <wp:positionV relativeFrom="paragraph">
            <wp:posOffset>-270510</wp:posOffset>
          </wp:positionV>
          <wp:extent cx="7559675" cy="1085850"/>
          <wp:effectExtent l="19050" t="0" r="317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2916A7">
      <w:rPr>
        <w:color w:val="FFFFFF"/>
        <w:sz w:val="12"/>
        <w:szCs w:val="12"/>
      </w:rPr>
      <w:t>SERVIÇO PÚBLICO FEDERAL</w:t>
    </w:r>
  </w:p>
  <w:p w14:paraId="7ED54619" w14:textId="77777777" w:rsidR="003F6B20" w:rsidRPr="002916A7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CAU/BR - Conselho de Arquitetura e Urbanismo do Brasil</w:t>
    </w:r>
  </w:p>
  <w:p w14:paraId="56EF3B98" w14:textId="77777777" w:rsidR="00C91CA5" w:rsidRPr="002916A7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32CE22A4" w14:textId="77777777" w:rsidR="00C91CA5" w:rsidRPr="002916A7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2916A7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94199"/>
    <w:rsid w:val="000B5EEF"/>
    <w:rsid w:val="000F0C06"/>
    <w:rsid w:val="00113048"/>
    <w:rsid w:val="00113E92"/>
    <w:rsid w:val="00226D06"/>
    <w:rsid w:val="00235DE8"/>
    <w:rsid w:val="00247F5B"/>
    <w:rsid w:val="002916A7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44C3"/>
    <w:rsid w:val="004D49F4"/>
    <w:rsid w:val="00517F84"/>
    <w:rsid w:val="005406D7"/>
    <w:rsid w:val="00565076"/>
    <w:rsid w:val="00570C6D"/>
    <w:rsid w:val="005C2E15"/>
    <w:rsid w:val="005E7182"/>
    <w:rsid w:val="005F6C15"/>
    <w:rsid w:val="00623F7E"/>
    <w:rsid w:val="006758DE"/>
    <w:rsid w:val="00687B28"/>
    <w:rsid w:val="006E5943"/>
    <w:rsid w:val="006F009C"/>
    <w:rsid w:val="00702B94"/>
    <w:rsid w:val="007356C1"/>
    <w:rsid w:val="00756AF0"/>
    <w:rsid w:val="00756D86"/>
    <w:rsid w:val="007A55E4"/>
    <w:rsid w:val="00851604"/>
    <w:rsid w:val="00854073"/>
    <w:rsid w:val="008608B2"/>
    <w:rsid w:val="00872E1E"/>
    <w:rsid w:val="008936F6"/>
    <w:rsid w:val="0089372A"/>
    <w:rsid w:val="008C2D78"/>
    <w:rsid w:val="008C619F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C554C"/>
    <w:rsid w:val="00AD0CD4"/>
    <w:rsid w:val="00B31F78"/>
    <w:rsid w:val="00B52E79"/>
    <w:rsid w:val="00BA0A42"/>
    <w:rsid w:val="00BC3390"/>
    <w:rsid w:val="00C049B1"/>
    <w:rsid w:val="00C07DEB"/>
    <w:rsid w:val="00C56C72"/>
    <w:rsid w:val="00C60C46"/>
    <w:rsid w:val="00C91CA5"/>
    <w:rsid w:val="00CA3343"/>
    <w:rsid w:val="00CB5DBC"/>
    <w:rsid w:val="00CB77DA"/>
    <w:rsid w:val="00CD13A5"/>
    <w:rsid w:val="00CE68C1"/>
    <w:rsid w:val="00D07558"/>
    <w:rsid w:val="00D21C37"/>
    <w:rsid w:val="00D61D98"/>
    <w:rsid w:val="00E0640A"/>
    <w:rsid w:val="00E107ED"/>
    <w:rsid w:val="00E25662"/>
    <w:rsid w:val="00E25860"/>
    <w:rsid w:val="00E54621"/>
    <w:rsid w:val="00E61A2C"/>
    <w:rsid w:val="00E70729"/>
    <w:rsid w:val="00EA4731"/>
    <w:rsid w:val="00EB3889"/>
    <w:rsid w:val="00EC118C"/>
    <w:rsid w:val="00EC24D9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5A3798"/>
  <w15:docId w15:val="{73EEC815-0EB1-46F5-AB10-12D2F0E1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2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8DA0EA-5BB0-4B5E-9C89-099FD92F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Luciana Leite</cp:lastModifiedBy>
  <cp:revision>6</cp:revision>
  <dcterms:created xsi:type="dcterms:W3CDTF">2020-07-09T16:07:00Z</dcterms:created>
  <dcterms:modified xsi:type="dcterms:W3CDTF">2020-07-13T21:40:00Z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