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959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3227E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D95915">
            <w:pPr>
              <w:widowControl w:val="0"/>
              <w:rPr>
                <w:rFonts w:ascii="Times New Roman" w:hAnsi="Times New Roman"/>
                <w:bCs/>
                <w:shd w:val="clear" w:color="auto" w:fill="FFFF00"/>
                <w:lang w:eastAsia="pt-BR"/>
              </w:rPr>
            </w:pPr>
          </w:p>
        </w:tc>
      </w:tr>
      <w:tr w:rsidR="00D959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3227E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3227EE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959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3227E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5915" w:rsidRDefault="003227E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PAGAMENTO DE HONORÁRIOS DE SUCUMBÊNCIA AOS ADVOGADOS DO CAU</w:t>
            </w:r>
          </w:p>
        </w:tc>
      </w:tr>
    </w:tbl>
    <w:p w:rsidR="00D95915" w:rsidRDefault="003227E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05/2019 – (COA-CAU/BR)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31 de janeiro de 2019, no uso das competências que lhe conferem os incisos I e II do art. 102 do Regimento Interno do CAU/BR, após análise do assunto em epígrafe; e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consultas realizadas quanto ao pagamento de honorários advocatícios de sucumbência a advogados dos Conselhos de Arquitetura e Urbanismo dos Estados e do Distrito Federal, em ações judiciais, por meio dos Protocolos SICCAU 559738/2017 e 589380/2017;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previsão legal contida no art. 85, § 1º e 3º da Lei n° 13.105, de 16 de março de 2015 – Novo Código de Processo Civil;</w:t>
      </w:r>
    </w:p>
    <w:p w:rsidR="00D95915" w:rsidRDefault="00D95915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  <w:r>
        <w:rPr>
          <w:sz w:val="22"/>
          <w:szCs w:val="22"/>
        </w:rPr>
        <w:t>Considerando que a Lei n° 13.105, de 2015, prevê, no § 19 do art. 85, que “os advogados públicos perceberão honorários de sucumbência, nos termos da lei”;</w:t>
      </w:r>
    </w:p>
    <w:p w:rsidR="00D95915" w:rsidRDefault="00D95915">
      <w:pPr>
        <w:pStyle w:val="NormalWeb"/>
        <w:shd w:val="clear" w:color="auto" w:fill="FFFFFF"/>
        <w:spacing w:after="0pt"/>
        <w:jc w:val="both"/>
        <w:rPr>
          <w:sz w:val="22"/>
          <w:szCs w:val="22"/>
        </w:rPr>
      </w:pPr>
    </w:p>
    <w:p w:rsidR="00D95915" w:rsidRDefault="003227E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Tribunal de Contas da União (TCU) reconheceu, no Acórdão n° 1.167/2015-Plenário, que “com a superveniência do Novo Código de Processo Civil, os advogados públicos podem perceber honorários de sucumbência, nos termos da lei (art. 85, § 19, da Lei 13.105, de 16/03/2015)”; </w:t>
      </w:r>
      <w:r>
        <w:rPr>
          <w:rFonts w:ascii="Times New Roman" w:hAnsi="Times New Roman"/>
          <w:color w:val="00B0F0"/>
          <w:sz w:val="22"/>
          <w:szCs w:val="22"/>
          <w:lang w:eastAsia="pt-BR"/>
        </w:rPr>
        <w:t xml:space="preserve"> </w:t>
      </w:r>
    </w:p>
    <w:p w:rsidR="00D95915" w:rsidRDefault="00D95915">
      <w:pPr>
        <w:jc w:val="both"/>
        <w:rPr>
          <w:rFonts w:ascii="Times New Roman" w:hAnsi="Times New Roman"/>
          <w:color w:val="00B0F0"/>
          <w:sz w:val="22"/>
          <w:szCs w:val="22"/>
          <w:lang w:eastAsia="pt-BR"/>
        </w:rPr>
      </w:pPr>
    </w:p>
    <w:p w:rsidR="00D95915" w:rsidRDefault="003227EE">
      <w:pPr>
        <w:pStyle w:val="NormalWeb"/>
        <w:shd w:val="clear" w:color="auto" w:fill="FFFFFF"/>
        <w:spacing w:after="0pt"/>
        <w:ind w:end="5.65pt"/>
        <w:jc w:val="both"/>
      </w:pPr>
      <w:r>
        <w:rPr>
          <w:sz w:val="22"/>
          <w:szCs w:val="22"/>
        </w:rPr>
        <w:t>Considerando que o Tribunal de Contas da União (TCU), por meio do Acórdão n° 2.467/2017-Plenário, interpretando a norma contida no § 19 do art. 85 do CPC entendeu que “...</w:t>
      </w:r>
      <w:r>
        <w:rPr>
          <w:i/>
          <w:iCs/>
          <w:sz w:val="22"/>
          <w:szCs w:val="22"/>
        </w:rPr>
        <w:t xml:space="preserve"> é razoável concluir que, atualmente, a única condição posta diz respeito à necessidade de norma regulamentadora sobre a forma de percepção desses honorários”, e ainda que “Diferentemente das disposições sobre o assunto na Lei 8.906/94 (Estatuto da OAB), não está expresso na norma do novo CPC que o recebimento das verbas sucumbenciais pelos advogados públicos seja um direito autônomo, mas sim condicionado à regulamentação”;</w:t>
      </w:r>
    </w:p>
    <w:p w:rsidR="00D95915" w:rsidRDefault="00D95915">
      <w:pPr>
        <w:pStyle w:val="NormalWeb"/>
        <w:shd w:val="clear" w:color="auto" w:fill="FFFFFF"/>
        <w:spacing w:after="0pt"/>
        <w:ind w:end="5.65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65pt"/>
        <w:jc w:val="both"/>
        <w:rPr>
          <w:sz w:val="22"/>
          <w:szCs w:val="22"/>
        </w:rPr>
      </w:pPr>
      <w:r>
        <w:rPr>
          <w:sz w:val="22"/>
          <w:szCs w:val="22"/>
        </w:rPr>
        <w:t>Considerando o disposto nos artigos 21 e 23 da Lei n° 8.906, de 4 de julho de 1994 – Estatuto da Advocacia e da OAB, cuja constitucionalidade foi declarada pelo STF por meio da ADI n° 1194, e que assevera que “os honorários de sucumbência são devidos aos advogados empregados”, bem como que “os honorários incluídos na condenação, por arbitramento ou sucumbência, pertencem ao advogado”;</w:t>
      </w:r>
    </w:p>
    <w:p w:rsidR="00D95915" w:rsidRDefault="00D95915">
      <w:pPr>
        <w:pStyle w:val="NormalWeb"/>
        <w:shd w:val="clear" w:color="auto" w:fill="FFFFFF"/>
        <w:spacing w:before="0.55pt" w:after="0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  <w:r>
        <w:rPr>
          <w:sz w:val="22"/>
          <w:szCs w:val="22"/>
        </w:rPr>
        <w:t>Considerando que a Comissão Nacional da Advocacia Pública da OAB tem entendimento sumulado de que “Os honorários constituem direito autônomo do advogado, seja ele público ou privado. A apropriação dos valores pagos a título de honorários sucumbenciais como se fosse verba pública pelos Entes Federados configura apropriação indevida”;</w:t>
      </w:r>
    </w:p>
    <w:p w:rsidR="00D95915" w:rsidRDefault="00D95915">
      <w:pPr>
        <w:pStyle w:val="NormalWeb"/>
        <w:shd w:val="clear" w:color="auto" w:fill="FFFFFF"/>
        <w:spacing w:after="0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  <w:r>
        <w:rPr>
          <w:sz w:val="22"/>
          <w:szCs w:val="22"/>
        </w:rPr>
        <w:t>Considerando ainda que a referida Comissão possui entendimento pacificado pela Súmula 10, no sentido de que –“Os Advogados Públicos têm os direitos e prerrogativas insertos no Estatuto da OAB”;</w:t>
      </w:r>
    </w:p>
    <w:p w:rsidR="00D95915" w:rsidRDefault="00D95915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  <w:r>
        <w:rPr>
          <w:sz w:val="22"/>
          <w:szCs w:val="22"/>
        </w:rPr>
        <w:t>Considerando que “os honorários constituem direito do advogado e têm natureza alimentar, conforme Súmula Vinculante 47, do Supremo Tribunal Federal – STF, sendo vedada a compensação em caso de sucumbência parcial” a teor do que dispõe o art. 85, § 14 do Código de Processo Civil;</w:t>
      </w:r>
    </w:p>
    <w:p w:rsidR="00D95915" w:rsidRDefault="00D95915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</w:p>
    <w:p w:rsidR="00D95915" w:rsidRDefault="003227EE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Considerando que a matéria vem sendo esparsamente regulamentada pelos CAU/UF a exemplo dos Estados do RN, PB, PE, PI, PR e SP, sendo que seria desejável que houvesse uma uniformização na regulação da matéria;</w:t>
      </w:r>
    </w:p>
    <w:p w:rsidR="00D95915" w:rsidRDefault="00D95915">
      <w:pPr>
        <w:pStyle w:val="NormalWeb"/>
        <w:shd w:val="clear" w:color="auto" w:fill="FFFFFF"/>
        <w:spacing w:after="0pt"/>
        <w:ind w:end="5.40pt"/>
        <w:jc w:val="both"/>
        <w:rPr>
          <w:sz w:val="22"/>
          <w:szCs w:val="22"/>
        </w:rPr>
      </w:pPr>
    </w:p>
    <w:p w:rsidR="00D95915" w:rsidRDefault="003227EE">
      <w:pPr>
        <w:pStyle w:val="Ttulo2"/>
        <w:tabs>
          <w:tab w:val="start" w:pos="70.90pt"/>
        </w:tabs>
        <w:spacing w:before="0pt" w:after="0pt" w:line="13.80pt" w:lineRule="auto"/>
        <w:jc w:val="both"/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pt-BR"/>
        </w:rPr>
        <w:t>Considerando que a Nota Jurídica nº 6/AJ-CAM/2016, de 15 de dezembro de 2016, da Assessoria Jurídica do CAU/BR, é conclusiva no sentido de que a distribuição, pelo CAU/BR e pelos CAU/UF, de honorários de sucumbência, é dependente de lei regulamentadora específica, à vista do disposto no art. 85, § 19 do CPC;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em processos judiciais ocorrem a determinação pelo juiz, inclusive, de honorários advocatícios sucumbenciais;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todos os atos administrativos no âmbito dos entes públicos necessitam atender ao princípio da legalidade, dentre outros, previstos no art. 37, caput, da Constituição Federal; 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71/2018 COA-CAU/BR, de 5 de outubro de 2018, solicitando à Presidência que buscasse, </w:t>
      </w:r>
      <w:r>
        <w:rPr>
          <w:rFonts w:ascii="Times New Roman" w:hAnsi="Times New Roman"/>
          <w:sz w:val="22"/>
          <w:szCs w:val="22"/>
        </w:rPr>
        <w:t xml:space="preserve">junto a outros órgãos e entidades competentes, o esclarecimento da questão relativa à destinação de honorários cobrados administrativamente de seus devedores e dos honorários de sucumbência fixados em sentença dos vencidos nas ações, com vistas à regulação da matéria de modo a que promova a segurança jurídica para o CAU/BR e os CAU/UF; 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95915" w:rsidRDefault="00D95915">
      <w:pPr>
        <w:jc w:val="both"/>
      </w:pPr>
    </w:p>
    <w:p w:rsidR="00D95915" w:rsidRDefault="003227E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95915" w:rsidRDefault="00D959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95915" w:rsidRDefault="003227E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Reiterar à Presidência a solicitação que:</w:t>
      </w:r>
    </w:p>
    <w:p w:rsidR="00D95915" w:rsidRDefault="003227EE">
      <w:pPr>
        <w:pStyle w:val="PargrafodaLista"/>
        <w:numPr>
          <w:ilvl w:val="0"/>
          <w:numId w:val="2"/>
        </w:numPr>
        <w:ind w:start="0pt" w:firstLine="54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Busque, </w:t>
      </w:r>
      <w:r>
        <w:rPr>
          <w:rFonts w:ascii="Times New Roman" w:hAnsi="Times New Roman"/>
          <w:sz w:val="22"/>
          <w:szCs w:val="22"/>
        </w:rPr>
        <w:t>junto a outros órgãos e entidades competentes, o esclarecimento da questão relativa à destinação de honorários cobrados administrativamente de seus devedores e dos honorários de sucumbência fixados em sentença dos vencidos nas ações, com vistas à regulação da matéria de modo a que promova a segurança jurídica para o CAU/BR e os CAU/UF, no prazo de 45 dias do recebimento desta deliberação .</w:t>
      </w:r>
    </w:p>
    <w:p w:rsidR="00D95915" w:rsidRDefault="00D95915">
      <w:pPr>
        <w:pStyle w:val="PargrafodaLista"/>
        <w:rPr>
          <w:rFonts w:ascii="Times New Roman" w:hAnsi="Times New Roman"/>
          <w:sz w:val="22"/>
          <w:szCs w:val="22"/>
        </w:rPr>
      </w:pPr>
    </w:p>
    <w:p w:rsidR="00D95915" w:rsidRDefault="003227E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31 de janeiro de 2019.</w:t>
      </w:r>
    </w:p>
    <w:p w:rsidR="00D95915" w:rsidRDefault="00D95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D9591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95915" w:rsidRDefault="003227EE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D95915" w:rsidRDefault="00D95915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D95915" w:rsidRDefault="003227E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D95915" w:rsidRDefault="003227EE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D95915" w:rsidRDefault="00D9591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95915" w:rsidRDefault="003227E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D95915" w:rsidRDefault="003227EE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95915" w:rsidRDefault="00D9591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95915" w:rsidRDefault="003227E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95915" w:rsidRDefault="003227EE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95915" w:rsidRDefault="003227EE">
      <w:pPr>
        <w:autoSpaceDE w:val="0"/>
      </w:pPr>
      <w:r>
        <w:t xml:space="preserve"> </w:t>
      </w:r>
    </w:p>
    <w:p w:rsidR="00D95915" w:rsidRDefault="003227EE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D95915" w:rsidRDefault="003227EE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D95915" w:rsidRDefault="00D95915">
      <w:pPr>
        <w:jc w:val="center"/>
      </w:pPr>
    </w:p>
    <w:sectPr w:rsidR="00D95915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227EE" w:rsidRDefault="003227EE">
      <w:r>
        <w:separator/>
      </w:r>
    </w:p>
  </w:endnote>
  <w:endnote w:type="continuationSeparator" w:id="0">
    <w:p w:rsidR="003227EE" w:rsidRDefault="0032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72EBE" w:rsidRDefault="00DC79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72EBE" w:rsidRDefault="003227E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C797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227EE" w:rsidRDefault="003227EE">
      <w:r>
        <w:rPr>
          <w:color w:val="000000"/>
        </w:rPr>
        <w:separator/>
      </w:r>
    </w:p>
  </w:footnote>
  <w:footnote w:type="continuationSeparator" w:id="0">
    <w:p w:rsidR="003227EE" w:rsidRDefault="003227E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72EBE" w:rsidRDefault="00DC79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FF2170"/>
    <w:multiLevelType w:val="multilevel"/>
    <w:tmpl w:val="142AFA90"/>
    <w:lvl w:ilvl="0">
      <w:start w:val="1"/>
      <w:numFmt w:val="lowerLetter"/>
      <w:lvlText w:val="%1."/>
      <w:lvlJc w:val="start"/>
      <w:pPr>
        <w:ind w:start="72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108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44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8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216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52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88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24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60pt" w:hanging="9pt"/>
      </w:pPr>
      <w:rPr>
        <w:rFonts w:cs="Times New Roman"/>
      </w:rPr>
    </w:lvl>
  </w:abstractNum>
  <w:abstractNum w:abstractNumId="1" w15:restartNumberingAfterBreak="0">
    <w:nsid w:val="6C3F0AE8"/>
    <w:multiLevelType w:val="multilevel"/>
    <w:tmpl w:val="2820B46E"/>
    <w:lvl w:ilvl="0">
      <w:start w:val="1"/>
      <w:numFmt w:val="decimal"/>
      <w:lvlText w:val="%1-"/>
      <w:lvlJc w:val="start"/>
      <w:pPr>
        <w:ind w:start="54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5"/>
    <w:rsid w:val="003227EE"/>
    <w:rsid w:val="00372EBE"/>
    <w:rsid w:val="00937290"/>
    <w:rsid w:val="00D95915"/>
    <w:rsid w:val="00D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13037A8-EBD4-436F-A774-8272380E11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pPr>
      <w:keepNext/>
      <w:spacing w:before="12pt" w:after="3pt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NormalWeb">
    <w:name w:val="Normal (Web)"/>
    <w:basedOn w:val="Normal"/>
    <w:uiPriority w:val="99"/>
    <w:pPr>
      <w:spacing w:after="10pt"/>
    </w:pPr>
    <w:rPr>
      <w:rFonts w:ascii="Times New Roman" w:hAnsi="Times New Roman"/>
      <w:lang w:eastAsia="pt-BR"/>
    </w:rPr>
  </w:style>
  <w:style w:type="paragraph" w:customStyle="1" w:styleId="tcu">
    <w:name w:val="tcu"/>
    <w:basedOn w:val="Normal"/>
    <w:pPr>
      <w:spacing w:before="5pt" w:after="5pt"/>
    </w:pPr>
    <w:rPr>
      <w:rFonts w:ascii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rPr>
      <w:b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Isabella Maria Oliveira Morato</cp:lastModifiedBy>
  <cp:revision>2</cp:revision>
  <cp:lastPrinted>2019-02-01T12:56:00Z</cp:lastPrinted>
  <dcterms:created xsi:type="dcterms:W3CDTF">2019-05-10T16:02:00Z</dcterms:created>
  <dcterms:modified xsi:type="dcterms:W3CDTF">2019-05-10T16:02:00Z</dcterms:modified>
</cp:coreProperties>
</file>