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2.1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68"/>
      </w:tblGrid>
      <w:tr w:rsidR="00133F4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3F45" w:rsidRDefault="00124B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3F45" w:rsidRDefault="00124B7B">
            <w:pPr>
              <w:pStyle w:val="Recuodecorpodetexto"/>
              <w:ind w:firstLine="0pt"/>
            </w:pPr>
            <w:r>
              <w:rPr>
                <w:szCs w:val="22"/>
              </w:rPr>
              <w:t xml:space="preserve">Protocolo SICCAU n º 763878/2018 – CAU/SC solicita esclarecimentos sobre a extensão dos serviços compreendidos nas atividades técnicas “Execução de Obra” e “Execução de </w:t>
            </w:r>
            <w:r>
              <w:rPr>
                <w:szCs w:val="22"/>
              </w:rPr>
              <w:t xml:space="preserve">Reforma de Edificação” </w:t>
            </w:r>
            <w:r>
              <w:rPr>
                <w:rFonts w:cs="Tahoma"/>
              </w:rPr>
              <w:t>(itens 2.1.1 e 2.1.2 da Res. 21)</w:t>
            </w:r>
          </w:p>
        </w:tc>
      </w:tr>
      <w:tr w:rsidR="00133F4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3F45" w:rsidRDefault="00124B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3F45" w:rsidRDefault="00124B7B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133F4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3F45" w:rsidRDefault="00124B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3.4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3F45" w:rsidRDefault="00124B7B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04 da 78ª Reunião Ordinária da CEP-CAU/BR</w:t>
            </w:r>
          </w:p>
        </w:tc>
      </w:tr>
    </w:tbl>
    <w:p w:rsidR="00133F45" w:rsidRDefault="00124B7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097/2018 – (CEP-CAU/BR)</w:t>
      </w:r>
    </w:p>
    <w:p w:rsidR="00133F45" w:rsidRDefault="00133F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33F45" w:rsidRDefault="00124B7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–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reunida ordinariamente em Brasília-DF, na sede do CAU/BR, nos dias 29 e 30 de novembro de 2018, no uso das competências que lhe conferem o art. 97, 101 e 102 do Regimento Interno do CAU/BR, após análise do assunto em epígrafe, e</w:t>
      </w:r>
    </w:p>
    <w:p w:rsidR="00133F45" w:rsidRDefault="00133F45">
      <w:pPr>
        <w:pStyle w:val="Recuodecorpodetexto"/>
        <w:ind w:firstLine="0pt"/>
        <w:rPr>
          <w:szCs w:val="22"/>
        </w:rPr>
      </w:pPr>
    </w:p>
    <w:p w:rsidR="00133F45" w:rsidRDefault="00124B7B">
      <w:pPr>
        <w:pStyle w:val="Recuodecorpodetexto"/>
        <w:ind w:firstLine="0pt"/>
      </w:pPr>
      <w:r>
        <w:rPr>
          <w:szCs w:val="22"/>
        </w:rPr>
        <w:t xml:space="preserve">Considerando a </w:t>
      </w:r>
      <w:r>
        <w:rPr>
          <w:rFonts w:cs="Tahoma"/>
        </w:rPr>
        <w:t>Deliberação</w:t>
      </w:r>
      <w:r>
        <w:rPr>
          <w:rFonts w:cs="Tahoma"/>
        </w:rPr>
        <w:t xml:space="preserve"> Plenária nº 273/2018 - CAU/SC </w:t>
      </w:r>
      <w:r>
        <w:t>encaminhada ao CAU/BR com solicitação de esclarecimentos acerca d</w:t>
      </w:r>
      <w:r>
        <w:rPr>
          <w:rFonts w:cs="Tahoma"/>
        </w:rPr>
        <w:t>a “extensão dos serviços compreendidos nas atividades técnicas de “Execução de Obra” e “Execução de Reforma de Edificação” (itens 2.1.1 e 2.1.2 da Res. 21),</w:t>
      </w:r>
      <w:r>
        <w:rPr>
          <w:szCs w:val="22"/>
        </w:rPr>
        <w:t xml:space="preserve"> ten</w:t>
      </w:r>
      <w:r>
        <w:rPr>
          <w:szCs w:val="22"/>
        </w:rPr>
        <w:t>do em vista a ausência de outras atividades registradas em RRT que, separadamente, detalham e complementam o serviço de Execução de Obras”;</w:t>
      </w:r>
    </w:p>
    <w:p w:rsidR="00133F45" w:rsidRDefault="00133F45">
      <w:pPr>
        <w:pStyle w:val="Recuodecorpodetexto"/>
        <w:ind w:firstLine="0pt"/>
        <w:rPr>
          <w:rFonts w:eastAsia="Calibri"/>
          <w:szCs w:val="22"/>
        </w:rPr>
      </w:pPr>
    </w:p>
    <w:p w:rsidR="00133F45" w:rsidRDefault="00124B7B">
      <w:pPr>
        <w:pStyle w:val="Recuodecorpodetexto"/>
        <w:ind w:firstLine="0pt"/>
      </w:pPr>
      <w:r>
        <w:rPr>
          <w:rFonts w:eastAsia="Calibri"/>
        </w:rPr>
        <w:t>Considerando a Deliberação nº 49/2018-CEP-CAU/SC com entendimento de que as atividades técnicas 2.1.1 - Execução de</w:t>
      </w:r>
      <w:r>
        <w:rPr>
          <w:rFonts w:eastAsia="Calibri"/>
        </w:rPr>
        <w:t xml:space="preserve"> Obra e 2.1.2 - Execução de Reforma de Edificação, quando utilizadas em RRT, compreendem </w:t>
      </w:r>
      <w:r>
        <w:rPr>
          <w:rFonts w:eastAsia="Calibri"/>
          <w:u w:val="single"/>
        </w:rPr>
        <w:t>todas</w:t>
      </w:r>
      <w:r>
        <w:rPr>
          <w:rFonts w:eastAsia="Calibri"/>
        </w:rPr>
        <w:t xml:space="preserve"> as atividades técnicas de forma implícita, como por exemplo: execução de estruturas e instalações hidrossanitárias e elétricas;</w:t>
      </w:r>
    </w:p>
    <w:p w:rsidR="00133F45" w:rsidRDefault="00133F45">
      <w:pPr>
        <w:pStyle w:val="Recuodecorpodetexto"/>
        <w:ind w:firstLine="0pt"/>
        <w:rPr>
          <w:rFonts w:eastAsia="Calibri"/>
        </w:rPr>
      </w:pPr>
    </w:p>
    <w:p w:rsidR="00133F45" w:rsidRDefault="00124B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na Lei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Federal nº 12.378, de 31 de dezembro de 2010, que em seu art. 2º estabelece as atividades, atribuições e campos de atuação profissional do arquiteto e urbanista;</w:t>
      </w:r>
    </w:p>
    <w:p w:rsidR="00133F45" w:rsidRDefault="00133F45">
      <w:pPr>
        <w:jc w:val="both"/>
        <w:rPr>
          <w:rFonts w:ascii="Times New Roman" w:hAnsi="Times New Roman"/>
          <w:sz w:val="22"/>
          <w:szCs w:val="22"/>
        </w:rPr>
      </w:pPr>
    </w:p>
    <w:p w:rsidR="00133F45" w:rsidRDefault="00124B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3º desta mesma Lei que esclarece que as atividades e atribuiç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ões dos arquitetos e urbanistas são definidas de acordo com os núcleos de conhecimentos de fundamentação e de conhecimentos profissionais das diretrizes curriculares nacionais pertinentes ao curso de graduação em Arquitetura e Urbanismo, definidos na Resol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ução CNE/CES nº 2, de 17 de junho de 2010;</w:t>
      </w:r>
    </w:p>
    <w:p w:rsidR="00133F45" w:rsidRDefault="00133F45">
      <w:pPr>
        <w:jc w:val="both"/>
        <w:rPr>
          <w:rFonts w:ascii="Times New Roman" w:hAnsi="Times New Roman"/>
          <w:sz w:val="22"/>
          <w:szCs w:val="22"/>
        </w:rPr>
      </w:pPr>
    </w:p>
    <w:p w:rsidR="00133F45" w:rsidRDefault="00124B7B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que o art. 3º da Resolução CAU/BR nº 21, de 2012, </w:t>
      </w:r>
      <w:r>
        <w:rPr>
          <w:rFonts w:ascii="Times New Roman" w:hAnsi="Times New Roman"/>
          <w:sz w:val="22"/>
          <w:szCs w:val="22"/>
          <w:lang w:eastAsia="pt-BR"/>
        </w:rPr>
        <w:t xml:space="preserve">que em estrita observância à Lei n° 12.378/ 2010 e à luz da Resolução CNE/CES n° 2/2010, </w:t>
      </w:r>
      <w:r>
        <w:rPr>
          <w:rFonts w:ascii="Times New Roman" w:hAnsi="Times New Roman"/>
          <w:sz w:val="22"/>
          <w:szCs w:val="22"/>
        </w:rPr>
        <w:t>detalha a lista de atividades técnicas de atribuição dos arq</w:t>
      </w:r>
      <w:r>
        <w:rPr>
          <w:rFonts w:ascii="Times New Roman" w:hAnsi="Times New Roman"/>
          <w:sz w:val="22"/>
          <w:szCs w:val="22"/>
        </w:rPr>
        <w:t>uitetos e urbanistas para fins de Registro de Responsabilidade Técnica (RRT), representadas no SICCAU;</w:t>
      </w:r>
    </w:p>
    <w:p w:rsidR="00133F45" w:rsidRDefault="00133F45">
      <w:pPr>
        <w:jc w:val="both"/>
        <w:rPr>
          <w:rFonts w:ascii="Times New Roman" w:hAnsi="Times New Roman"/>
          <w:sz w:val="22"/>
          <w:szCs w:val="22"/>
        </w:rPr>
      </w:pPr>
    </w:p>
    <w:p w:rsidR="00133F45" w:rsidRDefault="00124B7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os Registros de Responsabilidades Técnicas (RRT) não podem ser constituídos por atividades técnicas que </w:t>
      </w:r>
      <w:r>
        <w:rPr>
          <w:rFonts w:ascii="Times New Roman" w:eastAsia="Times New Roman" w:hAnsi="Times New Roman"/>
          <w:b/>
          <w:sz w:val="22"/>
          <w:szCs w:val="22"/>
          <w:u w:val="single"/>
          <w:lang w:eastAsia="pt-BR"/>
        </w:rPr>
        <w:t>não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são da responsabilidade, at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ribuição e campo de atuação do arquiteto e urbanista e para o exercício profissional da Arquitetura e Urbanismo;</w:t>
      </w:r>
    </w:p>
    <w:p w:rsidR="00133F45" w:rsidRDefault="00124B7B">
      <w:pPr>
        <w:jc w:val="both"/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33F45" w:rsidRDefault="00124B7B">
      <w:pPr>
        <w:pStyle w:val="Recuodecorpodetexto"/>
        <w:ind w:firstLine="0pt"/>
      </w:pPr>
      <w:r>
        <w:rPr>
          <w:rFonts w:eastAsia="Cambria"/>
          <w:b/>
          <w:szCs w:val="22"/>
        </w:rPr>
        <w:t>DELIBERA</w:t>
      </w:r>
      <w:r>
        <w:rPr>
          <w:b/>
          <w:szCs w:val="22"/>
        </w:rPr>
        <w:t>:</w:t>
      </w:r>
    </w:p>
    <w:p w:rsidR="00133F45" w:rsidRDefault="00133F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33F45" w:rsidRDefault="00124B7B">
      <w:pPr>
        <w:jc w:val="both"/>
      </w:pPr>
      <w:r>
        <w:rPr>
          <w:rFonts w:ascii="Times New Roman" w:hAnsi="Times New Roman"/>
          <w:sz w:val="22"/>
          <w:szCs w:val="22"/>
        </w:rPr>
        <w:t xml:space="preserve">1 – </w:t>
      </w:r>
      <w:r>
        <w:rPr>
          <w:rFonts w:ascii="Times New Roman" w:hAnsi="Times New Roman"/>
          <w:sz w:val="22"/>
          <w:szCs w:val="22"/>
          <w:lang w:eastAsia="pt-BR"/>
        </w:rPr>
        <w:t>Manifestar-se favorável ao entendimento de que as atividades técnicas referentes aos subitens: 2.1.1 - “Execução de Obra”; 2.1</w:t>
      </w:r>
      <w:r>
        <w:rPr>
          <w:rFonts w:ascii="Times New Roman" w:hAnsi="Times New Roman"/>
          <w:sz w:val="22"/>
          <w:szCs w:val="22"/>
          <w:lang w:eastAsia="pt-BR"/>
        </w:rPr>
        <w:t>.2 - “Execução de Reforma de Edificação”; 2.4.1 - “Execução de Obra de Interiores”; e 2.4.2 - “Execução de Reforma de Interiores”, do art. 3º da Resolução CAU/BR nº 21, de 2012, quando cadastradas no RRT, compreenderá todas atividades técnicas contempladas</w:t>
      </w:r>
      <w:r>
        <w:rPr>
          <w:rFonts w:ascii="Times New Roman" w:hAnsi="Times New Roman"/>
          <w:sz w:val="22"/>
          <w:szCs w:val="22"/>
          <w:lang w:eastAsia="pt-BR"/>
        </w:rPr>
        <w:t xml:space="preserve"> na obra que são da atribuição e campos de atuação do arquiteto e urbanista; </w:t>
      </w:r>
    </w:p>
    <w:p w:rsidR="00133F45" w:rsidRDefault="00133F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33F45" w:rsidRDefault="00124B7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 Recomendar que seja seguido o disposto na Deliberação nº 071/2018-CEP-CAU/BR, sobre as atividades técnicas privativas de outros profissionais regulamentados quando registrad</w:t>
      </w:r>
      <w:r>
        <w:rPr>
          <w:rFonts w:ascii="Times New Roman" w:hAnsi="Times New Roman"/>
          <w:sz w:val="22"/>
          <w:szCs w:val="22"/>
        </w:rPr>
        <w:t>as em RRT; e</w:t>
      </w:r>
    </w:p>
    <w:p w:rsidR="00133F45" w:rsidRDefault="00133F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33F45" w:rsidRDefault="00124B7B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 – Encaminhar à Presidência do CAU/BR para encaminhamento desta Deliberação ao CAU/SC em resposta ao protocolo SICCAU n º 763878/2018.</w:t>
      </w:r>
    </w:p>
    <w:p w:rsidR="00133F45" w:rsidRDefault="00133F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33F45" w:rsidRDefault="00124B7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30 de novembro de 2018.</w:t>
      </w:r>
    </w:p>
    <w:p w:rsidR="00133F45" w:rsidRDefault="00133F4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33F45" w:rsidRDefault="00133F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33F45" w:rsidRDefault="00124B7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33F45" w:rsidRDefault="00124B7B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33F45" w:rsidRDefault="00133F4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33F45" w:rsidRDefault="00124B7B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33F45" w:rsidRDefault="00124B7B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33F45" w:rsidRDefault="00133F45"/>
    <w:p w:rsidR="00133F45" w:rsidRDefault="00124B7B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JOSEMÉE GOMES DE LIMA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133F45" w:rsidRDefault="00124B7B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33F45" w:rsidRDefault="00133F45"/>
    <w:p w:rsidR="00133F45" w:rsidRDefault="00124B7B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133F45" w:rsidRDefault="00124B7B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33F45" w:rsidRDefault="00133F45"/>
    <w:p w:rsidR="00133F45" w:rsidRDefault="00124B7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WERNER </w:t>
      </w:r>
      <w:r>
        <w:rPr>
          <w:rFonts w:ascii="Times New Roman" w:hAnsi="Times New Roman"/>
          <w:b/>
          <w:sz w:val="22"/>
          <w:szCs w:val="22"/>
        </w:rPr>
        <w:t>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133F45" w:rsidRDefault="00124B7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133F45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24B7B">
      <w:r>
        <w:separator/>
      </w:r>
    </w:p>
  </w:endnote>
  <w:endnote w:type="continuationSeparator" w:id="0">
    <w:p w:rsidR="00000000" w:rsidRDefault="0012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MT">
    <w:charset w:characterSet="iso-8859-1"/>
    <w:family w:val="roman"/>
    <w:pitch w:val="default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6602A" w:rsidRDefault="00124B7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6602A" w:rsidRDefault="00124B7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24B7B">
      <w:r>
        <w:rPr>
          <w:color w:val="000000"/>
        </w:rPr>
        <w:separator/>
      </w:r>
    </w:p>
  </w:footnote>
  <w:footnote w:type="continuationSeparator" w:id="0">
    <w:p w:rsidR="00000000" w:rsidRDefault="00124B7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6602A" w:rsidRDefault="00124B7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3F45"/>
    <w:rsid w:val="00124B7B"/>
    <w:rsid w:val="0013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4169769-D426-4F74-B2C7-BB17816F591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3">
    <w:name w:val="heading 3"/>
    <w:basedOn w:val="Normal"/>
    <w:next w:val="Normal"/>
    <w:pPr>
      <w:keepNext/>
      <w:spacing w:before="12pt" w:after="3p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pPr>
      <w:spacing w:before="5pt" w:after="5pt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character" w:customStyle="1" w:styleId="fontstyle01">
    <w:name w:val="fontstyle01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character" w:customStyle="1" w:styleId="label">
    <w:name w:val="label"/>
  </w:style>
  <w:style w:type="character" w:customStyle="1" w:styleId="destaque">
    <w:name w:val="destaque"/>
  </w:style>
  <w:style w:type="character" w:customStyle="1" w:styleId="Ttulo4Char">
    <w:name w:val="Título 4 Char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2018-11-29T19:18:00Z</cp:lastPrinted>
  <dcterms:created xsi:type="dcterms:W3CDTF">2019-08-01T14:05:00Z</dcterms:created>
  <dcterms:modified xsi:type="dcterms:W3CDTF">2019-08-01T14:05:00Z</dcterms:modified>
</cp:coreProperties>
</file>