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C3D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680197/2018 – CAU/SP solicita esclarecimentos sobre a Resolução nº 28, que trata do registro de PJ, em relação ao art. 28 sobre as condições para manutenção do </w:t>
            </w:r>
            <w:r>
              <w:rPr>
                <w:rFonts w:ascii="Times New Roman" w:hAnsi="Times New Roman"/>
                <w:sz w:val="22"/>
                <w:szCs w:val="22"/>
              </w:rPr>
              <w:t>registro e baixa.</w:t>
            </w:r>
          </w:p>
        </w:tc>
      </w:tr>
      <w:tr w:rsidR="007C3D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C3D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C3DBC" w:rsidRDefault="009B575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09 da 76ª Reunião Ordinária da CEP-CAU/BR – apreciar e deliberar</w:t>
            </w:r>
          </w:p>
        </w:tc>
      </w:tr>
    </w:tbl>
    <w:p w:rsidR="007C3DBC" w:rsidRDefault="009B575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081/2018 – (CEP – CAU/BR)</w:t>
      </w:r>
    </w:p>
    <w:p w:rsidR="007C3DBC" w:rsidRDefault="007C3D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04 e 05 de outubro de 2018, no uso das competências que lhe conferem o art. 97, 101 e 102 do Regimento Interno do CAU/BR, após análise do assunto em epígrafe, e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nº 063/2018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AU/SP PRES que encaminha o Memorando nº 06/208/CEP-CAU/SP, solicitando esclarecimentos da CEP-CAU/BR sobre o entendimento para realização da baixa do registro de PJ “de ofício” e os critérios para “manutenção do registro” disposto no parágrafo único do art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28 da Resolução CAU/BR nº 28/2012.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28/2012, nº 48/2013 que dispõem sobre as condições e requisitos para o registro e para as alterações do registro de pessoas jurídicas prestadoras de serviços de Arquitetura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nos CAU/UF. </w:t>
      </w:r>
    </w:p>
    <w:p w:rsidR="007C3DBC" w:rsidRDefault="009B5759">
      <w:pPr>
        <w:ind w:start="35.40pt"/>
        <w:jc w:val="both"/>
        <w:rPr>
          <w:i/>
          <w:iCs/>
          <w:sz w:val="23"/>
          <w:szCs w:val="23"/>
          <w:lang w:eastAsia="pt-BR"/>
        </w:rPr>
      </w:pPr>
      <w:r>
        <w:rPr>
          <w:i/>
          <w:iCs/>
          <w:sz w:val="23"/>
          <w:szCs w:val="23"/>
          <w:lang w:eastAsia="pt-BR"/>
        </w:rPr>
        <w:t xml:space="preserve">Art. 28. Será efetuada a baixa de ofício de registro de pessoa jurídica caso esta tenha sido condenada em processo, cuja penalidade seja o cancelamento do registro no CAU. </w:t>
      </w:r>
    </w:p>
    <w:p w:rsidR="007C3DBC" w:rsidRDefault="009B5759">
      <w:pPr>
        <w:ind w:start="35.40pt"/>
        <w:jc w:val="both"/>
        <w:rPr>
          <w:i/>
          <w:iCs/>
          <w:sz w:val="23"/>
          <w:szCs w:val="23"/>
          <w:lang w:eastAsia="pt-BR"/>
        </w:rPr>
      </w:pPr>
      <w:r>
        <w:rPr>
          <w:i/>
          <w:iCs/>
          <w:sz w:val="23"/>
          <w:szCs w:val="23"/>
          <w:lang w:eastAsia="pt-BR"/>
        </w:rPr>
        <w:t xml:space="preserve">Parágrafo único. Será também admitida a baixa de ofício nos </w:t>
      </w:r>
      <w:r>
        <w:rPr>
          <w:i/>
          <w:iCs/>
          <w:sz w:val="23"/>
          <w:szCs w:val="23"/>
          <w:lang w:eastAsia="pt-BR"/>
        </w:rPr>
        <w:t>casos em que a pessoa jurídica deixe de preencher as condições para a manutenção desse registro, devendo o CAU/UF promover a prévia notificação, com prazo de 30 (trinta) dias, em que seja assegurada a ampla defesa.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8, de 2013, que dispõe sobre a atualização cadastral do registro de pessoa jurídica nos CAU/UF, estabeleceu em seu art. 3º que, na atualização dos dados cadastrais, deverá ser anexada a seguinte documentação: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a) ato constitutivo, devidamente registrado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órgão competente, incluindo as alterações, ou, se for o caso, a consolidação e as alterações posteriores;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b) comprovante de inscrição no Cadastro Nacional de Pessoas Jurídicas (CNPJ);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c) RRT de Cargo ou Função do arquiteto e urbanista indicado como respons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ável técnico;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d) comprovante de vínculo do responsável técnico com a pessoa jurídica registrada.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essa mesma Resolução, em seu art. 4º, estabelece que a pessoa jurídica deverá solicitar a atualização cadastral de seu registro junto ao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UF de sua sede, nos seguintes prazos e condições: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 – até 150 (cento e cinquenta) dias, pessoas jurídicas com a anuidade do exercício corrente paga;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 – até 60 (sessenta) dias, pessoas jurídicas sem a anuidade do exercício corrente paga.</w:t>
      </w: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Parágrafo único.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Uma vez passados os prazos estabelecidos, a pessoa jurídica que não solicitar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>atualização cadastral de seu registro será submetida à restrição de acesso ao SICCAU até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>regularização da situação.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nº 05, de 19 de abril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 da CEP-CAU/BR e</w:t>
      </w:r>
      <w:r>
        <w:rPr>
          <w:rFonts w:ascii="Times New Roman" w:hAnsi="Times New Roman"/>
          <w:sz w:val="20"/>
          <w:szCs w:val="20"/>
        </w:rPr>
        <w:t>stabelece que sejam anotadas no cadastro correspondente ao registro da Pessoa Jurídica no CAU apenas as atividades econômicas constantes da CNAE que estejam relacionadas às atividades técnicas de Arquitetura e Urbanismo, e fixou o prazo de</w:t>
      </w:r>
      <w:r>
        <w:rPr>
          <w:rFonts w:ascii="Times New Roman" w:hAnsi="Times New Roman"/>
          <w:sz w:val="20"/>
          <w:szCs w:val="20"/>
        </w:rPr>
        <w:t xml:space="preserve"> 1 (um) ano (até 20 de abril de 2014) para que os CAU/UF adequassem os cadastros das pessoas jurídicas sob suas jurisdições</w:t>
      </w:r>
      <w:r>
        <w:rPr>
          <w:rFonts w:ascii="Arial" w:hAnsi="Arial" w:cs="Arial"/>
          <w:sz w:val="20"/>
          <w:szCs w:val="20"/>
        </w:rPr>
        <w:t>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pStyle w:val="Recuodecorpodetexto"/>
        <w:spacing w:after="6pt"/>
        <w:ind w:firstLine="0pt"/>
        <w:rPr>
          <w:szCs w:val="22"/>
        </w:rPr>
      </w:pPr>
      <w:r>
        <w:rPr>
          <w:szCs w:val="22"/>
        </w:rPr>
        <w:lastRenderedPageBreak/>
        <w:t>Considerando que a Deliberação nº 11-2016 da CEP-CAU/BR orienta os CAU/UF que:</w:t>
      </w:r>
    </w:p>
    <w:p w:rsidR="007C3DBC" w:rsidRDefault="009B5759">
      <w:pPr>
        <w:pStyle w:val="Recuodecorpodetexto"/>
        <w:ind w:firstLine="0pt"/>
        <w:rPr>
          <w:szCs w:val="22"/>
        </w:rPr>
      </w:pPr>
      <w:r>
        <w:rPr>
          <w:szCs w:val="22"/>
        </w:rPr>
        <w:t>- a migração do registro de PJ do CREA para o CAU,</w:t>
      </w:r>
      <w:r>
        <w:rPr>
          <w:szCs w:val="22"/>
        </w:rPr>
        <w:t xml:space="preserve"> por força da Lei nº 12.378/2010, não constitui direito subjetivo ao exercício das atividades profissionais se dentre essas não houver atividades de Arquitetura e Urbanismo, dentre aquelas listadas na Resolução CAU/BR nº 21/2012, ou seja, o registro migrad</w:t>
      </w:r>
      <w:r>
        <w:rPr>
          <w:szCs w:val="22"/>
        </w:rPr>
        <w:t>o do sistema CONFEA/CREA assegura à pessoa jurídica, exclusivamente, o direito de exercer as atividades técnicas de Arquitetura e Urbanismo que estiverem contempladas em seu objetivo social e em conformidade com a legislação do CAU/BR; e</w:t>
      </w:r>
    </w:p>
    <w:p w:rsidR="007C3DBC" w:rsidRDefault="009B5759">
      <w:pPr>
        <w:pStyle w:val="Recuodecorpodetexto"/>
        <w:ind w:firstLine="0pt"/>
        <w:rPr>
          <w:szCs w:val="22"/>
        </w:rPr>
      </w:pPr>
      <w:r>
        <w:rPr>
          <w:szCs w:val="22"/>
        </w:rPr>
        <w:t>- na hipótese da e</w:t>
      </w:r>
      <w:r>
        <w:rPr>
          <w:szCs w:val="22"/>
        </w:rPr>
        <w:t xml:space="preserve">mpresa estar registrada no CAU, devido à migração do Crea, sem que tenha em seu objetivo social atividades técnicas de Arquitetura e Urbanismo e os requisitos dispostos no art. 1º da Resolução CAU/BR nº 28/2012, o CAU/UF deverá providenciar o cancelamento </w:t>
      </w:r>
      <w:r>
        <w:rPr>
          <w:szCs w:val="22"/>
        </w:rPr>
        <w:t>do referido registro, cabendo à empresa providenciar sua regularização no Conselho profissional competente.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055/2017-CPFi-CAU/BR, Comissão de Planejamento e Finanças do CAU/BR, que dispõe sobre os procedimentos de baixa de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gistro de pessoas jurídicas encerradas ou extintas e sobre a cobrança de anuidades e valores pendentes no caso de comprovação de inatividade;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Rede Integrada de Atendimento (RIA) informou e orientou os CAU/UF sobre a referida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CPFi e sobre os procedimentos por meio do Aviso enviado em 26/9/2017, e sobre o “Tutorial de Baixa, Interrupção e Reativação de Registro de PJ” em Aviso enviado em 16/02/2018; 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048/2017-CPE-CAU/BR, que orienta os CAU/UF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sobre os procedimentos corretos do processo administrativo de cobrança de  anuidades; e</w:t>
      </w:r>
    </w:p>
    <w:p w:rsidR="007C3DBC" w:rsidRDefault="007C3D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nº 060/2018 da CEP-CAU/BR esclarece os procedimentos relativos à registro de pessoas jurídicas nos CAU/UF quanto à inserção de documento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obrigatórios no SICCAU.</w:t>
      </w:r>
    </w:p>
    <w:p w:rsidR="007C3DBC" w:rsidRDefault="007C3D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C3DBC" w:rsidRDefault="009B57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C3DBC" w:rsidRDefault="007C3DBC">
      <w:pPr>
        <w:spacing w:after="6pt"/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1 – Esclarecer que as condições para manutenção do registro da Pessoa Jurídica no CAU, em conformidade com o disposto no Parágrafo Único do art. 28 da Resolução CAU/BR nº 28/2012, são: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C3DBC" w:rsidRDefault="009B5759">
      <w:pPr>
        <w:numPr>
          <w:ilvl w:val="0"/>
          <w:numId w:val="1"/>
        </w:numPr>
        <w:spacing w:after="6pt"/>
        <w:ind w:start="35.70pt" w:hanging="17.85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Possuir em seus objetivos </w:t>
      </w:r>
      <w:r>
        <w:rPr>
          <w:rFonts w:ascii="Times New Roman" w:hAnsi="Times New Roman"/>
          <w:sz w:val="22"/>
          <w:szCs w:val="22"/>
        </w:rPr>
        <w:t xml:space="preserve">sociais, descritos no ato constitutivo (contrato ou estatuto),  a prestação de serviços de Arquitetura e/ou de Urbanismo, dentre aquelas atividades que são da atribuição e campo de atuação dos arquitetos e urbanistas, conforme art. 2º da Lei 12.378/2010 e </w:t>
      </w:r>
      <w:r>
        <w:rPr>
          <w:rFonts w:ascii="Times New Roman" w:hAnsi="Times New Roman"/>
          <w:sz w:val="22"/>
          <w:szCs w:val="22"/>
        </w:rPr>
        <w:t>Resolução CAU/BR nº 21/2012;</w:t>
      </w:r>
    </w:p>
    <w:p w:rsidR="007C3DBC" w:rsidRDefault="009B5759">
      <w:pPr>
        <w:numPr>
          <w:ilvl w:val="0"/>
          <w:numId w:val="1"/>
        </w:numPr>
        <w:spacing w:after="6pt"/>
        <w:ind w:start="35.70pt" w:hanging="17.85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Possuir inscrição no CNPJ com a situação de cadastro ativo e um ou mais CNAE de serviços de Arquitetura ou Urbanismo; e </w:t>
      </w:r>
    </w:p>
    <w:p w:rsidR="007C3DBC" w:rsidRDefault="009B57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Possuir um arquiteto e urbanista como responsável técnico pela Pessoa Jurídica e pelos serviços de Arquite</w:t>
      </w:r>
      <w:r>
        <w:rPr>
          <w:rFonts w:ascii="Times New Roman" w:hAnsi="Times New Roman"/>
          <w:sz w:val="22"/>
          <w:szCs w:val="22"/>
        </w:rPr>
        <w:t>tura ou Urbanismo prestados por esta, comprovado por meio da vinculação de RRT da atividade de Desempenho de Cargo ou Função efetuado no SICCAU.</w:t>
      </w:r>
    </w:p>
    <w:p w:rsidR="007C3DBC" w:rsidRDefault="007C3DBC">
      <w:pPr>
        <w:rPr>
          <w:rFonts w:ascii="Times New Roman" w:hAnsi="Times New Roman"/>
          <w:sz w:val="22"/>
          <w:szCs w:val="22"/>
        </w:rPr>
      </w:pPr>
    </w:p>
    <w:p w:rsidR="007C3DBC" w:rsidRDefault="009B575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2 - Recomendar que os CAU/UF sigam os procedimentos definidos na Resolução CAU/BR nº 48, de 2013 e nas Deliber</w:t>
      </w:r>
      <w:r>
        <w:rPr>
          <w:rFonts w:ascii="Times New Roman" w:hAnsi="Times New Roman"/>
          <w:sz w:val="22"/>
          <w:szCs w:val="22"/>
          <w:lang w:eastAsia="pt-BR"/>
        </w:rPr>
        <w:t>ações nº 05/2013 e nº11/2016 da CEP-CAU/BR para realização da atualização dos dados cadastrais e dos documentos das pessoas jurídicas registradas no SICCAU, principalmente, em relação ao documento do Ato Constitutivo e o cadastro do CNAE relativo aos servi</w:t>
      </w:r>
      <w:r>
        <w:rPr>
          <w:rFonts w:ascii="Times New Roman" w:hAnsi="Times New Roman"/>
          <w:sz w:val="22"/>
          <w:szCs w:val="22"/>
          <w:lang w:eastAsia="pt-BR"/>
        </w:rPr>
        <w:t xml:space="preserve">ços de Arquitetura ou Urbanismo correspondentes ao objetivo social correspondente; </w:t>
      </w:r>
    </w:p>
    <w:p w:rsidR="007C3DBC" w:rsidRDefault="007C3DBC">
      <w:pPr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r>
        <w:rPr>
          <w:rFonts w:ascii="Times New Roman" w:hAnsi="Times New Roman"/>
          <w:sz w:val="22"/>
          <w:szCs w:val="22"/>
        </w:rPr>
        <w:t>3 - Esclarecer que as condições para a interrupção, reativação ou baixa do registro da pessoa jurídica no CAU estão dispostas nos artigos 25 a 28 da Resolução CAU/BR nº 28</w:t>
      </w:r>
      <w:r>
        <w:rPr>
          <w:rFonts w:ascii="Times New Roman" w:hAnsi="Times New Roman"/>
          <w:sz w:val="22"/>
          <w:szCs w:val="22"/>
        </w:rPr>
        <w:t>, de 2012, sendo complementadas pelas orientações e informações disponíveis no Tutorial “BAIXA, INTERRUPÇÃO E REATIVAÇÃO DE REGISTRO PJ – R.01” da Rede Integrada de Atendimento (RIA);</w:t>
      </w:r>
    </w:p>
    <w:p w:rsidR="007C3DBC" w:rsidRDefault="007C3DBC">
      <w:pPr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4 - Esclarecer que para cobrança de dívidas com anuidades e multas das </w:t>
      </w:r>
      <w:r>
        <w:rPr>
          <w:rFonts w:ascii="Times New Roman" w:hAnsi="Times New Roman"/>
          <w:sz w:val="22"/>
          <w:szCs w:val="22"/>
          <w:lang w:eastAsia="pt-BR"/>
        </w:rPr>
        <w:t xml:space="preserve">pessoas jurídicas registradas no CAU e para realização do processo de suspensão por inadimplência, os CAU/UF deverão seguir os procedimentos definidos nas Resoluções CAU/BR nº 121/2016, nº 133/2017 e nº 142/2017, correlatas ao tema, e também a Deliberação </w:t>
      </w:r>
      <w:r>
        <w:rPr>
          <w:rFonts w:ascii="Times New Roman" w:hAnsi="Times New Roman"/>
          <w:sz w:val="22"/>
          <w:szCs w:val="22"/>
          <w:lang w:eastAsia="pt-BR"/>
        </w:rPr>
        <w:t>nº 055/2017 da CPFi-CAU/BR e os avisos e orientações da RIA – Rede Integrada de Atendimento do CAU/BR.</w:t>
      </w:r>
    </w:p>
    <w:p w:rsidR="007C3DBC" w:rsidRDefault="007C3DBC">
      <w:pPr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 – Encaminhar à Presidência do CAU/BR para envio de resposta ao CAU/SP, por meio do Protocolo em epígrafe, e envio à RIA para divulgação a todos os CAU</w:t>
      </w:r>
      <w:r>
        <w:rPr>
          <w:rFonts w:ascii="Times New Roman" w:hAnsi="Times New Roman"/>
          <w:sz w:val="22"/>
          <w:szCs w:val="22"/>
          <w:lang w:eastAsia="pt-BR"/>
        </w:rPr>
        <w:t>/UF do teor desta Deliberação.</w:t>
      </w:r>
    </w:p>
    <w:p w:rsidR="007C3DBC" w:rsidRDefault="007C3DBC">
      <w:pPr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outubro de 2018.</w:t>
      </w:r>
    </w:p>
    <w:p w:rsidR="007C3DBC" w:rsidRDefault="007C3D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7C3DB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C3DBC" w:rsidRDefault="009B575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3DBC" w:rsidRDefault="009B575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C3DBC" w:rsidRDefault="007C3DB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C3DBC" w:rsidRDefault="009B575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C3DBC" w:rsidRDefault="009B575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C3DBC" w:rsidRDefault="007C3DBC"/>
    <w:p w:rsidR="007C3DBC" w:rsidRDefault="009B575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7C3DBC" w:rsidRDefault="009B575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C3DBC" w:rsidRDefault="007C3DBC"/>
    <w:p w:rsidR="007C3DBC" w:rsidRDefault="009B5759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C3DBC" w:rsidRDefault="009B575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C3DBC" w:rsidRDefault="007C3DB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9B575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C3DBC" w:rsidRDefault="009B57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C3DBC" w:rsidRDefault="007C3D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3DBC" w:rsidRDefault="007C3DB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7C3DB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B5759">
      <w:r>
        <w:separator/>
      </w:r>
    </w:p>
  </w:endnote>
  <w:endnote w:type="continuationSeparator" w:id="0">
    <w:p w:rsidR="00000000" w:rsidRDefault="009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070C" w:rsidRDefault="009B575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7070C" w:rsidRDefault="009B57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B5759">
      <w:r>
        <w:rPr>
          <w:color w:val="000000"/>
        </w:rPr>
        <w:separator/>
      </w:r>
    </w:p>
  </w:footnote>
  <w:footnote w:type="continuationSeparator" w:id="0">
    <w:p w:rsidR="00000000" w:rsidRDefault="009B57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070C" w:rsidRDefault="009B575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BF91115"/>
    <w:multiLevelType w:val="multilevel"/>
    <w:tmpl w:val="0CFEB0E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3DBC"/>
    <w:rsid w:val="007C3DBC"/>
    <w:rsid w:val="009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F18916-0DEC-4A1B-A846-3FE109AE4C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Pr>
      <w:rFonts w:ascii="Calibri" w:hAnsi="Calibri"/>
      <w:b w:val="0"/>
      <w:bCs w:val="0"/>
      <w:i w:val="0"/>
      <w:iCs w:val="0"/>
      <w:color w:val="000000"/>
      <w:sz w:val="24"/>
      <w:szCs w:val="24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2019-06-24T18:48:00Z</dcterms:created>
  <dcterms:modified xsi:type="dcterms:W3CDTF">2019-06-24T18:48:00Z</dcterms:modified>
</cp:coreProperties>
</file>