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697085" w:rsidRDefault="00C91050" w:rsidP="00AF16B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384BD4"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SICCAU </w:t>
            </w:r>
            <w:r w:rsidR="00563BE3" w:rsidRPr="00563BE3">
              <w:rPr>
                <w:rFonts w:ascii="Times New Roman" w:hAnsi="Times New Roman"/>
                <w:sz w:val="22"/>
                <w:szCs w:val="22"/>
              </w:rPr>
              <w:t>823514</w:t>
            </w:r>
            <w:r w:rsidR="00563BE3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A977C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A977C6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 w:rsidR="00A977C6" w:rsidRPr="00A977C6">
              <w:rPr>
                <w:rFonts w:ascii="Times New Roman" w:hAnsi="Times New Roman"/>
                <w:sz w:val="22"/>
                <w:szCs w:val="22"/>
              </w:rPr>
              <w:t>06</w:t>
            </w:r>
            <w:r w:rsidRPr="00A977C6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E967C0" w:rsidRPr="00A977C6">
              <w:rPr>
                <w:rFonts w:ascii="Times New Roman" w:hAnsi="Times New Roman"/>
                <w:sz w:val="22"/>
                <w:szCs w:val="22"/>
              </w:rPr>
              <w:t>85</w:t>
            </w:r>
            <w:r w:rsidRPr="00A977C6">
              <w:rPr>
                <w:rFonts w:ascii="Times New Roman" w:hAnsi="Times New Roman"/>
                <w:sz w:val="22"/>
                <w:szCs w:val="22"/>
              </w:rPr>
              <w:t>ª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</w:t>
            </w:r>
            <w:r>
              <w:rPr>
                <w:rFonts w:ascii="Times New Roman" w:hAnsi="Times New Roman"/>
                <w:sz w:val="22"/>
                <w:szCs w:val="22"/>
              </w:rPr>
              <w:t>apreciação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e manifestação da Comissão</w:t>
            </w:r>
          </w:p>
        </w:tc>
      </w:tr>
    </w:tbl>
    <w:p w:rsidR="00DB67C9" w:rsidRPr="004F3A26" w:rsidRDefault="00FD5360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A977C6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057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E50773">
        <w:rPr>
          <w:rFonts w:ascii="Times New Roman" w:hAnsi="Times New Roman"/>
          <w:sz w:val="22"/>
          <w:szCs w:val="22"/>
          <w:lang w:eastAsia="pt-BR"/>
        </w:rPr>
        <w:t xml:space="preserve">8 e </w:t>
      </w:r>
      <w:r w:rsidR="00E967C0">
        <w:rPr>
          <w:rFonts w:ascii="Times New Roman" w:hAnsi="Times New Roman"/>
          <w:sz w:val="22"/>
          <w:szCs w:val="22"/>
          <w:lang w:eastAsia="pt-BR"/>
        </w:rPr>
        <w:t>9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67C0">
        <w:rPr>
          <w:rFonts w:ascii="Times New Roman" w:hAnsi="Times New Roman"/>
          <w:sz w:val="22"/>
          <w:szCs w:val="22"/>
          <w:lang w:eastAsia="pt-BR"/>
        </w:rPr>
        <w:t>agosto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474217" w:rsidRDefault="00474217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560E" w:rsidRPr="00C84E43" w:rsidRDefault="00C9560E" w:rsidP="00C84E43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Lei 12378</w:t>
      </w:r>
      <w:r w:rsidR="00C84E43">
        <w:rPr>
          <w:rFonts w:ascii="Times New Roman" w:hAnsi="Times New Roman"/>
          <w:sz w:val="22"/>
          <w:szCs w:val="22"/>
          <w:lang w:eastAsia="pt-BR"/>
        </w:rPr>
        <w:t xml:space="preserve">/2010 que estabelece em seu </w:t>
      </w:r>
      <w:r w:rsidR="00240C06">
        <w:rPr>
          <w:rFonts w:ascii="Times New Roman" w:hAnsi="Times New Roman"/>
          <w:sz w:val="22"/>
          <w:szCs w:val="22"/>
          <w:lang w:eastAsia="pt-BR"/>
        </w:rPr>
        <w:t>Art. 7º</w:t>
      </w:r>
      <w:r w:rsidR="00C84E43">
        <w:rPr>
          <w:rFonts w:ascii="Times New Roman" w:hAnsi="Times New Roman"/>
          <w:sz w:val="22"/>
          <w:szCs w:val="22"/>
          <w:lang w:eastAsia="pt-BR"/>
        </w:rPr>
        <w:t xml:space="preserve"> que “</w:t>
      </w:r>
      <w:r w:rsidR="00C84E43" w:rsidRPr="00C84E43">
        <w:rPr>
          <w:rFonts w:ascii="Times New Roman" w:hAnsi="Times New Roman"/>
          <w:i/>
          <w:sz w:val="22"/>
          <w:szCs w:val="22"/>
          <w:lang w:eastAsia="pt-BR"/>
        </w:rPr>
        <w:t>Exerce ilegalmente a profissão de arquiteto e urbanista a pessoa física ou jurídica que</w:t>
      </w:r>
      <w:r w:rsidR="00C84E43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C84E43" w:rsidRPr="00C84E43">
        <w:rPr>
          <w:rFonts w:ascii="Times New Roman" w:hAnsi="Times New Roman"/>
          <w:i/>
          <w:sz w:val="22"/>
          <w:szCs w:val="22"/>
          <w:lang w:eastAsia="pt-BR"/>
        </w:rPr>
        <w:t>realizar atos ou prestar serviços, públicos ou privados, privativos dos profissionais de que trata esta Lei ou,</w:t>
      </w:r>
      <w:r w:rsidR="00C84E43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C84E43" w:rsidRPr="00C84E43">
        <w:rPr>
          <w:rFonts w:ascii="Times New Roman" w:hAnsi="Times New Roman"/>
          <w:i/>
          <w:sz w:val="22"/>
          <w:szCs w:val="22"/>
          <w:lang w:eastAsia="pt-BR"/>
        </w:rPr>
        <w:t>ainda, que, mesmo não realizando atos privativos, se apresenta como arquiteto e urbanista ou como</w:t>
      </w:r>
      <w:r w:rsidR="00C84E43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C84E43" w:rsidRPr="00C84E43">
        <w:rPr>
          <w:rFonts w:ascii="Times New Roman" w:hAnsi="Times New Roman"/>
          <w:i/>
          <w:sz w:val="22"/>
          <w:szCs w:val="22"/>
          <w:lang w:eastAsia="pt-BR"/>
        </w:rPr>
        <w:t xml:space="preserve">pessoa jurídica que atue na área de arquitetura </w:t>
      </w:r>
      <w:r w:rsidR="00C84E43">
        <w:rPr>
          <w:rFonts w:ascii="Times New Roman" w:hAnsi="Times New Roman"/>
          <w:i/>
          <w:sz w:val="22"/>
          <w:szCs w:val="22"/>
          <w:lang w:eastAsia="pt-BR"/>
        </w:rPr>
        <w:t>e urbanismo sem registro no CAU”;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5B02" w:rsidRPr="00DE5B02" w:rsidRDefault="00C9560E" w:rsidP="00DE5B02">
      <w:pPr>
        <w:jc w:val="both"/>
        <w:rPr>
          <w:rFonts w:ascii="Times New Roman" w:hAnsi="Times New Roman"/>
          <w:i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Resolução </w:t>
      </w:r>
      <w:r w:rsidR="0080145B">
        <w:rPr>
          <w:rFonts w:ascii="Times New Roman" w:hAnsi="Times New Roman"/>
          <w:sz w:val="22"/>
          <w:szCs w:val="22"/>
          <w:lang w:eastAsia="pt-BR"/>
        </w:rPr>
        <w:t xml:space="preserve">CAU/BR nº </w:t>
      </w:r>
      <w:r w:rsidR="00563BE3">
        <w:rPr>
          <w:rFonts w:ascii="Times New Roman" w:hAnsi="Times New Roman"/>
          <w:sz w:val="22"/>
          <w:szCs w:val="22"/>
          <w:lang w:eastAsia="pt-BR"/>
        </w:rPr>
        <w:t>28</w:t>
      </w:r>
      <w:r w:rsidR="0080145B">
        <w:rPr>
          <w:rFonts w:ascii="Times New Roman" w:hAnsi="Times New Roman"/>
          <w:sz w:val="22"/>
          <w:szCs w:val="22"/>
          <w:lang w:eastAsia="pt-BR"/>
        </w:rPr>
        <w:t>/20</w:t>
      </w:r>
      <w:r w:rsidR="00563BE3">
        <w:rPr>
          <w:rFonts w:ascii="Times New Roman" w:hAnsi="Times New Roman"/>
          <w:sz w:val="22"/>
          <w:szCs w:val="22"/>
          <w:lang w:eastAsia="pt-BR"/>
        </w:rPr>
        <w:t>12</w:t>
      </w:r>
      <w:r w:rsidR="00D83306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C84E43">
        <w:rPr>
          <w:rFonts w:ascii="Times New Roman" w:hAnsi="Times New Roman"/>
          <w:sz w:val="22"/>
          <w:szCs w:val="22"/>
          <w:lang w:eastAsia="pt-BR"/>
        </w:rPr>
        <w:t xml:space="preserve"> estabelece</w:t>
      </w:r>
      <w:r w:rsidR="00D8330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E5B02">
        <w:rPr>
          <w:rFonts w:ascii="Times New Roman" w:hAnsi="Times New Roman"/>
          <w:sz w:val="22"/>
          <w:szCs w:val="22"/>
          <w:lang w:eastAsia="pt-BR"/>
        </w:rPr>
        <w:t>em seu Art. 1º que “</w:t>
      </w:r>
      <w:r w:rsidR="00DE5B02" w:rsidRPr="00DE5B02">
        <w:rPr>
          <w:rFonts w:ascii="Times New Roman" w:hAnsi="Times New Roman"/>
          <w:i/>
          <w:sz w:val="22"/>
          <w:szCs w:val="22"/>
          <w:lang w:eastAsia="pt-BR"/>
        </w:rPr>
        <w:t>ficam</w:t>
      </w:r>
      <w:r w:rsidR="00DE5B02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DE5B02" w:rsidRPr="00DE5B02">
        <w:rPr>
          <w:rFonts w:ascii="Times New Roman" w:hAnsi="Times New Roman"/>
          <w:i/>
          <w:sz w:val="22"/>
          <w:szCs w:val="22"/>
          <w:lang w:eastAsia="pt-BR"/>
        </w:rPr>
        <w:t>obrigadas ao registro nos Conselhos de Arquitetura e Urbanismo dos Estados e do Distrito</w:t>
      </w:r>
      <w:r w:rsidR="00DE5B02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DE5B02" w:rsidRPr="00DE5B02">
        <w:rPr>
          <w:rFonts w:ascii="Times New Roman" w:hAnsi="Times New Roman"/>
          <w:i/>
          <w:sz w:val="22"/>
          <w:szCs w:val="22"/>
          <w:lang w:eastAsia="pt-BR"/>
        </w:rPr>
        <w:t>Federal (CAU/UF):</w:t>
      </w:r>
    </w:p>
    <w:p w:rsidR="00DE5B02" w:rsidRPr="00DE5B02" w:rsidRDefault="00DE5B02" w:rsidP="00DE5B02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DE5B02">
        <w:rPr>
          <w:rFonts w:ascii="Times New Roman" w:hAnsi="Times New Roman"/>
          <w:i/>
          <w:sz w:val="22"/>
          <w:szCs w:val="22"/>
          <w:lang w:eastAsia="pt-BR"/>
        </w:rPr>
        <w:t>I - as pessoas jurídicas que tenham por objetivo social o exercício de atividades profissionais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DE5B02">
        <w:rPr>
          <w:rFonts w:ascii="Times New Roman" w:hAnsi="Times New Roman"/>
          <w:i/>
          <w:sz w:val="22"/>
          <w:szCs w:val="22"/>
          <w:lang w:eastAsia="pt-BR"/>
        </w:rPr>
        <w:t>privativas de arquitetos e urbanistas;</w:t>
      </w:r>
    </w:p>
    <w:p w:rsidR="00DE5B02" w:rsidRPr="00DE5B02" w:rsidRDefault="00DE5B02" w:rsidP="00DE5B02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DE5B02">
        <w:rPr>
          <w:rFonts w:ascii="Times New Roman" w:hAnsi="Times New Roman"/>
          <w:i/>
          <w:sz w:val="22"/>
          <w:szCs w:val="22"/>
          <w:lang w:eastAsia="pt-BR"/>
        </w:rPr>
        <w:t>II - as pessoas jurídicas que tenham em seus objetivos sociais o exercício de atividades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DE5B02">
        <w:rPr>
          <w:rFonts w:ascii="Times New Roman" w:hAnsi="Times New Roman"/>
          <w:i/>
          <w:sz w:val="22"/>
          <w:szCs w:val="22"/>
          <w:lang w:eastAsia="pt-BR"/>
        </w:rPr>
        <w:t>privativas de arquitetos e urbanistas cumulativamente com atividades em outras áreas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DE5B02">
        <w:rPr>
          <w:rFonts w:ascii="Times New Roman" w:hAnsi="Times New Roman"/>
          <w:i/>
          <w:sz w:val="22"/>
          <w:szCs w:val="22"/>
          <w:lang w:eastAsia="pt-BR"/>
        </w:rPr>
        <w:t>profissionais não vinculadas ao Conselho de Arquitetura e Urbanismo;</w:t>
      </w:r>
    </w:p>
    <w:p w:rsidR="00C9560E" w:rsidRPr="00DE5B02" w:rsidRDefault="00DE5B02" w:rsidP="00DE5B02">
      <w:pPr>
        <w:ind w:start="56.70pt"/>
        <w:jc w:val="both"/>
        <w:rPr>
          <w:rFonts w:ascii="Times New Roman" w:hAnsi="Times New Roman"/>
          <w:i/>
          <w:sz w:val="22"/>
          <w:szCs w:val="22"/>
          <w:lang w:eastAsia="pt-BR"/>
        </w:rPr>
      </w:pPr>
      <w:r w:rsidRPr="00DE5B02">
        <w:rPr>
          <w:rFonts w:ascii="Times New Roman" w:hAnsi="Times New Roman"/>
          <w:i/>
          <w:sz w:val="22"/>
          <w:szCs w:val="22"/>
          <w:lang w:eastAsia="pt-BR"/>
        </w:rPr>
        <w:t>III - as pessoas jurídicas que tenham em seus objetivos sociais o exercício de atividades de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DE5B02">
        <w:rPr>
          <w:rFonts w:ascii="Times New Roman" w:hAnsi="Times New Roman"/>
          <w:i/>
          <w:sz w:val="22"/>
          <w:szCs w:val="22"/>
          <w:lang w:eastAsia="pt-BR"/>
        </w:rPr>
        <w:t>arquitetos e urbanistas compartilhadas com outras áreas profissionais, cujo responsável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Pr="00DE5B02">
        <w:rPr>
          <w:rFonts w:ascii="Times New Roman" w:hAnsi="Times New Roman"/>
          <w:i/>
          <w:sz w:val="22"/>
          <w:szCs w:val="22"/>
          <w:lang w:eastAsia="pt-BR"/>
        </w:rPr>
        <w:t>técnico seja arquiteto e urbanista</w:t>
      </w:r>
      <w:r>
        <w:rPr>
          <w:rFonts w:ascii="Times New Roman" w:hAnsi="Times New Roman"/>
          <w:i/>
          <w:sz w:val="22"/>
          <w:szCs w:val="22"/>
          <w:lang w:eastAsia="pt-BR"/>
        </w:rPr>
        <w:t>”</w:t>
      </w:r>
    </w:p>
    <w:p w:rsidR="00C9560E" w:rsidRDefault="00C9560E" w:rsidP="0069708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C06" w:rsidRDefault="00240C06" w:rsidP="00240C0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Pr="001D26DB">
        <w:t xml:space="preserve"> </w:t>
      </w:r>
      <w:r>
        <w:t>D</w:t>
      </w:r>
      <w:r w:rsidRPr="001D26DB">
        <w:rPr>
          <w:rFonts w:ascii="Times New Roman" w:hAnsi="Times New Roman"/>
          <w:sz w:val="22"/>
          <w:szCs w:val="22"/>
          <w:lang w:eastAsia="pt-BR"/>
        </w:rPr>
        <w:t xml:space="preserve">eliberação nº </w:t>
      </w:r>
      <w:r>
        <w:rPr>
          <w:rFonts w:ascii="Times New Roman" w:hAnsi="Times New Roman"/>
          <w:sz w:val="22"/>
          <w:szCs w:val="22"/>
          <w:lang w:eastAsia="pt-BR"/>
        </w:rPr>
        <w:t xml:space="preserve">029/2019 CEP-CAU/BR que esclarece as condições </w:t>
      </w:r>
      <w:r w:rsidRPr="0069433F"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 xml:space="preserve">deferimento, </w:t>
      </w:r>
      <w:r w:rsidRPr="0069433F">
        <w:rPr>
          <w:rFonts w:ascii="Times New Roman" w:hAnsi="Times New Roman"/>
          <w:sz w:val="22"/>
          <w:szCs w:val="22"/>
        </w:rPr>
        <w:t>efetivação e manutenção do registro</w:t>
      </w:r>
      <w:r>
        <w:rPr>
          <w:rFonts w:ascii="Times New Roman" w:hAnsi="Times New Roman"/>
          <w:sz w:val="22"/>
          <w:szCs w:val="22"/>
        </w:rPr>
        <w:t xml:space="preserve"> de </w:t>
      </w:r>
      <w:r w:rsidRPr="001464C9">
        <w:rPr>
          <w:rFonts w:ascii="Times New Roman" w:hAnsi="Times New Roman"/>
          <w:sz w:val="22"/>
          <w:szCs w:val="22"/>
        </w:rPr>
        <w:t>Pessoas Jurídicas no CAU como empresas prestadoras de serviços de Arquitetura e Urbanismo</w:t>
      </w:r>
      <w:r>
        <w:rPr>
          <w:rFonts w:ascii="Times New Roman" w:hAnsi="Times New Roman"/>
          <w:sz w:val="22"/>
          <w:szCs w:val="22"/>
        </w:rPr>
        <w:t>; e</w:t>
      </w:r>
    </w:p>
    <w:p w:rsidR="00C84E43" w:rsidRDefault="00C84E43" w:rsidP="00697085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BA0607" w:rsidRDefault="00563BE3" w:rsidP="00563BE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recebimento, via protocolo SICCAU n° </w:t>
      </w:r>
      <w:r w:rsidRPr="00563BE3">
        <w:rPr>
          <w:rFonts w:ascii="Times New Roman" w:hAnsi="Times New Roman"/>
          <w:sz w:val="22"/>
          <w:szCs w:val="22"/>
        </w:rPr>
        <w:t>823514</w:t>
      </w:r>
      <w:r>
        <w:rPr>
          <w:rFonts w:ascii="Times New Roman" w:hAnsi="Times New Roman"/>
          <w:sz w:val="22"/>
          <w:szCs w:val="22"/>
        </w:rPr>
        <w:t>/2019,</w:t>
      </w:r>
      <w:r>
        <w:rPr>
          <w:rFonts w:ascii="Times New Roman" w:hAnsi="Times New Roman"/>
          <w:sz w:val="22"/>
          <w:szCs w:val="22"/>
          <w:lang w:eastAsia="pt-BR"/>
        </w:rPr>
        <w:t xml:space="preserve"> que encaminha </w:t>
      </w:r>
      <w:r w:rsidRPr="00563BE3">
        <w:rPr>
          <w:rFonts w:ascii="Times New Roman" w:hAnsi="Times New Roman"/>
          <w:sz w:val="22"/>
          <w:szCs w:val="22"/>
        </w:rPr>
        <w:t>Deliberação CEFEP CAU/PE N° 009/2019 que decidiu pela não exigência de registro no Conselho de Pessoa Jurídica que possua, entre</w:t>
      </w:r>
      <w:r>
        <w:rPr>
          <w:rFonts w:ascii="Times New Roman" w:hAnsi="Times New Roman"/>
          <w:sz w:val="22"/>
          <w:szCs w:val="22"/>
        </w:rPr>
        <w:t xml:space="preserve"> </w:t>
      </w:r>
      <w:r w:rsidRPr="00563BE3">
        <w:rPr>
          <w:rFonts w:ascii="Times New Roman" w:hAnsi="Times New Roman"/>
          <w:sz w:val="22"/>
          <w:szCs w:val="22"/>
        </w:rPr>
        <w:t>seus objetivos sociais, atividades privativas de arquitetura e urbanismo e já possua registro de sua atividade básica em outro Conselho</w:t>
      </w:r>
      <w:r>
        <w:rPr>
          <w:rFonts w:ascii="Times New Roman" w:hAnsi="Times New Roman"/>
          <w:sz w:val="22"/>
          <w:szCs w:val="22"/>
        </w:rPr>
        <w:t xml:space="preserve"> Profissional</w:t>
      </w:r>
      <w:r w:rsidR="00D24BFE">
        <w:rPr>
          <w:rFonts w:ascii="Times New Roman" w:hAnsi="Times New Roman"/>
          <w:sz w:val="22"/>
          <w:szCs w:val="22"/>
        </w:rPr>
        <w:t>, juntamente com parecer jurídico do CAU/PE</w:t>
      </w:r>
      <w:r>
        <w:rPr>
          <w:rFonts w:ascii="Times New Roman" w:hAnsi="Times New Roman"/>
          <w:sz w:val="22"/>
          <w:szCs w:val="22"/>
        </w:rPr>
        <w:t>;</w:t>
      </w:r>
    </w:p>
    <w:p w:rsidR="00563BE3" w:rsidRDefault="00563BE3" w:rsidP="00563BE3">
      <w:pPr>
        <w:jc w:val="both"/>
        <w:rPr>
          <w:rFonts w:ascii="Times New Roman" w:hAnsi="Times New Roman"/>
          <w:sz w:val="22"/>
          <w:szCs w:val="22"/>
        </w:rPr>
      </w:pPr>
    </w:p>
    <w:p w:rsidR="00563BE3" w:rsidRDefault="00563BE3" w:rsidP="00563BE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052E" w:rsidRDefault="00AE0069" w:rsidP="00E9052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E9052E"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</w:t>
      </w:r>
      <w:r w:rsidR="00E9052E" w:rsidRPr="00A135B1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="00E9052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D4242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estabelece </w:t>
      </w:r>
      <w:r w:rsidR="00B823D4">
        <w:rPr>
          <w:rFonts w:ascii="Times New Roman" w:hAnsi="Times New Roman"/>
          <w:sz w:val="22"/>
          <w:szCs w:val="22"/>
          <w:lang w:eastAsia="pt-BR"/>
        </w:rPr>
        <w:t>a Lei 12.378 de 2010 e a</w:t>
      </w:r>
      <w:r w:rsidR="00E9052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052E" w:rsidRPr="00A135B1">
        <w:rPr>
          <w:rFonts w:ascii="Times New Roman" w:hAnsi="Times New Roman"/>
          <w:sz w:val="22"/>
          <w:szCs w:val="22"/>
          <w:lang w:eastAsia="pt-BR"/>
        </w:rPr>
        <w:t xml:space="preserve">Resolução CAU/BR nº </w:t>
      </w:r>
      <w:r w:rsidR="00E9052E">
        <w:rPr>
          <w:rFonts w:ascii="Times New Roman" w:hAnsi="Times New Roman"/>
          <w:sz w:val="22"/>
          <w:szCs w:val="22"/>
          <w:lang w:eastAsia="pt-BR"/>
        </w:rPr>
        <w:t>28</w:t>
      </w:r>
      <w:r w:rsidR="00E9052E" w:rsidRPr="00A135B1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E9052E">
        <w:rPr>
          <w:rFonts w:ascii="Times New Roman" w:hAnsi="Times New Roman"/>
          <w:sz w:val="22"/>
          <w:szCs w:val="22"/>
          <w:lang w:eastAsia="pt-BR"/>
        </w:rPr>
        <w:t>2</w:t>
      </w:r>
      <w:r w:rsidR="00CD4242">
        <w:rPr>
          <w:rFonts w:ascii="Times New Roman" w:hAnsi="Times New Roman"/>
          <w:sz w:val="22"/>
          <w:szCs w:val="22"/>
          <w:lang w:eastAsia="pt-BR"/>
        </w:rPr>
        <w:t>, estão obrigadas ao</w:t>
      </w:r>
      <w:r w:rsidR="00CD4242" w:rsidRPr="00933BD0">
        <w:t xml:space="preserve"> </w:t>
      </w:r>
      <w:r w:rsidR="00CD4242" w:rsidRPr="00933BD0">
        <w:rPr>
          <w:rFonts w:ascii="Times New Roman" w:hAnsi="Times New Roman"/>
          <w:sz w:val="22"/>
          <w:szCs w:val="22"/>
          <w:lang w:eastAsia="pt-BR"/>
        </w:rPr>
        <w:t>registro nos Conselhos de Arquitetura e Urbanismo dos Estados e do Distrito Federal (CAU/UF)</w:t>
      </w:r>
      <w:r w:rsidR="005F505B">
        <w:rPr>
          <w:rFonts w:ascii="Times New Roman" w:hAnsi="Times New Roman"/>
          <w:sz w:val="22"/>
          <w:szCs w:val="22"/>
          <w:lang w:eastAsia="pt-BR"/>
        </w:rPr>
        <w:t>, mesmo que possuam registro junto a outro conselho profissional,</w:t>
      </w:r>
      <w:r w:rsidR="00CD4242">
        <w:rPr>
          <w:rFonts w:ascii="Times New Roman" w:hAnsi="Times New Roman"/>
          <w:sz w:val="22"/>
          <w:szCs w:val="22"/>
          <w:lang w:eastAsia="pt-BR"/>
        </w:rPr>
        <w:t xml:space="preserve"> as </w:t>
      </w:r>
      <w:r w:rsidR="00006994">
        <w:rPr>
          <w:rFonts w:ascii="Times New Roman" w:hAnsi="Times New Roman"/>
          <w:sz w:val="22"/>
          <w:szCs w:val="22"/>
          <w:lang w:eastAsia="pt-BR"/>
        </w:rPr>
        <w:t>P</w:t>
      </w:r>
      <w:r w:rsidR="00E9052E">
        <w:rPr>
          <w:rFonts w:ascii="Times New Roman" w:hAnsi="Times New Roman"/>
          <w:sz w:val="22"/>
          <w:szCs w:val="22"/>
          <w:lang w:eastAsia="pt-BR"/>
        </w:rPr>
        <w:t xml:space="preserve">essoas </w:t>
      </w:r>
      <w:r w:rsidR="00006994">
        <w:rPr>
          <w:rFonts w:ascii="Times New Roman" w:hAnsi="Times New Roman"/>
          <w:sz w:val="22"/>
          <w:szCs w:val="22"/>
          <w:lang w:eastAsia="pt-BR"/>
        </w:rPr>
        <w:t>J</w:t>
      </w:r>
      <w:r w:rsidR="00E9052E">
        <w:rPr>
          <w:rFonts w:ascii="Times New Roman" w:hAnsi="Times New Roman"/>
          <w:sz w:val="22"/>
          <w:szCs w:val="22"/>
          <w:lang w:eastAsia="pt-BR"/>
        </w:rPr>
        <w:t>urídicas</w:t>
      </w:r>
      <w:r w:rsidR="003534FB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CD4242">
        <w:rPr>
          <w:rFonts w:ascii="Times New Roman" w:hAnsi="Times New Roman"/>
          <w:sz w:val="22"/>
          <w:szCs w:val="22"/>
          <w:lang w:eastAsia="pt-BR"/>
        </w:rPr>
        <w:t>:</w:t>
      </w:r>
    </w:p>
    <w:p w:rsidR="00240C06" w:rsidRDefault="008B206B" w:rsidP="00CD4242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Possuem em seu objetivo social atividades</w:t>
      </w:r>
      <w:r w:rsidR="00240C06" w:rsidRPr="00CD4242">
        <w:rPr>
          <w:rFonts w:ascii="Times New Roman" w:hAnsi="Times New Roman"/>
          <w:sz w:val="22"/>
          <w:szCs w:val="22"/>
          <w:lang w:eastAsia="pt-BR"/>
        </w:rPr>
        <w:t xml:space="preserve"> privativa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="00240C06" w:rsidRPr="00CD424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de arquiteto e urbanista;</w:t>
      </w:r>
    </w:p>
    <w:p w:rsidR="008B206B" w:rsidRDefault="008B206B" w:rsidP="00CD4242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Possuem em seu objetivo social</w:t>
      </w:r>
      <w:r w:rsidRPr="008B206B">
        <w:rPr>
          <w:rFonts w:ascii="Times New Roman" w:hAnsi="Times New Roman"/>
          <w:sz w:val="22"/>
          <w:szCs w:val="22"/>
          <w:lang w:eastAsia="pt-BR"/>
        </w:rPr>
        <w:t xml:space="preserve"> atividades </w:t>
      </w:r>
      <w:r w:rsidRPr="00CD4242">
        <w:rPr>
          <w:rFonts w:ascii="Times New Roman" w:hAnsi="Times New Roman"/>
          <w:sz w:val="22"/>
          <w:szCs w:val="22"/>
          <w:lang w:eastAsia="pt-BR"/>
        </w:rPr>
        <w:t>privativa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8B206B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Pr="008B206B">
        <w:rPr>
          <w:rFonts w:ascii="Times New Roman" w:hAnsi="Times New Roman"/>
          <w:sz w:val="22"/>
          <w:szCs w:val="22"/>
          <w:lang w:eastAsia="pt-BR"/>
        </w:rPr>
        <w:t>arquitetos e urbanistas</w:t>
      </w:r>
      <w:r w:rsidRPr="00CD4242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atividades </w:t>
      </w:r>
      <w:r w:rsidRPr="008B206B">
        <w:rPr>
          <w:rFonts w:ascii="Times New Roman" w:hAnsi="Times New Roman"/>
          <w:sz w:val="22"/>
          <w:szCs w:val="22"/>
          <w:lang w:eastAsia="pt-BR"/>
        </w:rPr>
        <w:t>compartilhadas com outras áreas profissionais</w:t>
      </w:r>
      <w:r>
        <w:rPr>
          <w:rFonts w:ascii="Times New Roman" w:hAnsi="Times New Roman"/>
          <w:sz w:val="22"/>
          <w:szCs w:val="22"/>
          <w:lang w:eastAsia="pt-BR"/>
        </w:rPr>
        <w:t>, cumulativamente;</w:t>
      </w:r>
    </w:p>
    <w:p w:rsidR="008B206B" w:rsidRDefault="008B206B" w:rsidP="008B206B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Possuem em seu objetivo social</w:t>
      </w:r>
      <w:r w:rsidRPr="008B206B">
        <w:rPr>
          <w:rFonts w:ascii="Times New Roman" w:hAnsi="Times New Roman"/>
          <w:sz w:val="22"/>
          <w:szCs w:val="22"/>
          <w:lang w:eastAsia="pt-BR"/>
        </w:rPr>
        <w:t xml:space="preserve"> atividades de arquitetos e urbanistas compartilhadas com outras áreas profissionais, </w:t>
      </w:r>
      <w:r>
        <w:rPr>
          <w:rFonts w:ascii="Times New Roman" w:hAnsi="Times New Roman"/>
          <w:sz w:val="22"/>
          <w:szCs w:val="22"/>
          <w:lang w:eastAsia="pt-BR"/>
        </w:rPr>
        <w:t>tendo como</w:t>
      </w:r>
      <w:r w:rsidRPr="008B206B">
        <w:rPr>
          <w:rFonts w:ascii="Times New Roman" w:hAnsi="Times New Roman"/>
          <w:sz w:val="22"/>
          <w:szCs w:val="22"/>
          <w:lang w:eastAsia="pt-BR"/>
        </w:rPr>
        <w:t xml:space="preserve"> responsável técnico </w:t>
      </w:r>
      <w:r>
        <w:rPr>
          <w:rFonts w:ascii="Times New Roman" w:hAnsi="Times New Roman"/>
          <w:sz w:val="22"/>
          <w:szCs w:val="22"/>
          <w:lang w:eastAsia="pt-BR"/>
        </w:rPr>
        <w:t>profissional arquiteto e urbanista.</w:t>
      </w:r>
    </w:p>
    <w:p w:rsidR="005F072D" w:rsidRPr="005F072D" w:rsidRDefault="005F072D" w:rsidP="005F07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F072D" w:rsidRPr="00A935C8" w:rsidRDefault="00AE0069" w:rsidP="005F072D">
      <w:pPr>
        <w:spacing w:after="6pt"/>
        <w:jc w:val="both"/>
        <w:rPr>
          <w:rFonts w:ascii="Times New Roman" w:hAnsi="Times New Roman"/>
          <w:sz w:val="22"/>
          <w:szCs w:val="22"/>
        </w:rPr>
      </w:pPr>
      <w:r w:rsidRPr="005F072D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2 –</w:t>
      </w:r>
      <w:r w:rsidR="00A935C8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Solicitando </w:t>
      </w:r>
      <w:r w:rsidR="005F072D" w:rsidRPr="00A935C8">
        <w:rPr>
          <w:rFonts w:ascii="Times New Roman" w:hAnsi="Times New Roman"/>
          <w:sz w:val="22"/>
          <w:szCs w:val="22"/>
        </w:rPr>
        <w:t xml:space="preserve">a suspensão da </w:t>
      </w:r>
      <w:r w:rsidR="005F072D" w:rsidRPr="00563BE3">
        <w:rPr>
          <w:rFonts w:ascii="Times New Roman" w:hAnsi="Times New Roman"/>
          <w:sz w:val="22"/>
          <w:szCs w:val="22"/>
        </w:rPr>
        <w:t>Deliberação CEFEP CAU/PE N° 009/2019</w:t>
      </w:r>
      <w:r w:rsidR="00A935C8">
        <w:rPr>
          <w:rFonts w:ascii="Times New Roman" w:hAnsi="Times New Roman"/>
          <w:sz w:val="22"/>
          <w:szCs w:val="22"/>
        </w:rPr>
        <w:t>,</w:t>
      </w:r>
      <w:r w:rsidR="00A935C8" w:rsidRPr="00A935C8">
        <w:rPr>
          <w:rFonts w:ascii="Times New Roman" w:hAnsi="Times New Roman"/>
          <w:sz w:val="22"/>
          <w:szCs w:val="22"/>
        </w:rPr>
        <w:t xml:space="preserve"> conforme Deliberação Plenária DPOBR Nº 0071-08/2017 que aprova as ações junto aos CAU/UF quando esses editarem atos em conflito com os normativos do CAU/BR</w:t>
      </w:r>
      <w:r w:rsidR="005F072D">
        <w:rPr>
          <w:rFonts w:ascii="Times New Roman" w:hAnsi="Times New Roman"/>
          <w:sz w:val="22"/>
          <w:szCs w:val="22"/>
        </w:rPr>
        <w:t>;</w:t>
      </w:r>
      <w:r w:rsidR="005F072D" w:rsidRPr="00A935C8">
        <w:rPr>
          <w:rFonts w:ascii="Times New Roman" w:hAnsi="Times New Roman"/>
          <w:sz w:val="22"/>
          <w:szCs w:val="22"/>
        </w:rPr>
        <w:t xml:space="preserve"> e</w:t>
      </w:r>
    </w:p>
    <w:p w:rsidR="00933BD0" w:rsidRDefault="005F072D" w:rsidP="00933B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</w:t>
      </w:r>
      <w:r w:rsidR="00933BD0">
        <w:rPr>
          <w:rFonts w:ascii="Times New Roman" w:hAnsi="Times New Roman"/>
          <w:sz w:val="22"/>
          <w:szCs w:val="22"/>
        </w:rPr>
        <w:t xml:space="preserve">Encaminhar à Presidência do CAU/BR para conhecimento, </w:t>
      </w:r>
      <w:r>
        <w:rPr>
          <w:rFonts w:ascii="Times New Roman" w:hAnsi="Times New Roman"/>
          <w:sz w:val="22"/>
          <w:szCs w:val="22"/>
        </w:rPr>
        <w:t>e providência</w:t>
      </w:r>
      <w:r w:rsidR="00A935C8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</w:t>
      </w:r>
      <w:r w:rsidR="00A1006F">
        <w:rPr>
          <w:rFonts w:ascii="Times New Roman" w:hAnsi="Times New Roman"/>
          <w:sz w:val="22"/>
          <w:szCs w:val="22"/>
        </w:rPr>
        <w:t xml:space="preserve">junto ao </w:t>
      </w:r>
      <w:r w:rsidR="00933BD0">
        <w:rPr>
          <w:rFonts w:ascii="Times New Roman" w:hAnsi="Times New Roman"/>
          <w:sz w:val="22"/>
          <w:szCs w:val="22"/>
        </w:rPr>
        <w:t xml:space="preserve">CAU/PE </w:t>
      </w:r>
      <w:r w:rsidR="00933BD0" w:rsidRPr="00A1006F">
        <w:rPr>
          <w:rFonts w:ascii="Times New Roman" w:hAnsi="Times New Roman"/>
          <w:sz w:val="22"/>
          <w:szCs w:val="22"/>
        </w:rPr>
        <w:t>por meio do protocolo SICCAU em epígrafe.</w:t>
      </w:r>
    </w:p>
    <w:p w:rsidR="00A935C8" w:rsidRDefault="00A935C8" w:rsidP="00933BD0">
      <w:pPr>
        <w:jc w:val="both"/>
        <w:rPr>
          <w:rFonts w:ascii="Times New Roman" w:hAnsi="Times New Roman"/>
          <w:sz w:val="22"/>
          <w:szCs w:val="22"/>
        </w:rPr>
      </w:pPr>
    </w:p>
    <w:p w:rsidR="00A935C8" w:rsidRPr="00044DD9" w:rsidRDefault="00A935C8" w:rsidP="00933BD0">
      <w:pPr>
        <w:jc w:val="both"/>
        <w:rPr>
          <w:rFonts w:ascii="Times New Roman" w:hAnsi="Times New Roman"/>
          <w:sz w:val="22"/>
          <w:szCs w:val="22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D255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83306" w:rsidRPr="00D83306">
        <w:rPr>
          <w:rFonts w:ascii="Times New Roman" w:hAnsi="Times New Roman"/>
          <w:sz w:val="22"/>
          <w:szCs w:val="22"/>
          <w:lang w:eastAsia="pt-BR"/>
        </w:rPr>
        <w:t>9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967C0">
        <w:rPr>
          <w:rFonts w:ascii="Times New Roman" w:hAnsi="Times New Roman"/>
          <w:sz w:val="22"/>
          <w:szCs w:val="22"/>
          <w:lang w:eastAsia="pt-BR"/>
        </w:rPr>
        <w:t>agosto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D83306" w:rsidRPr="00C91050" w:rsidRDefault="00D83306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>MARIA ELIANA JUBÉ RIBEIRO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76347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D4F7B"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C91050" w:rsidRPr="00ED4F7B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ED4F7B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ED4F7B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ED4F7B" w:rsidRDefault="00C91050" w:rsidP="00C91050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ED4F7B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76347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Coordenador Adjunto</w:t>
      </w:r>
    </w:p>
    <w:p w:rsidR="00C91050" w:rsidRPr="00ED4F7B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ED4F7B">
        <w:rPr>
          <w:b/>
        </w:rPr>
        <w:t>DE OLIVEIRA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hAnsi="Times New Roman"/>
          <w:b/>
          <w:sz w:val="22"/>
          <w:szCs w:val="22"/>
        </w:rPr>
        <w:tab/>
        <w:t>_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376347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ED4F7B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ED4F7B" w:rsidRDefault="00C91050" w:rsidP="00C91050"/>
    <w:p w:rsidR="00C91050" w:rsidRPr="00ED4F7B" w:rsidRDefault="00371223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ED4F7B">
        <w:rPr>
          <w:rFonts w:ascii="Times New Roman" w:eastAsia="Calibri" w:hAnsi="Times New Roman"/>
          <w:b/>
          <w:sz w:val="22"/>
          <w:szCs w:val="22"/>
        </w:rPr>
        <w:t>TÂNIA MARIA MARINHO GUSMÃO</w:t>
      </w:r>
      <w:r w:rsidR="00C91050" w:rsidRPr="00ED4F7B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ED4F7B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ED4F7B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376347" w:rsidRPr="00ED4F7B" w:rsidRDefault="00376347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ED4F7B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ED4F7B">
        <w:rPr>
          <w:rFonts w:ascii="Times New Roman" w:hAnsi="Times New Roman"/>
          <w:b/>
          <w:sz w:val="22"/>
          <w:szCs w:val="22"/>
        </w:rPr>
        <w:t>WERNER DEIMLING ALBUQUERQUE</w:t>
      </w:r>
      <w:r w:rsidRPr="00ED4F7B">
        <w:rPr>
          <w:rFonts w:ascii="Times New Roman" w:hAnsi="Times New Roman"/>
          <w:b/>
          <w:sz w:val="22"/>
          <w:szCs w:val="22"/>
        </w:rPr>
        <w:tab/>
      </w:r>
      <w:r w:rsidRPr="00ED4F7B">
        <w:rPr>
          <w:rFonts w:ascii="Times New Roman" w:hAnsi="Times New Roman"/>
          <w:b/>
          <w:sz w:val="22"/>
          <w:szCs w:val="22"/>
        </w:rPr>
        <w:tab/>
        <w:t>_</w:t>
      </w:r>
      <w:r w:rsidRPr="00ED4F7B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ED4F7B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D5360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77C6">
          <w:rPr>
            <w:rFonts w:ascii="Times New Roman" w:hAnsi="Times New Roman"/>
            <w:color w:val="296D7A"/>
            <w:sz w:val="18"/>
            <w:szCs w:val="18"/>
          </w:rPr>
          <w:t>DELIBERAÇÃO Nº 057/2019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24931E7"/>
    <w:multiLevelType w:val="hybridMultilevel"/>
    <w:tmpl w:val="6A70BD7A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33F7A1B"/>
    <w:multiLevelType w:val="hybridMultilevel"/>
    <w:tmpl w:val="FE0CBD14"/>
    <w:lvl w:ilvl="0" w:tplc="8A1A6818">
      <w:start w:val="1"/>
      <w:numFmt w:val="lowerLetter"/>
      <w:lvlText w:val="%1)"/>
      <w:lvlJc w:val="start"/>
      <w:pPr>
        <w:ind w:start="32.20pt" w:hanging="18pt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994"/>
    <w:rsid w:val="000174FA"/>
    <w:rsid w:val="00034979"/>
    <w:rsid w:val="00035120"/>
    <w:rsid w:val="000418A1"/>
    <w:rsid w:val="00063F0F"/>
    <w:rsid w:val="00064244"/>
    <w:rsid w:val="000C3DEF"/>
    <w:rsid w:val="000E7D14"/>
    <w:rsid w:val="00104548"/>
    <w:rsid w:val="00152C0A"/>
    <w:rsid w:val="00164F68"/>
    <w:rsid w:val="00175C84"/>
    <w:rsid w:val="00195AF6"/>
    <w:rsid w:val="001E09AF"/>
    <w:rsid w:val="00215E45"/>
    <w:rsid w:val="00216CFF"/>
    <w:rsid w:val="00220E6F"/>
    <w:rsid w:val="00240C06"/>
    <w:rsid w:val="00286054"/>
    <w:rsid w:val="00304DD2"/>
    <w:rsid w:val="00327F8A"/>
    <w:rsid w:val="003534FB"/>
    <w:rsid w:val="00353FDC"/>
    <w:rsid w:val="003546E3"/>
    <w:rsid w:val="00371223"/>
    <w:rsid w:val="00376264"/>
    <w:rsid w:val="00376347"/>
    <w:rsid w:val="003852AF"/>
    <w:rsid w:val="003B2CC7"/>
    <w:rsid w:val="003C12D8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63BE3"/>
    <w:rsid w:val="005C51C2"/>
    <w:rsid w:val="005F072D"/>
    <w:rsid w:val="005F505B"/>
    <w:rsid w:val="0060577B"/>
    <w:rsid w:val="00647E67"/>
    <w:rsid w:val="00666DDC"/>
    <w:rsid w:val="00685FC2"/>
    <w:rsid w:val="00697085"/>
    <w:rsid w:val="00697FE9"/>
    <w:rsid w:val="0072095C"/>
    <w:rsid w:val="00790C9A"/>
    <w:rsid w:val="0080145B"/>
    <w:rsid w:val="0084324F"/>
    <w:rsid w:val="00893E0F"/>
    <w:rsid w:val="008B206B"/>
    <w:rsid w:val="008E6FE7"/>
    <w:rsid w:val="00933BD0"/>
    <w:rsid w:val="00971CA0"/>
    <w:rsid w:val="00995353"/>
    <w:rsid w:val="009B5F61"/>
    <w:rsid w:val="009D4039"/>
    <w:rsid w:val="009F05D8"/>
    <w:rsid w:val="00A1006F"/>
    <w:rsid w:val="00A25784"/>
    <w:rsid w:val="00A4320E"/>
    <w:rsid w:val="00A824AD"/>
    <w:rsid w:val="00A935C8"/>
    <w:rsid w:val="00A977C6"/>
    <w:rsid w:val="00AB47FC"/>
    <w:rsid w:val="00AE0069"/>
    <w:rsid w:val="00AF16BD"/>
    <w:rsid w:val="00B2595A"/>
    <w:rsid w:val="00B439ED"/>
    <w:rsid w:val="00B577BB"/>
    <w:rsid w:val="00B823D4"/>
    <w:rsid w:val="00B869A3"/>
    <w:rsid w:val="00B87571"/>
    <w:rsid w:val="00BA0607"/>
    <w:rsid w:val="00C01B12"/>
    <w:rsid w:val="00C55B31"/>
    <w:rsid w:val="00C766BA"/>
    <w:rsid w:val="00C84E43"/>
    <w:rsid w:val="00C91050"/>
    <w:rsid w:val="00C9560E"/>
    <w:rsid w:val="00C97B1D"/>
    <w:rsid w:val="00CB7996"/>
    <w:rsid w:val="00CD4242"/>
    <w:rsid w:val="00D15CA8"/>
    <w:rsid w:val="00D24BFE"/>
    <w:rsid w:val="00D2559A"/>
    <w:rsid w:val="00D563C4"/>
    <w:rsid w:val="00D5785E"/>
    <w:rsid w:val="00D6352A"/>
    <w:rsid w:val="00D83306"/>
    <w:rsid w:val="00D91B62"/>
    <w:rsid w:val="00DB67C9"/>
    <w:rsid w:val="00DE5B02"/>
    <w:rsid w:val="00DE5DEC"/>
    <w:rsid w:val="00E132BE"/>
    <w:rsid w:val="00E13BAF"/>
    <w:rsid w:val="00E1548E"/>
    <w:rsid w:val="00E356C3"/>
    <w:rsid w:val="00E4503A"/>
    <w:rsid w:val="00E50773"/>
    <w:rsid w:val="00E54C86"/>
    <w:rsid w:val="00E623F7"/>
    <w:rsid w:val="00E850B9"/>
    <w:rsid w:val="00E9052E"/>
    <w:rsid w:val="00E948F1"/>
    <w:rsid w:val="00E967C0"/>
    <w:rsid w:val="00EA20E2"/>
    <w:rsid w:val="00EC67E7"/>
    <w:rsid w:val="00ED4F7B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D5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554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057/2019 – CEP – CAU/BR</vt:lpstr>
      <vt:lpstr/>
    </vt:vector>
  </TitlesOfParts>
  <Company>Comunica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057/2019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2019-08-15T19:11:00Z</dcterms:created>
  <dcterms:modified xsi:type="dcterms:W3CDTF">2019-08-15T19:11:00Z</dcterms:modified>
</cp:coreProperties>
</file>