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01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691147/2018 – Presidência do CAU/SC solicita esclarecimentos de dúvidas da GERTEC/SC sobre a atribuição dos arquitetos e urbanistas para diversas atividades</w:t>
            </w:r>
          </w:p>
        </w:tc>
      </w:tr>
      <w:tr w:rsidR="00701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701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1C7A" w:rsidRDefault="00C128A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14 da 72ª Reunião Ordinária da CEP-CAU/BR – apreciar e deliberar</w:t>
            </w:r>
          </w:p>
        </w:tc>
      </w:tr>
    </w:tbl>
    <w:p w:rsidR="00701C7A" w:rsidRDefault="00C128A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053/2018 – (CEP – CAU/BR)</w:t>
      </w:r>
    </w:p>
    <w:p w:rsidR="00701C7A" w:rsidRDefault="00701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</w:t>
      </w:r>
      <w:r>
        <w:rPr>
          <w:rFonts w:ascii="Times New Roman" w:hAnsi="Times New Roman"/>
          <w:sz w:val="22"/>
          <w:szCs w:val="22"/>
          <w:lang w:eastAsia="pt-BR"/>
        </w:rPr>
        <w:t>-DF, na sede do CAU/BR, nos dias 07 e 08 de junho de 2018, no uso das competências que lhe conferem o art. 97, 101 e 102 do Regimento Interno do CAU/BR, após análise do assunto em epígrafe, e</w:t>
      </w:r>
    </w:p>
    <w:p w:rsidR="00701C7A" w:rsidRDefault="00701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C128A7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 Ofício nº 181/2018/PRES/CAUSC que encaminha a De</w:t>
      </w:r>
      <w:r>
        <w:rPr>
          <w:rFonts w:ascii="Times New Roman" w:hAnsi="Times New Roman"/>
          <w:sz w:val="22"/>
          <w:szCs w:val="22"/>
          <w:lang w:eastAsia="pt-BR"/>
        </w:rPr>
        <w:t>liberação nº 16/2018-CEP-CAU/SC solicitando a manifestação da CEP-CAU/BR para “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esclarecimento </w:t>
      </w:r>
      <w:r>
        <w:rPr>
          <w:rFonts w:ascii="Times New Roman" w:hAnsi="Times New Roman"/>
          <w:i/>
          <w:color w:val="000000"/>
          <w:sz w:val="22"/>
          <w:szCs w:val="22"/>
        </w:rPr>
        <w:t>das questões referentes a atribuição dos Arquitetos e Urbanistas, como segue: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Montagem, desmontagem e manutenção de andaime suspenso/jau;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Execução sistema de </w:t>
      </w:r>
      <w:r>
        <w:rPr>
          <w:rFonts w:ascii="Times New Roman" w:hAnsi="Times New Roman"/>
          <w:i/>
          <w:sz w:val="22"/>
          <w:szCs w:val="22"/>
          <w:lang w:eastAsia="pt-BR"/>
        </w:rPr>
        <w:t>cabos para utilização em esporte de “Tirolesa”, atividade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que o CREA/SC considera que está totalmente vinculada a formação dos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engenheiros mecânicos;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A atividades anotadas no campo descrição em RRT referentes a eventos como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por exemplo o Carnaval, como ser</w:t>
      </w:r>
      <w:r>
        <w:rPr>
          <w:rFonts w:ascii="Times New Roman" w:hAnsi="Times New Roman"/>
          <w:i/>
          <w:sz w:val="22"/>
          <w:szCs w:val="22"/>
          <w:lang w:eastAsia="pt-BR"/>
        </w:rPr>
        <w:t>iam as atividades Iluminação de palcos, Sonorização, Sistema de Proteção, Aterramento e outras;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Projeto e execução de cabeceira de ponte, sendo que este elemento é, além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uma estrutura de contenção, um componente básico deste tipo de estrutura; 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Projeto e e</w:t>
      </w:r>
      <w:r>
        <w:rPr>
          <w:rFonts w:ascii="Times New Roman" w:hAnsi="Times New Roman"/>
          <w:i/>
          <w:sz w:val="22"/>
          <w:szCs w:val="22"/>
          <w:lang w:eastAsia="pt-BR"/>
        </w:rPr>
        <w:t>xecução de Aviários e Chiqueirões, que exige que no mínimo os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profissionais devem possuir conhecimento da produção/criação para as</w:t>
      </w:r>
      <w:r>
        <w:rPr>
          <w:rFonts w:ascii="Times New Roman" w:hAnsi="Times New Roman"/>
          <w:i/>
          <w:sz w:val="22"/>
          <w:szCs w:val="22"/>
          <w:lang w:eastAsia="pt-BR"/>
        </w:rPr>
        <w:br/>
      </w:r>
      <w:r>
        <w:rPr>
          <w:rFonts w:ascii="Times New Roman" w:hAnsi="Times New Roman"/>
          <w:i/>
          <w:sz w:val="22"/>
          <w:szCs w:val="22"/>
          <w:lang w:eastAsia="pt-BR"/>
        </w:rPr>
        <w:t>construções destes ambientes;</w:t>
      </w:r>
    </w:p>
    <w:p w:rsidR="00701C7A" w:rsidRDefault="00C128A7">
      <w:pPr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Escopo e abrangência da atividade técnica da Arquitetura de Interiores;”</w:t>
      </w:r>
    </w:p>
    <w:p w:rsidR="00701C7A" w:rsidRDefault="00701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ativi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dades técnicas de atribuição dos arquitetos e urbanistas contidas na Lei 12.378, de 2010, e detalhadas nas Resoluções CAU/BR nº 21/2012 e nº 51/2013, incluindo seus respectivos Glossários e na Portaria Normativa CAU/BR nº 12/2013.</w:t>
      </w:r>
    </w:p>
    <w:p w:rsidR="00701C7A" w:rsidRDefault="00701C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disposiç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 da Tabela de Honorários do CAU/BR, aprovada pelas Resoluções CAU/BR nº 64/2013 e nº 76/2014, em especial o disposto nos livros I, II e III da referida Tabela, que contém definições acerca do rol de atividades técnicas da Resolução CAU/BR nº 21, de 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indicando inclusive as Normas Técnicas da ABNT (NBR) que poderão ser consultadas.</w:t>
      </w:r>
    </w:p>
    <w:p w:rsidR="00701C7A" w:rsidRDefault="00701C7A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esclarecimentos acerca de atividades técnicas e atribuições profissionais dos arquitetos e urbanistas contidas em diversas Deliberações e Orientações Técni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cas emitidas pela CEP-CAU/BR desde 2012 e publicadas no site do CAU/BR, disponíveis para consulta, em especial as seguintes Deliberações: nº 07/2014, nº 08/2014, nº 45/2015, nº 46/2015, nº 019/2017, nº 21/2017, nº 22/2017, nº 23/2017, nº 25/2017, nº 26/201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7, nº 39/2017, nº 41/2017, nº 73/2017, nº 106/2017, nº 109/2017, nº 110/2017 e nº 032/2018.</w:t>
      </w:r>
    </w:p>
    <w:p w:rsidR="00701C7A" w:rsidRDefault="00701C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040/2017 da CEP-CAU/BR, encaminhada a todos CAU/UF em maio de 2017 com esclarecimentos acerca das atividades dos designers de interio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 e de Arquitetura de Interiores na qual dispõe:</w:t>
      </w:r>
    </w:p>
    <w:p w:rsidR="00701C7A" w:rsidRDefault="00C128A7">
      <w:pPr>
        <w:spacing w:after="6pt"/>
        <w:ind w:start="42.5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“1 - Esclarecer que a atividades desenvolvidas pelos Designers de interiores ou decoradores, conforme disposto na Resolução CAU/BR nº 76/2014, se restringem “ao simples arranjo do espaço interno criado pel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a disposição de mobiliário não fixo, obras de arte, cortinas, e outros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lastRenderedPageBreak/>
        <w:t>objetos de pequenas dimensões, sem alteração do espaço arquitetônico original, sem modificação de instalações hidráulicas e elétricas ou ar condicionado, não implicando, portanto em mod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ificações na estrutura, adição, ou retirada de paredes, forro, piso, e que também não implique na modificação da parte externa da edificação”;</w:t>
      </w:r>
    </w:p>
    <w:p w:rsidR="00701C7A" w:rsidRDefault="00C128A7">
      <w:pPr>
        <w:ind w:start="42.5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2 - Esclarecer que obras e serviços que envolvam alterações de elementos estruturais de espaços e ambientes, são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atribuições profissionais privativas de arquitetos e urbanistas, dispostas na Resolução CAU/BR nº 51/2013 como “Arquitetura de Interiores”;</w:t>
      </w:r>
    </w:p>
    <w:p w:rsidR="00701C7A" w:rsidRDefault="00701C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esclarecimentos sobre atividades técnicas no Relatório resultante do evento “1º Encontro Temático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2015” realizado pela CEP-CAU/BR com os CAU/UF e que foi encaminhado a todos CAU/UF por meio da Deliberação nº 032/2015. </w:t>
      </w:r>
    </w:p>
    <w:p w:rsidR="00701C7A" w:rsidRDefault="00701C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n° 139, de 28 de abril de 2017, que aprova o Regimento Geral do CAU - Conjunto Autárquico formado pelos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/UF e pelo CAU/BR e o modelo de Regimento Interno a ser seguido pelos CAU/UF, em especial os seguintes dispositivos: </w:t>
      </w:r>
    </w:p>
    <w:p w:rsidR="00701C7A" w:rsidRDefault="00701C7A">
      <w:pPr>
        <w:jc w:val="both"/>
        <w:rPr>
          <w:rFonts w:ascii="Times New Roman" w:hAnsi="Times New Roman"/>
          <w:b/>
          <w:i/>
          <w:sz w:val="22"/>
          <w:szCs w:val="22"/>
          <w:lang w:eastAsia="pt-BR"/>
        </w:rPr>
      </w:pPr>
    </w:p>
    <w:p w:rsidR="00701C7A" w:rsidRDefault="00C128A7">
      <w:p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“Art. 25 – Compete ao conselheiro:</w:t>
      </w:r>
    </w:p>
    <w:p w:rsidR="00701C7A" w:rsidRDefault="00C128A7">
      <w:pPr>
        <w:ind w:start="35.45pt"/>
        <w:jc w:val="both"/>
      </w:pPr>
      <w:r>
        <w:rPr>
          <w:rFonts w:ascii="Times New Roman" w:hAnsi="Times New Roman"/>
          <w:i/>
          <w:color w:val="000000"/>
          <w:sz w:val="22"/>
          <w:szCs w:val="22"/>
        </w:rPr>
        <w:t>I - cumprir e fazer cumprir a legislação federal, o Regimento Geral do CAU, as resoluções, as</w:t>
      </w:r>
      <w:r>
        <w:rPr>
          <w:rFonts w:ascii="Times New Roman" w:hAnsi="Times New Roman"/>
          <w:i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>deliberações plenárias e os demais atos normativos baixados pelo CAU/BR, e os atos baixados pelo respectivo CAU/UF;</w:t>
      </w:r>
    </w:p>
    <w:p w:rsidR="00701C7A" w:rsidRDefault="00C128A7">
      <w:pPr>
        <w:ind w:start="35.4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[...]</w:t>
      </w:r>
    </w:p>
    <w:p w:rsidR="00701C7A" w:rsidRDefault="00C128A7">
      <w:pPr>
        <w:ind w:start="35.4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XIV - analisar e relatar matéria que lhe tenha sido distribuída, apresentando relatório e voto</w:t>
      </w:r>
      <w:r>
        <w:rPr>
          <w:rFonts w:ascii="Times New Roman" w:hAnsi="Times New Roman"/>
          <w:i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fundamentado de forma clara, concisa, </w:t>
      </w:r>
      <w:r>
        <w:rPr>
          <w:rFonts w:ascii="Times New Roman" w:hAnsi="Times New Roman"/>
          <w:i/>
          <w:color w:val="000000"/>
          <w:sz w:val="22"/>
          <w:szCs w:val="22"/>
        </w:rPr>
        <w:t>objetiva e legalmente embasada;”</w:t>
      </w:r>
    </w:p>
    <w:p w:rsidR="00701C7A" w:rsidRDefault="00701C7A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“Art. 91. Compete às comissões ordinárias e especiais:</w:t>
      </w: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 - apreciar e deliberar sobre matérias de sua competência e, quando for o caso, solicitar a sua inclusão na pauta da reunião plenária, para deliberação;</w:t>
      </w: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II - apreciar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e deliberar sobre questionamentos referentes às resoluções e outros atos normativos do CAU/BR, no âmbito das respectivas competências;</w:t>
      </w: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[...]</w:t>
      </w: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§ 5° As comissões ordinárias e especiais dos CAU/UF poderão propor aprimoramentos aos atos normativos do CAU/BR, n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 âmbito das respectivas competências, encaminhando suas proposições ao CAU/BR.</w:t>
      </w:r>
    </w:p>
    <w:p w:rsidR="00701C7A" w:rsidRDefault="00C128A7">
      <w:pPr>
        <w:ind w:start="35.45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§ 6° “As matérias provenientes de comissões de CAU/UF, a ser encaminhadas ao CAU/BR, deverão antes serem deliberadas pelos seus respectivos plenários.”</w:t>
      </w:r>
    </w:p>
    <w:p w:rsidR="00701C7A" w:rsidRDefault="00701C7A">
      <w:pPr>
        <w:ind w:start="35.45pt"/>
        <w:jc w:val="both"/>
        <w:rPr>
          <w:rFonts w:ascii="Times New Roman" w:hAnsi="Times New Roman"/>
          <w:i/>
          <w:color w:val="000000"/>
          <w:sz w:val="22"/>
          <w:szCs w:val="22"/>
        </w:rPr>
      </w:pPr>
    </w:p>
    <w:p w:rsidR="00701C7A" w:rsidRDefault="00C128A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Aviso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017/18 da RIA - Rede Integrada de Atendimento, enviado aos CAU/UF em 29 de março de 2018, com orientações gerais sobre atendimento e encaminhamentos, e informações sobre os canais de comunicação disponibilizados para auxiliar o corpo funcional dos CAU/UF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com a seguinte orientação sobre “</w:t>
      </w:r>
      <w:r>
        <w:rPr>
          <w:rFonts w:ascii="Calibri" w:hAnsi="Calibri" w:cs="Calibri"/>
          <w:sz w:val="22"/>
          <w:szCs w:val="22"/>
        </w:rPr>
        <w:t>CONSULTAS ÀS COMISSÕES DO CAU/BR”:</w:t>
      </w:r>
      <w:r>
        <w:rPr>
          <w:rFonts w:ascii="Calibri" w:hAnsi="Calibri" w:cs="Calibri"/>
          <w:color w:val="008080"/>
          <w:sz w:val="22"/>
          <w:szCs w:val="22"/>
        </w:rPr>
        <w:t xml:space="preserve"> </w:t>
      </w:r>
    </w:p>
    <w:p w:rsidR="00701C7A" w:rsidRDefault="00C128A7">
      <w:pPr>
        <w:ind w:start="42.55pt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Conforme o Regimento, questionamentos referentes às resoluções e outros atos normativos do CAU/BR, vigentes, devem ser apreciados pelas comissões competentes dos CAU/UF. As comissões do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CAU/BR devem ser consultadas/provocadas pela Presidência do CAU/BR. Portanto, casos omissos ou sugestões de aprimoramento de atos normativos do CAU/BR deverão ser apreciados pela comissão específica de seu estado, deliberadas pelo Plenário do CAU/UF, ante</w:t>
      </w:r>
      <w:r>
        <w:rPr>
          <w:rFonts w:ascii="Times New Roman" w:hAnsi="Times New Roman"/>
          <w:i/>
          <w:color w:val="000000"/>
          <w:sz w:val="22"/>
          <w:szCs w:val="22"/>
        </w:rPr>
        <w:t>s de serem encaminhadas à Presidência do CAU/BR, para posteriormente serem encaminhadas às comissões do CAU/BR.</w:t>
      </w:r>
    </w:p>
    <w:p w:rsidR="00701C7A" w:rsidRDefault="00701C7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01C7A" w:rsidRDefault="00C128A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Aprovar que o protocolo deverá ser restituído ao CAU/SC para que sejam cumpridas as competências dos conselheiros estaduais e do</w:t>
      </w:r>
      <w:r>
        <w:rPr>
          <w:rFonts w:ascii="Times New Roman" w:hAnsi="Times New Roman"/>
          <w:sz w:val="22"/>
          <w:szCs w:val="22"/>
        </w:rPr>
        <w:t xml:space="preserve"> Plenário, seguindo os procedimentos estabelecidos nos Regimentos </w:t>
      </w:r>
      <w:r>
        <w:rPr>
          <w:rFonts w:ascii="Times New Roman" w:hAnsi="Times New Roman"/>
          <w:sz w:val="22"/>
          <w:szCs w:val="22"/>
        </w:rPr>
        <w:lastRenderedPageBreak/>
        <w:t>aprovados pela Resolução CAU/BR nº 139, de 2017, em especial ao disposto no §6º do art. 100 do Regimento Geral do CAU;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Esclarecer que os conselheiros estaduais precisam analisar as maté</w:t>
      </w:r>
      <w:r>
        <w:rPr>
          <w:rFonts w:ascii="Times New Roman" w:hAnsi="Times New Roman"/>
          <w:sz w:val="22"/>
          <w:szCs w:val="22"/>
        </w:rPr>
        <w:t>rias a eles distribuídas, elaborando seus pareceres ou relatórios e votos fundamentados para encaminhamento de proposições aos seus plenários para aprovação antes de enviar ao CAU/BR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Recomendar que o corpo funcional e os conselheiros do CAU/SC consult</w:t>
      </w:r>
      <w:r>
        <w:rPr>
          <w:rFonts w:ascii="Times New Roman" w:hAnsi="Times New Roman"/>
          <w:sz w:val="22"/>
          <w:szCs w:val="22"/>
        </w:rPr>
        <w:t xml:space="preserve">em os atos normativos e instrutivos do CAU/BR vigentes e publicados que tratam da matéria objeto do protocolo em epígrafe; 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Recomendar que os conselheiros e gestores dos CAU/UF sigam os procedimentos estabelecidos nos regimentos aprovados pela Resoluç</w:t>
      </w:r>
      <w:r>
        <w:rPr>
          <w:rFonts w:ascii="Times New Roman" w:hAnsi="Times New Roman"/>
          <w:sz w:val="22"/>
          <w:szCs w:val="22"/>
        </w:rPr>
        <w:t>ão CAU/BR nº 139, de 2017, em especial ao disposto no §6º do art. 100 do Regimento Geral do CAU, para encaminhamento de demandas às Comissões do CAU/BR.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5 – </w:t>
      </w:r>
      <w:r>
        <w:rPr>
          <w:rFonts w:ascii="Times New Roman" w:hAnsi="Times New Roman"/>
          <w:sz w:val="22"/>
          <w:szCs w:val="22"/>
          <w:lang w:eastAsia="pt-BR"/>
        </w:rPr>
        <w:t>Enviar esta Deliberação à Presidência do CAU/BR para conhecimento e encaminhamento à Presidência d</w:t>
      </w:r>
      <w:r>
        <w:rPr>
          <w:rFonts w:ascii="Times New Roman" w:hAnsi="Times New Roman"/>
          <w:sz w:val="22"/>
          <w:szCs w:val="22"/>
          <w:lang w:eastAsia="pt-BR"/>
        </w:rPr>
        <w:t>o CAU/SC para providências</w:t>
      </w:r>
      <w:r>
        <w:rPr>
          <w:rFonts w:ascii="Times New Roman" w:hAnsi="Times New Roman"/>
          <w:sz w:val="22"/>
          <w:szCs w:val="22"/>
        </w:rPr>
        <w:t>; e</w:t>
      </w:r>
    </w:p>
    <w:p w:rsidR="00701C7A" w:rsidRDefault="00701C7A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01C7A" w:rsidRDefault="00C128A7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6- Solicitar que a Rede Integrada Atendimento (RIA) realize a divulgação dos esclarecimentos e recomendações, constantes dos itens 2 a 4 desta Deliberação, a todos CAU/UF para conhecimento e aplicação.</w:t>
      </w:r>
    </w:p>
    <w:p w:rsidR="00701C7A" w:rsidRDefault="00701C7A">
      <w:pPr>
        <w:spacing w:after="6pt"/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C128A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 - DF, 08 de </w:t>
      </w:r>
      <w:r>
        <w:rPr>
          <w:rFonts w:ascii="Times New Roman" w:hAnsi="Times New Roman"/>
          <w:sz w:val="22"/>
          <w:szCs w:val="22"/>
          <w:lang w:eastAsia="pt-BR"/>
        </w:rPr>
        <w:t>junho de 2018.</w:t>
      </w:r>
    </w:p>
    <w:p w:rsidR="00701C7A" w:rsidRDefault="00701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701C7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01C7A" w:rsidRDefault="00C128A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1C7A" w:rsidRDefault="00C128A7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01C7A" w:rsidRDefault="00701C7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701C7A" w:rsidRDefault="00C128A7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01C7A" w:rsidRDefault="00C128A7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01C7A" w:rsidRDefault="00701C7A"/>
    <w:p w:rsidR="00701C7A" w:rsidRDefault="00C128A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01C7A" w:rsidRDefault="00C128A7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01C7A" w:rsidRDefault="00701C7A"/>
    <w:p w:rsidR="00701C7A" w:rsidRDefault="00C128A7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TÂNIA MARIA MARINHO </w:t>
      </w:r>
      <w:r>
        <w:rPr>
          <w:rFonts w:ascii="Times New Roman" w:eastAsia="Calibri" w:hAnsi="Times New Roman"/>
          <w:b/>
          <w:sz w:val="22"/>
          <w:szCs w:val="22"/>
        </w:rPr>
        <w:t>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01C7A" w:rsidRDefault="00C128A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01C7A" w:rsidRDefault="00701C7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701C7A" w:rsidRDefault="00C128A7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01C7A" w:rsidRDefault="00C128A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701C7A" w:rsidRDefault="00701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701C7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128A7">
      <w:r>
        <w:separator/>
      </w:r>
    </w:p>
  </w:endnote>
  <w:endnote w:type="continuationSeparator" w:id="0">
    <w:p w:rsidR="00000000" w:rsidRDefault="00C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63C" w:rsidRDefault="00C128A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7063C" w:rsidRDefault="00C128A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128A7">
      <w:r>
        <w:rPr>
          <w:color w:val="000000"/>
        </w:rPr>
        <w:separator/>
      </w:r>
    </w:p>
  </w:footnote>
  <w:footnote w:type="continuationSeparator" w:id="0">
    <w:p w:rsidR="00000000" w:rsidRDefault="00C128A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063C" w:rsidRDefault="00C128A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3E3035D"/>
    <w:multiLevelType w:val="multilevel"/>
    <w:tmpl w:val="5B96E99A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1C7A"/>
    <w:rsid w:val="00701C7A"/>
    <w:rsid w:val="00C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1A8226-086B-46E8-85C5-4628353CFE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1285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2018-06-08T19:29:00Z</cp:lastPrinted>
  <dcterms:created xsi:type="dcterms:W3CDTF">2019-06-24T18:03:00Z</dcterms:created>
  <dcterms:modified xsi:type="dcterms:W3CDTF">2019-06-24T18:03:00Z</dcterms:modified>
</cp:coreProperties>
</file>