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84E39" w:rsidRPr="00D35C2F" w14:paraId="5C8D530F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D32E552" w14:textId="77777777" w:rsidR="00784E39" w:rsidRPr="00D35C2F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4946902" w14:textId="7A24AF3F" w:rsidR="00784E39" w:rsidRPr="00A11FDE" w:rsidRDefault="00A11FDE" w:rsidP="00BF3E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A11FDE">
              <w:rPr>
                <w:rFonts w:ascii="Times New Roman" w:hAnsi="Times New Roman"/>
                <w:b w:val="0"/>
              </w:rPr>
              <w:t xml:space="preserve">Protocolo nº 1172196 – CAU/SC encaminha Deliberação Plenária com pedido de reconsideração da decisão proferida na Deliberação nº 018/2020 da CEP– CAU/BR, acerca </w:t>
            </w:r>
            <w:r w:rsidR="00BF3E70">
              <w:rPr>
                <w:rFonts w:ascii="Times New Roman" w:hAnsi="Times New Roman"/>
                <w:b w:val="0"/>
              </w:rPr>
              <w:t xml:space="preserve">pessoa jurídica do tipo </w:t>
            </w:r>
            <w:r w:rsidRPr="00A11FDE">
              <w:rPr>
                <w:rFonts w:ascii="Times New Roman" w:hAnsi="Times New Roman"/>
                <w:b w:val="0"/>
              </w:rPr>
              <w:t>MEI – Microempreendedor Individual</w:t>
            </w:r>
          </w:p>
        </w:tc>
      </w:tr>
      <w:tr w:rsidR="00784E39" w:rsidRPr="00D35C2F" w14:paraId="664B51B5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B83E6B" w14:textId="77777777" w:rsidR="00784E39" w:rsidRPr="007647C3" w:rsidRDefault="00784E39" w:rsidP="00EB120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7647C3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B3F4BCA" w14:textId="0DBA3B64" w:rsidR="00784E39" w:rsidRPr="007647C3" w:rsidRDefault="00B962A0" w:rsidP="00AC46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  <w:t>Presidência do CAU/BR</w:t>
            </w:r>
          </w:p>
        </w:tc>
      </w:tr>
      <w:tr w:rsidR="00784E39" w:rsidRPr="00D35C2F" w14:paraId="65754900" w14:textId="77777777" w:rsidTr="00EB120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728A77F9" w14:textId="77777777" w:rsidR="00784E39" w:rsidRPr="00D35C2F" w:rsidRDefault="00784E39" w:rsidP="00EB120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52988E3" w14:textId="54F9E128" w:rsidR="00784E39" w:rsidRPr="006642AB" w:rsidRDefault="00784E39" w:rsidP="00A21E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6642AB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Pr="006A07F9">
              <w:rPr>
                <w:rFonts w:ascii="Times New Roman" w:hAnsi="Times New Roman"/>
                <w:b w:val="0"/>
                <w:bCs/>
              </w:rPr>
              <w:t>0</w:t>
            </w:r>
            <w:r w:rsidR="00A11FDE">
              <w:rPr>
                <w:rFonts w:ascii="Times New Roman" w:hAnsi="Times New Roman"/>
                <w:b w:val="0"/>
                <w:bCs/>
              </w:rPr>
              <w:t>6</w:t>
            </w:r>
            <w:r w:rsidRPr="006A07F9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AB1B07" w:rsidRPr="006A07F9">
              <w:rPr>
                <w:rFonts w:ascii="Times New Roman" w:hAnsi="Times New Roman"/>
                <w:b w:val="0"/>
                <w:bCs/>
              </w:rPr>
              <w:t>98</w:t>
            </w:r>
            <w:r w:rsidRPr="006A07F9">
              <w:rPr>
                <w:rFonts w:ascii="Times New Roman" w:hAnsi="Times New Roman"/>
                <w:b w:val="0"/>
                <w:bCs/>
              </w:rPr>
              <w:t>ª Reunião Ordinária da CEP-CAU/BR</w:t>
            </w:r>
          </w:p>
        </w:tc>
      </w:tr>
    </w:tbl>
    <w:p w14:paraId="5F7E6B5A" w14:textId="2BDE3D12" w:rsidR="00784E39" w:rsidRPr="00A17458" w:rsidRDefault="00784E39" w:rsidP="008F689D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</w:pPr>
      <w:r w:rsidRPr="00A17458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DELIBERAÇÃO Nº 0</w:t>
      </w:r>
      <w:r w:rsidR="008F689D" w:rsidRPr="00A17458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51</w:t>
      </w:r>
      <w:r w:rsidRPr="00A17458">
        <w:rPr>
          <w:rFonts w:ascii="Times New Roman" w:eastAsia="Times New Roman" w:hAnsi="Times New Roman" w:cs="Times New Roman"/>
          <w:b w:val="0"/>
          <w:bCs/>
          <w:smallCaps/>
          <w:color w:val="auto"/>
          <w:lang w:eastAsia="pt-BR"/>
        </w:rPr>
        <w:t>/2020 – CEP-CAU/BR</w:t>
      </w:r>
    </w:p>
    <w:p w14:paraId="0FE93A2F" w14:textId="132BA4CD" w:rsidR="00784E39" w:rsidRPr="00C15C1C" w:rsidRDefault="00784E39" w:rsidP="00784E39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 COMISSÃO DE 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EXERCÍCIO PROFISSIONAL – CEP</w:t>
      </w:r>
      <w:r w:rsidRPr="006A07F9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6A07F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ordinariamente por meio de videoconferência, nos dias </w:t>
      </w:r>
      <w:r w:rsidR="00442E1A"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8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e </w:t>
      </w:r>
      <w:r w:rsidR="00442E1A"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FF43CF"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>outubro</w:t>
      </w:r>
      <w:r w:rsidRPr="006A07F9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2020,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 uso das competências que lhe conferem os artigos 97 e 101 do Regimento Interno do CAU/BR, após análise do assunto em epígrafe, e</w:t>
      </w:r>
    </w:p>
    <w:p w14:paraId="0169D26D" w14:textId="77777777" w:rsidR="00784E39" w:rsidRPr="00C15C1C" w:rsidRDefault="00784E39" w:rsidP="00431411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1253E24" w14:textId="40561F02" w:rsidR="00843F3A" w:rsidRDefault="007647C3" w:rsidP="00B5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843F3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</w:t>
      </w:r>
      <w:r w:rsidR="00843F3A" w:rsidRPr="00843F3A">
        <w:rPr>
          <w:rFonts w:ascii="Times New Roman" w:eastAsia="Times New Roman" w:hAnsi="Times New Roman" w:cs="Times New Roman"/>
          <w:b w:val="0"/>
          <w:color w:val="auto"/>
          <w:lang w:eastAsia="pt-BR"/>
        </w:rPr>
        <w:t>o Ofício nº 1283/2020/PRES/CAUSC, que encaminha a Deliberação Plenária nº 541/2020do CAU/SC,</w:t>
      </w:r>
      <w:r w:rsidR="00843F3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com </w:t>
      </w:r>
      <w:r w:rsidR="00340209">
        <w:rPr>
          <w:rFonts w:ascii="Times New Roman" w:eastAsia="Times New Roman" w:hAnsi="Times New Roman" w:cs="Times New Roman"/>
          <w:b w:val="0"/>
          <w:color w:val="auto"/>
          <w:lang w:eastAsia="pt-BR"/>
        </w:rPr>
        <w:t>p</w:t>
      </w:r>
      <w:r w:rsidR="00843F3A" w:rsidRPr="00843F3A">
        <w:rPr>
          <w:rFonts w:ascii="Times New Roman" w:eastAsia="Times New Roman" w:hAnsi="Times New Roman" w:cs="Times New Roman"/>
          <w:b w:val="0"/>
          <w:color w:val="auto"/>
          <w:lang w:eastAsia="pt-BR"/>
        </w:rPr>
        <w:t>edido de reconsideração da decisão profe</w:t>
      </w:r>
      <w:r w:rsidR="00843F3A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rida na Deliberação nº 018/2020 da </w:t>
      </w:r>
      <w:r w:rsidR="00843F3A" w:rsidRPr="00843F3A">
        <w:rPr>
          <w:rFonts w:ascii="Times New Roman" w:eastAsia="Times New Roman" w:hAnsi="Times New Roman" w:cs="Times New Roman"/>
          <w:b w:val="0"/>
          <w:color w:val="auto"/>
          <w:lang w:eastAsia="pt-BR"/>
        </w:rPr>
        <w:t>CE</w:t>
      </w:r>
      <w:r w:rsidR="00843F3A">
        <w:rPr>
          <w:rFonts w:ascii="Times New Roman" w:eastAsia="Times New Roman" w:hAnsi="Times New Roman" w:cs="Times New Roman"/>
          <w:b w:val="0"/>
          <w:color w:val="auto"/>
          <w:lang w:eastAsia="pt-BR"/>
        </w:rPr>
        <w:t>P– CAU/BR, de 7 de maio de 2020.</w:t>
      </w:r>
    </w:p>
    <w:p w14:paraId="2508C8C7" w14:textId="77777777" w:rsidR="00055A76" w:rsidRDefault="00055A76" w:rsidP="00B500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2C6C86D8" w14:textId="1AE311D2" w:rsidR="009431A4" w:rsidRPr="009431A4" w:rsidRDefault="009431A4" w:rsidP="0094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9431A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que o item 4 da Deliberação nº 18/2020 da CEP-CAU/BR esclareceu que: </w:t>
      </w:r>
      <w:r w:rsidRPr="009431A4"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 xml:space="preserve">“os serviços técnicos e profissionais realizados pelos arquitetos e urbanistas são aqueles que: “compreendem as atividades especializadas profissionais, científicas e técnicas. Estas atividades requerem uma formação profissional específica normalmente com elevado nível de qualificação e treinamento (em geral educação universitária). O conhecimento especializado (expertise) é o principal elemento colocado à disposição do cliente”, como disposto nas “Notas Explicativas” da classificação adotada pelo CONCLA – Conselho Nacional de Classificação no CNAE – Cadastro Nacional de Atividades Econômicas para a Seção M - Atividades Profissionais, Científicas e Técnicas, na qual se insere a Divisão 71 - Serviços de Arquitetura e </w:t>
      </w:r>
      <w:proofErr w:type="gramStart"/>
      <w:r w:rsidRPr="009431A4">
        <w:rPr>
          <w:rFonts w:ascii="Times New Roman" w:eastAsia="Times New Roman" w:hAnsi="Times New Roman" w:cs="Times New Roman"/>
          <w:b w:val="0"/>
          <w:i/>
          <w:color w:val="auto"/>
          <w:lang w:eastAsia="pt-BR"/>
        </w:rPr>
        <w:t>Engenharia;”</w:t>
      </w:r>
      <w:proofErr w:type="gramEnd"/>
    </w:p>
    <w:p w14:paraId="5FAE14BE" w14:textId="77777777" w:rsidR="009431A4" w:rsidRDefault="009431A4" w:rsidP="00843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45226682" w14:textId="4124F024" w:rsidR="00784E39" w:rsidRPr="00843F3A" w:rsidRDefault="00784E39" w:rsidP="00843F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843F3A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53C352E1" w14:textId="77777777" w:rsidR="00784E39" w:rsidRPr="00843F3A" w:rsidRDefault="00784E39" w:rsidP="00843F3A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337761F" w14:textId="224812E3" w:rsidR="009431A4" w:rsidRDefault="00A21E65" w:rsidP="00B9669A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  <w:bookmarkStart w:id="0" w:name="_Hlk42511609"/>
      <w:r w:rsidRPr="00843F3A">
        <w:rPr>
          <w:rFonts w:ascii="Times New Roman" w:hAnsi="Times New Roman" w:cs="Times New Roman"/>
          <w:b w:val="0"/>
        </w:rPr>
        <w:t xml:space="preserve">1 </w:t>
      </w:r>
      <w:r w:rsidR="00843F3A" w:rsidRPr="00843F3A">
        <w:rPr>
          <w:rFonts w:ascii="Times New Roman" w:hAnsi="Times New Roman" w:cs="Times New Roman"/>
          <w:b w:val="0"/>
        </w:rPr>
        <w:t>–</w:t>
      </w:r>
      <w:r w:rsidRPr="00843F3A">
        <w:rPr>
          <w:rFonts w:ascii="Times New Roman" w:hAnsi="Times New Roman" w:cs="Times New Roman"/>
          <w:b w:val="0"/>
        </w:rPr>
        <w:t xml:space="preserve"> </w:t>
      </w:r>
      <w:r w:rsidR="00055A76" w:rsidRPr="00B9669A">
        <w:rPr>
          <w:rFonts w:ascii="Times New Roman" w:hAnsi="Times New Roman" w:cs="Times New Roman"/>
          <w:b w:val="0"/>
        </w:rPr>
        <w:t>Esclarecer que as</w:t>
      </w:r>
      <w:r w:rsidR="00B9669A">
        <w:rPr>
          <w:rFonts w:ascii="Times New Roman" w:hAnsi="Times New Roman" w:cs="Times New Roman"/>
          <w:b w:val="0"/>
        </w:rPr>
        <w:t xml:space="preserve"> ocupações p</w:t>
      </w:r>
      <w:r w:rsidR="00B9669A" w:rsidRPr="00B9669A">
        <w:rPr>
          <w:rFonts w:ascii="Times New Roman" w:hAnsi="Times New Roman" w:cs="Times New Roman"/>
          <w:b w:val="0"/>
        </w:rPr>
        <w:t>ermitidas ao MEI</w:t>
      </w:r>
      <w:r w:rsidR="00C824BF">
        <w:rPr>
          <w:rFonts w:ascii="Times New Roman" w:hAnsi="Times New Roman" w:cs="Times New Roman"/>
          <w:b w:val="0"/>
        </w:rPr>
        <w:t xml:space="preserve"> e os </w:t>
      </w:r>
      <w:proofErr w:type="spellStart"/>
      <w:r w:rsidR="00C824BF">
        <w:rPr>
          <w:rFonts w:ascii="Times New Roman" w:hAnsi="Times New Roman" w:cs="Times New Roman"/>
          <w:b w:val="0"/>
        </w:rPr>
        <w:t>CNAEs</w:t>
      </w:r>
      <w:proofErr w:type="spellEnd"/>
      <w:r w:rsidR="00C824BF">
        <w:rPr>
          <w:rFonts w:ascii="Times New Roman" w:hAnsi="Times New Roman" w:cs="Times New Roman"/>
          <w:b w:val="0"/>
        </w:rPr>
        <w:t xml:space="preserve"> relacionados a elas</w:t>
      </w:r>
      <w:r w:rsidR="00B9669A">
        <w:rPr>
          <w:rFonts w:ascii="Times New Roman" w:hAnsi="Times New Roman" w:cs="Times New Roman"/>
          <w:b w:val="0"/>
        </w:rPr>
        <w:t xml:space="preserve">, descritas no </w:t>
      </w:r>
      <w:r w:rsidR="00B9669A" w:rsidRPr="00B9669A">
        <w:rPr>
          <w:rFonts w:ascii="Times New Roman" w:hAnsi="Times New Roman" w:cs="Times New Roman"/>
          <w:b w:val="0"/>
        </w:rPr>
        <w:t>Anexo XI da Resolução CGSN nº 140, de 22 de maio de 2018</w:t>
      </w:r>
      <w:r w:rsidR="00C824BF">
        <w:rPr>
          <w:rFonts w:ascii="Times New Roman" w:hAnsi="Times New Roman" w:cs="Times New Roman"/>
          <w:b w:val="0"/>
        </w:rPr>
        <w:t xml:space="preserve">, </w:t>
      </w:r>
      <w:r w:rsidR="00D10C16">
        <w:rPr>
          <w:rFonts w:ascii="Times New Roman" w:hAnsi="Times New Roman" w:cs="Times New Roman"/>
          <w:b w:val="0"/>
        </w:rPr>
        <w:t>como</w:t>
      </w:r>
      <w:r w:rsidR="0014473E">
        <w:rPr>
          <w:rFonts w:ascii="Times New Roman" w:hAnsi="Times New Roman" w:cs="Times New Roman"/>
          <w:b w:val="0"/>
        </w:rPr>
        <w:t xml:space="preserve">: </w:t>
      </w:r>
      <w:r w:rsidR="00B9669A" w:rsidRPr="0014473E">
        <w:rPr>
          <w:rFonts w:ascii="Times New Roman" w:hAnsi="Times New Roman" w:cs="Times New Roman"/>
          <w:b w:val="0"/>
        </w:rPr>
        <w:t>gesseiro, marceneiro, instalador de máquinas, equipamentos e sistemas, montador de moveis pedreiro (obras de alvenaria), pintor de paredes</w:t>
      </w:r>
      <w:r w:rsidR="0014473E" w:rsidRPr="0014473E">
        <w:rPr>
          <w:rFonts w:ascii="Times New Roman" w:hAnsi="Times New Roman" w:cs="Times New Roman"/>
          <w:b w:val="0"/>
        </w:rPr>
        <w:t xml:space="preserve">, </w:t>
      </w:r>
      <w:r w:rsidR="00C824BF" w:rsidRPr="0014473E">
        <w:rPr>
          <w:rFonts w:ascii="Times New Roman" w:hAnsi="Times New Roman" w:cs="Times New Roman"/>
          <w:b w:val="0"/>
        </w:rPr>
        <w:t xml:space="preserve">vidraceiro, são serviços </w:t>
      </w:r>
      <w:r w:rsidR="009431A4" w:rsidRPr="0014473E">
        <w:rPr>
          <w:rFonts w:ascii="Times New Roman" w:hAnsi="Times New Roman" w:cs="Times New Roman"/>
          <w:b w:val="0"/>
        </w:rPr>
        <w:t xml:space="preserve">de mão-de-obra </w:t>
      </w:r>
      <w:r w:rsidR="00C824BF" w:rsidRPr="0014473E">
        <w:rPr>
          <w:rFonts w:ascii="Times New Roman" w:hAnsi="Times New Roman" w:cs="Times New Roman"/>
          <w:b w:val="0"/>
        </w:rPr>
        <w:t>prestados à construção civil</w:t>
      </w:r>
      <w:r w:rsidR="00A16FBB" w:rsidRPr="0014473E">
        <w:rPr>
          <w:rFonts w:ascii="Times New Roman" w:hAnsi="Times New Roman" w:cs="Times New Roman"/>
          <w:b w:val="0"/>
        </w:rPr>
        <w:t xml:space="preserve"> que </w:t>
      </w:r>
      <w:r w:rsidR="00A16FBB" w:rsidRPr="0014473E">
        <w:rPr>
          <w:rFonts w:ascii="Times New Roman" w:hAnsi="Times New Roman" w:cs="Times New Roman"/>
          <w:b w:val="0"/>
          <w:u w:val="single"/>
        </w:rPr>
        <w:t>não</w:t>
      </w:r>
      <w:r w:rsidR="00A16FBB" w:rsidRPr="0014473E">
        <w:rPr>
          <w:rFonts w:ascii="Times New Roman" w:hAnsi="Times New Roman" w:cs="Times New Roman"/>
          <w:b w:val="0"/>
        </w:rPr>
        <w:t xml:space="preserve"> requerem formação de nível superior</w:t>
      </w:r>
      <w:r w:rsidR="00A16FBB">
        <w:rPr>
          <w:rFonts w:ascii="Times New Roman" w:hAnsi="Times New Roman" w:cs="Times New Roman"/>
          <w:b w:val="0"/>
        </w:rPr>
        <w:t xml:space="preserve">, </w:t>
      </w:r>
      <w:r w:rsidR="00D10C16" w:rsidRPr="00D10C16">
        <w:rPr>
          <w:rFonts w:ascii="Times New Roman" w:hAnsi="Times New Roman" w:cs="Times New Roman"/>
          <w:b w:val="0"/>
          <w:u w:val="single"/>
        </w:rPr>
        <w:t xml:space="preserve">nem </w:t>
      </w:r>
      <w:r w:rsidR="00A16FBB">
        <w:rPr>
          <w:rFonts w:ascii="Times New Roman" w:hAnsi="Times New Roman" w:cs="Times New Roman"/>
          <w:b w:val="0"/>
        </w:rPr>
        <w:t xml:space="preserve">registro profissional em conselho de fiscalização, </w:t>
      </w:r>
      <w:r w:rsidR="00D10C16" w:rsidRPr="00D10C16">
        <w:rPr>
          <w:rFonts w:ascii="Times New Roman" w:hAnsi="Times New Roman" w:cs="Times New Roman"/>
          <w:b w:val="0"/>
          <w:u w:val="single"/>
        </w:rPr>
        <w:t xml:space="preserve">nem </w:t>
      </w:r>
      <w:r w:rsidR="00A16FBB">
        <w:rPr>
          <w:rFonts w:ascii="Times New Roman" w:hAnsi="Times New Roman" w:cs="Times New Roman"/>
          <w:b w:val="0"/>
        </w:rPr>
        <w:t>exigem cumprimento de legislações e normas técnicas</w:t>
      </w:r>
      <w:r w:rsidR="00CC27D6">
        <w:rPr>
          <w:rFonts w:ascii="Times New Roman" w:hAnsi="Times New Roman" w:cs="Times New Roman"/>
          <w:b w:val="0"/>
        </w:rPr>
        <w:t>,</w:t>
      </w:r>
      <w:r w:rsidR="00A16FBB">
        <w:rPr>
          <w:rFonts w:ascii="Times New Roman" w:hAnsi="Times New Roman" w:cs="Times New Roman"/>
          <w:b w:val="0"/>
        </w:rPr>
        <w:t xml:space="preserve"> </w:t>
      </w:r>
      <w:r w:rsidR="00A16FBB" w:rsidRPr="00D10C16">
        <w:rPr>
          <w:rFonts w:ascii="Times New Roman" w:hAnsi="Times New Roman" w:cs="Times New Roman"/>
          <w:b w:val="0"/>
          <w:u w:val="single"/>
        </w:rPr>
        <w:t xml:space="preserve">nem </w:t>
      </w:r>
      <w:r w:rsidR="00A16FBB">
        <w:rPr>
          <w:rFonts w:ascii="Times New Roman" w:hAnsi="Times New Roman" w:cs="Times New Roman"/>
          <w:b w:val="0"/>
        </w:rPr>
        <w:t xml:space="preserve">são </w:t>
      </w:r>
      <w:r w:rsidR="00CC27D6">
        <w:rPr>
          <w:rFonts w:ascii="Times New Roman" w:hAnsi="Times New Roman" w:cs="Times New Roman"/>
          <w:b w:val="0"/>
        </w:rPr>
        <w:t xml:space="preserve">profissões </w:t>
      </w:r>
      <w:r w:rsidR="00A16FBB">
        <w:rPr>
          <w:rFonts w:ascii="Times New Roman" w:hAnsi="Times New Roman" w:cs="Times New Roman"/>
          <w:b w:val="0"/>
        </w:rPr>
        <w:t xml:space="preserve">regulamentadas por Lei ou por órgãos </w:t>
      </w:r>
      <w:r w:rsidR="00D10C16">
        <w:rPr>
          <w:rFonts w:ascii="Times New Roman" w:hAnsi="Times New Roman" w:cs="Times New Roman"/>
          <w:b w:val="0"/>
        </w:rPr>
        <w:t>regulamentadores profissionais</w:t>
      </w:r>
      <w:r w:rsidR="00CC27D6">
        <w:rPr>
          <w:rFonts w:ascii="Times New Roman" w:hAnsi="Times New Roman" w:cs="Times New Roman"/>
          <w:b w:val="0"/>
        </w:rPr>
        <w:t xml:space="preserve">, </w:t>
      </w:r>
      <w:r w:rsidR="0014473E">
        <w:rPr>
          <w:rFonts w:ascii="Times New Roman" w:hAnsi="Times New Roman" w:cs="Times New Roman"/>
          <w:b w:val="0"/>
        </w:rPr>
        <w:t>portanto,</w:t>
      </w:r>
      <w:r w:rsidR="00D10C16">
        <w:rPr>
          <w:rFonts w:ascii="Times New Roman" w:hAnsi="Times New Roman" w:cs="Times New Roman"/>
          <w:b w:val="0"/>
        </w:rPr>
        <w:t xml:space="preserve"> </w:t>
      </w:r>
      <w:r w:rsidR="009034D4">
        <w:rPr>
          <w:rFonts w:ascii="Times New Roman" w:hAnsi="Times New Roman" w:cs="Times New Roman"/>
          <w:u w:val="single"/>
        </w:rPr>
        <w:t>não</w:t>
      </w:r>
      <w:r w:rsidR="00A16FBB" w:rsidRPr="009034D4">
        <w:rPr>
          <w:rFonts w:ascii="Times New Roman" w:hAnsi="Times New Roman" w:cs="Times New Roman"/>
        </w:rPr>
        <w:t xml:space="preserve"> </w:t>
      </w:r>
      <w:r w:rsidR="00C824BF" w:rsidRPr="0014473E">
        <w:rPr>
          <w:rFonts w:ascii="Times New Roman" w:hAnsi="Times New Roman" w:cs="Times New Roman"/>
          <w:b w:val="0"/>
        </w:rPr>
        <w:t>fazem</w:t>
      </w:r>
      <w:r w:rsidR="00C824BF">
        <w:rPr>
          <w:rFonts w:ascii="Times New Roman" w:hAnsi="Times New Roman" w:cs="Times New Roman"/>
          <w:b w:val="0"/>
        </w:rPr>
        <w:t xml:space="preserve"> parte </w:t>
      </w:r>
      <w:r w:rsidR="00D10C16">
        <w:rPr>
          <w:rFonts w:ascii="Times New Roman" w:hAnsi="Times New Roman" w:cs="Times New Roman"/>
          <w:b w:val="0"/>
        </w:rPr>
        <w:t>do rol de a</w:t>
      </w:r>
      <w:r w:rsidR="009431A4">
        <w:rPr>
          <w:rFonts w:ascii="Times New Roman" w:hAnsi="Times New Roman" w:cs="Times New Roman"/>
          <w:b w:val="0"/>
        </w:rPr>
        <w:t>tividades de Arqui</w:t>
      </w:r>
      <w:r w:rsidR="00CC27D6">
        <w:rPr>
          <w:rFonts w:ascii="Times New Roman" w:hAnsi="Times New Roman" w:cs="Times New Roman"/>
          <w:b w:val="0"/>
        </w:rPr>
        <w:t>tetura e Urbanismo, regulamentado</w:t>
      </w:r>
      <w:r w:rsidR="009431A4">
        <w:rPr>
          <w:rFonts w:ascii="Times New Roman" w:hAnsi="Times New Roman" w:cs="Times New Roman"/>
          <w:b w:val="0"/>
        </w:rPr>
        <w:t xml:space="preserve"> pela Lei 12.378/2010</w:t>
      </w:r>
      <w:r w:rsidR="009034D4">
        <w:rPr>
          <w:rFonts w:ascii="Times New Roman" w:hAnsi="Times New Roman" w:cs="Times New Roman"/>
          <w:b w:val="0"/>
        </w:rPr>
        <w:t>;</w:t>
      </w:r>
    </w:p>
    <w:p w14:paraId="49743CB3" w14:textId="77777777" w:rsidR="009431A4" w:rsidRDefault="009431A4" w:rsidP="00B9669A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14:paraId="5BB7CD8B" w14:textId="1D428605" w:rsidR="00055A76" w:rsidRDefault="009431A4" w:rsidP="00B9669A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2- Esclarecer </w:t>
      </w:r>
      <w:r w:rsidR="00A16FBB">
        <w:rPr>
          <w:rFonts w:ascii="Times New Roman" w:hAnsi="Times New Roman" w:cs="Times New Roman"/>
          <w:b w:val="0"/>
        </w:rPr>
        <w:t xml:space="preserve">ainda </w:t>
      </w:r>
      <w:r>
        <w:rPr>
          <w:rFonts w:ascii="Times New Roman" w:hAnsi="Times New Roman" w:cs="Times New Roman"/>
          <w:b w:val="0"/>
        </w:rPr>
        <w:t xml:space="preserve">que as atividades e serviços prestados pelos arquitetos e urbanistas e pelas empresas </w:t>
      </w:r>
      <w:proofErr w:type="gramStart"/>
      <w:r>
        <w:rPr>
          <w:rFonts w:ascii="Times New Roman" w:hAnsi="Times New Roman" w:cs="Times New Roman"/>
          <w:b w:val="0"/>
        </w:rPr>
        <w:t>de</w:t>
      </w:r>
      <w:proofErr w:type="gramEnd"/>
      <w:r>
        <w:rPr>
          <w:rFonts w:ascii="Times New Roman" w:hAnsi="Times New Roman" w:cs="Times New Roman"/>
          <w:b w:val="0"/>
        </w:rPr>
        <w:t xml:space="preserve"> Arquitetura e Urbanismo, que </w:t>
      </w:r>
      <w:r w:rsidR="00A16FBB">
        <w:rPr>
          <w:rFonts w:ascii="Times New Roman" w:hAnsi="Times New Roman" w:cs="Times New Roman"/>
          <w:b w:val="0"/>
        </w:rPr>
        <w:t xml:space="preserve">são </w:t>
      </w:r>
      <w:r w:rsidR="00C824BF">
        <w:rPr>
          <w:rFonts w:ascii="Times New Roman" w:hAnsi="Times New Roman" w:cs="Times New Roman"/>
          <w:b w:val="0"/>
        </w:rPr>
        <w:t>colocados à disposição do</w:t>
      </w:r>
      <w:r>
        <w:rPr>
          <w:rFonts w:ascii="Times New Roman" w:hAnsi="Times New Roman" w:cs="Times New Roman"/>
          <w:b w:val="0"/>
        </w:rPr>
        <w:t>s</w:t>
      </w:r>
      <w:r w:rsidR="00C824BF">
        <w:rPr>
          <w:rFonts w:ascii="Times New Roman" w:hAnsi="Times New Roman" w:cs="Times New Roman"/>
          <w:b w:val="0"/>
        </w:rPr>
        <w:t xml:space="preserve"> cliente</w:t>
      </w:r>
      <w:r>
        <w:rPr>
          <w:rFonts w:ascii="Times New Roman" w:hAnsi="Times New Roman" w:cs="Times New Roman"/>
          <w:b w:val="0"/>
        </w:rPr>
        <w:t>s</w:t>
      </w:r>
      <w:r w:rsidR="00C824BF">
        <w:rPr>
          <w:rFonts w:ascii="Times New Roman" w:hAnsi="Times New Roman" w:cs="Times New Roman"/>
          <w:b w:val="0"/>
        </w:rPr>
        <w:t xml:space="preserve"> e usuário</w:t>
      </w:r>
      <w:r>
        <w:rPr>
          <w:rFonts w:ascii="Times New Roman" w:hAnsi="Times New Roman" w:cs="Times New Roman"/>
          <w:b w:val="0"/>
        </w:rPr>
        <w:t>s</w:t>
      </w:r>
      <w:r w:rsidR="00C824BF">
        <w:rPr>
          <w:rFonts w:ascii="Times New Roman" w:hAnsi="Times New Roman" w:cs="Times New Roman"/>
          <w:b w:val="0"/>
        </w:rPr>
        <w:t>, requerem formação universitária, conhecimento</w:t>
      </w:r>
      <w:r>
        <w:rPr>
          <w:rFonts w:ascii="Times New Roman" w:hAnsi="Times New Roman" w:cs="Times New Roman"/>
          <w:b w:val="0"/>
        </w:rPr>
        <w:t>s</w:t>
      </w:r>
      <w:r w:rsidR="00C824BF">
        <w:rPr>
          <w:rFonts w:ascii="Times New Roman" w:hAnsi="Times New Roman" w:cs="Times New Roman"/>
          <w:b w:val="0"/>
        </w:rPr>
        <w:t xml:space="preserve"> técnico</w:t>
      </w:r>
      <w:r>
        <w:rPr>
          <w:rFonts w:ascii="Times New Roman" w:hAnsi="Times New Roman" w:cs="Times New Roman"/>
          <w:b w:val="0"/>
        </w:rPr>
        <w:t>s</w:t>
      </w:r>
      <w:r w:rsidR="00C824BF">
        <w:rPr>
          <w:rFonts w:ascii="Times New Roman" w:hAnsi="Times New Roman" w:cs="Times New Roman"/>
          <w:b w:val="0"/>
        </w:rPr>
        <w:t xml:space="preserve"> e científico</w:t>
      </w:r>
      <w:r>
        <w:rPr>
          <w:rFonts w:ascii="Times New Roman" w:hAnsi="Times New Roman" w:cs="Times New Roman"/>
          <w:b w:val="0"/>
        </w:rPr>
        <w:t>s</w:t>
      </w:r>
      <w:r w:rsidR="00C824BF">
        <w:rPr>
          <w:rFonts w:ascii="Times New Roman" w:hAnsi="Times New Roman" w:cs="Times New Roman"/>
          <w:b w:val="0"/>
        </w:rPr>
        <w:t xml:space="preserve"> especializad</w:t>
      </w:r>
      <w:r>
        <w:rPr>
          <w:rFonts w:ascii="Times New Roman" w:hAnsi="Times New Roman" w:cs="Times New Roman"/>
          <w:b w:val="0"/>
        </w:rPr>
        <w:t>os</w:t>
      </w:r>
      <w:r w:rsidR="00C824BF">
        <w:rPr>
          <w:rFonts w:ascii="Times New Roman" w:hAnsi="Times New Roman" w:cs="Times New Roman"/>
          <w:b w:val="0"/>
        </w:rPr>
        <w:t>, atendimento às legislações e normas,</w:t>
      </w:r>
      <w:r>
        <w:rPr>
          <w:rFonts w:ascii="Times New Roman" w:hAnsi="Times New Roman" w:cs="Times New Roman"/>
          <w:b w:val="0"/>
        </w:rPr>
        <w:t xml:space="preserve"> entre outras exigências legais, </w:t>
      </w:r>
      <w:r w:rsidR="009034D4">
        <w:rPr>
          <w:rFonts w:ascii="Times New Roman" w:hAnsi="Times New Roman" w:cs="Times New Roman"/>
          <w:b w:val="0"/>
        </w:rPr>
        <w:t xml:space="preserve">e </w:t>
      </w:r>
      <w:r w:rsidR="009034D4" w:rsidRPr="009034D4">
        <w:rPr>
          <w:rFonts w:ascii="Times New Roman" w:hAnsi="Times New Roman" w:cs="Times New Roman"/>
          <w:b w:val="0"/>
        </w:rPr>
        <w:t>estão relacionada</w:t>
      </w:r>
      <w:r w:rsidR="0014473E" w:rsidRPr="009034D4">
        <w:rPr>
          <w:rFonts w:ascii="Times New Roman" w:hAnsi="Times New Roman" w:cs="Times New Roman"/>
          <w:b w:val="0"/>
        </w:rPr>
        <w:t>s</w:t>
      </w:r>
      <w:r w:rsidR="00E846F0" w:rsidRPr="009034D4">
        <w:rPr>
          <w:rFonts w:ascii="Times New Roman" w:hAnsi="Times New Roman" w:cs="Times New Roman"/>
          <w:b w:val="0"/>
        </w:rPr>
        <w:t xml:space="preserve"> à</w:t>
      </w:r>
      <w:r w:rsidRPr="009034D4">
        <w:rPr>
          <w:rFonts w:ascii="Times New Roman" w:hAnsi="Times New Roman" w:cs="Times New Roman"/>
          <w:b w:val="0"/>
        </w:rPr>
        <w:t xml:space="preserve"> supervisão, acompanhamento, gerenciamento, </w:t>
      </w:r>
      <w:r w:rsidR="00A16FBB" w:rsidRPr="009034D4">
        <w:rPr>
          <w:rFonts w:ascii="Times New Roman" w:hAnsi="Times New Roman" w:cs="Times New Roman"/>
          <w:b w:val="0"/>
        </w:rPr>
        <w:t xml:space="preserve">comando, </w:t>
      </w:r>
      <w:r w:rsidRPr="009034D4">
        <w:rPr>
          <w:rFonts w:ascii="Times New Roman" w:hAnsi="Times New Roman" w:cs="Times New Roman"/>
          <w:b w:val="0"/>
        </w:rPr>
        <w:t>direçã</w:t>
      </w:r>
      <w:r w:rsidR="009034D4" w:rsidRPr="009034D4">
        <w:rPr>
          <w:rFonts w:ascii="Times New Roman" w:hAnsi="Times New Roman" w:cs="Times New Roman"/>
          <w:b w:val="0"/>
        </w:rPr>
        <w:t>o, coordenação e fiscalização dos</w:t>
      </w:r>
      <w:r w:rsidRPr="009034D4">
        <w:rPr>
          <w:rFonts w:ascii="Times New Roman" w:hAnsi="Times New Roman" w:cs="Times New Roman"/>
          <w:b w:val="0"/>
        </w:rPr>
        <w:t xml:space="preserve"> serviços de execução de obra ou de instalações </w:t>
      </w:r>
      <w:r w:rsidR="00A16FBB" w:rsidRPr="009034D4">
        <w:rPr>
          <w:rFonts w:ascii="Times New Roman" w:hAnsi="Times New Roman" w:cs="Times New Roman"/>
          <w:b w:val="0"/>
        </w:rPr>
        <w:t>(ou da mão-de obra) no</w:t>
      </w:r>
      <w:r w:rsidRPr="009034D4">
        <w:rPr>
          <w:rFonts w:ascii="Times New Roman" w:hAnsi="Times New Roman" w:cs="Times New Roman"/>
          <w:b w:val="0"/>
        </w:rPr>
        <w:t xml:space="preserve"> setor da construção civil;</w:t>
      </w:r>
    </w:p>
    <w:p w14:paraId="34A137FA" w14:textId="77777777" w:rsidR="009431A4" w:rsidRDefault="009431A4" w:rsidP="00B9669A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14:paraId="20D26835" w14:textId="46BEF578" w:rsidR="009431A4" w:rsidRPr="00843F3A" w:rsidRDefault="00CC27D6" w:rsidP="009431A4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</w:t>
      </w:r>
      <w:r w:rsidR="009431A4">
        <w:rPr>
          <w:rFonts w:ascii="Times New Roman" w:hAnsi="Times New Roman" w:cs="Times New Roman"/>
          <w:b w:val="0"/>
        </w:rPr>
        <w:t xml:space="preserve"> - </w:t>
      </w:r>
      <w:r w:rsidR="009431A4" w:rsidRPr="00843F3A">
        <w:rPr>
          <w:rFonts w:ascii="Times New Roman" w:hAnsi="Times New Roman" w:cs="Times New Roman"/>
          <w:b w:val="0"/>
        </w:rPr>
        <w:t xml:space="preserve">Ratificar a informação </w:t>
      </w:r>
      <w:r w:rsidR="009431A4">
        <w:rPr>
          <w:rFonts w:ascii="Times New Roman" w:hAnsi="Times New Roman" w:cs="Times New Roman"/>
          <w:b w:val="0"/>
        </w:rPr>
        <w:t>contida na</w:t>
      </w:r>
      <w:r w:rsidR="009431A4" w:rsidRPr="00843F3A">
        <w:rPr>
          <w:rFonts w:ascii="Times New Roman" w:hAnsi="Times New Roman" w:cs="Times New Roman"/>
          <w:b w:val="0"/>
        </w:rPr>
        <w:t xml:space="preserve"> Deliberaç</w:t>
      </w:r>
      <w:r w:rsidR="009431A4">
        <w:rPr>
          <w:rFonts w:ascii="Times New Roman" w:hAnsi="Times New Roman" w:cs="Times New Roman"/>
          <w:b w:val="0"/>
        </w:rPr>
        <w:t xml:space="preserve">ão </w:t>
      </w:r>
      <w:r w:rsidR="009431A4">
        <w:rPr>
          <w:rFonts w:ascii="Times New Roman" w:eastAsia="Times New Roman" w:hAnsi="Times New Roman" w:cs="Times New Roman"/>
          <w:b w:val="0"/>
          <w:color w:val="auto"/>
          <w:lang w:eastAsia="pt-BR"/>
        </w:rPr>
        <w:t>nº 018/2020-</w:t>
      </w:r>
      <w:r w:rsidR="009431A4" w:rsidRPr="00843F3A">
        <w:rPr>
          <w:rFonts w:ascii="Times New Roman" w:eastAsia="Times New Roman" w:hAnsi="Times New Roman" w:cs="Times New Roman"/>
          <w:b w:val="0"/>
          <w:color w:val="auto"/>
          <w:lang w:eastAsia="pt-BR"/>
        </w:rPr>
        <w:t>CE</w:t>
      </w:r>
      <w:r w:rsidR="009431A4">
        <w:rPr>
          <w:rFonts w:ascii="Times New Roman" w:eastAsia="Times New Roman" w:hAnsi="Times New Roman" w:cs="Times New Roman"/>
          <w:b w:val="0"/>
          <w:color w:val="auto"/>
          <w:lang w:eastAsia="pt-BR"/>
        </w:rPr>
        <w:t>P– CAU/BR</w:t>
      </w:r>
      <w:r w:rsidR="009431A4">
        <w:rPr>
          <w:rFonts w:ascii="Times New Roman" w:hAnsi="Times New Roman" w:cs="Times New Roman"/>
          <w:b w:val="0"/>
        </w:rPr>
        <w:t xml:space="preserve"> de que </w:t>
      </w:r>
      <w:r w:rsidR="009431A4" w:rsidRPr="00843F3A">
        <w:rPr>
          <w:rFonts w:ascii="Times New Roman" w:hAnsi="Times New Roman" w:cs="Times New Roman"/>
          <w:b w:val="0"/>
        </w:rPr>
        <w:t xml:space="preserve">as pessoas jurídicas do tipo Microempreendedor Individual (MEI) </w:t>
      </w:r>
      <w:r w:rsidR="009431A4" w:rsidRPr="00843F3A">
        <w:rPr>
          <w:rFonts w:ascii="Times New Roman" w:hAnsi="Times New Roman" w:cs="Times New Roman"/>
          <w:u w:val="single"/>
        </w:rPr>
        <w:t>não</w:t>
      </w:r>
      <w:r w:rsidR="009431A4" w:rsidRPr="00843F3A">
        <w:rPr>
          <w:rFonts w:ascii="Times New Roman" w:hAnsi="Times New Roman" w:cs="Times New Roman"/>
          <w:b w:val="0"/>
        </w:rPr>
        <w:t xml:space="preserve"> </w:t>
      </w:r>
      <w:r w:rsidR="0014473E">
        <w:rPr>
          <w:rFonts w:ascii="Times New Roman" w:hAnsi="Times New Roman" w:cs="Times New Roman"/>
          <w:b w:val="0"/>
        </w:rPr>
        <w:t>são</w:t>
      </w:r>
      <w:r w:rsidR="009431A4" w:rsidRPr="00843F3A">
        <w:rPr>
          <w:rFonts w:ascii="Times New Roman" w:hAnsi="Times New Roman" w:cs="Times New Roman"/>
          <w:b w:val="0"/>
        </w:rPr>
        <w:t xml:space="preserve"> habi</w:t>
      </w:r>
      <w:r w:rsidR="009431A4">
        <w:rPr>
          <w:rFonts w:ascii="Times New Roman" w:hAnsi="Times New Roman" w:cs="Times New Roman"/>
          <w:b w:val="0"/>
        </w:rPr>
        <w:t xml:space="preserve">litadas, por Lei, </w:t>
      </w:r>
      <w:r w:rsidR="009431A4" w:rsidRPr="00843F3A">
        <w:rPr>
          <w:rFonts w:ascii="Times New Roman" w:hAnsi="Times New Roman" w:cs="Times New Roman"/>
          <w:b w:val="0"/>
        </w:rPr>
        <w:t>para exercerem atividades de Arquitetu</w:t>
      </w:r>
      <w:r w:rsidR="009431A4">
        <w:rPr>
          <w:rFonts w:ascii="Times New Roman" w:hAnsi="Times New Roman" w:cs="Times New Roman"/>
          <w:b w:val="0"/>
        </w:rPr>
        <w:t xml:space="preserve">ra e Urbanismo </w:t>
      </w:r>
      <w:r w:rsidR="009431A4" w:rsidRPr="00340209">
        <w:rPr>
          <w:rFonts w:ascii="Times New Roman" w:hAnsi="Times New Roman" w:cs="Times New Roman"/>
          <w:b w:val="0"/>
          <w:u w:val="single"/>
        </w:rPr>
        <w:t>nem</w:t>
      </w:r>
      <w:r w:rsidR="009431A4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atividades </w:t>
      </w:r>
      <w:r w:rsidR="009431A4">
        <w:rPr>
          <w:rFonts w:ascii="Times New Roman" w:hAnsi="Times New Roman" w:cs="Times New Roman"/>
          <w:b w:val="0"/>
        </w:rPr>
        <w:t>de profissões regulamentadas</w:t>
      </w:r>
      <w:r w:rsidR="009034D4">
        <w:rPr>
          <w:rFonts w:ascii="Times New Roman" w:hAnsi="Times New Roman" w:cs="Times New Roman"/>
          <w:b w:val="0"/>
        </w:rPr>
        <w:t xml:space="preserve"> (</w:t>
      </w:r>
      <w:r w:rsidR="009431A4">
        <w:rPr>
          <w:rFonts w:ascii="Times New Roman" w:hAnsi="Times New Roman" w:cs="Times New Roman"/>
          <w:b w:val="0"/>
        </w:rPr>
        <w:t>como a do arquiteto e urbanista</w:t>
      </w:r>
      <w:r w:rsidR="009034D4">
        <w:rPr>
          <w:rFonts w:ascii="Times New Roman" w:hAnsi="Times New Roman" w:cs="Times New Roman"/>
          <w:b w:val="0"/>
        </w:rPr>
        <w:t xml:space="preserve">), portanto, </w:t>
      </w:r>
      <w:r w:rsidR="009431A4">
        <w:rPr>
          <w:rFonts w:ascii="Times New Roman" w:hAnsi="Times New Roman" w:cs="Times New Roman"/>
          <w:b w:val="0"/>
        </w:rPr>
        <w:t xml:space="preserve">esse tipo de pessoa jurídica </w:t>
      </w:r>
      <w:r w:rsidR="009431A4" w:rsidRPr="00340209">
        <w:rPr>
          <w:rFonts w:ascii="Times New Roman" w:hAnsi="Times New Roman" w:cs="Times New Roman"/>
          <w:u w:val="single"/>
        </w:rPr>
        <w:t>não</w:t>
      </w:r>
      <w:r w:rsidR="009431A4">
        <w:rPr>
          <w:rFonts w:ascii="Times New Roman" w:hAnsi="Times New Roman" w:cs="Times New Roman"/>
          <w:b w:val="0"/>
        </w:rPr>
        <w:t xml:space="preserve"> </w:t>
      </w:r>
      <w:r w:rsidR="0014473E">
        <w:rPr>
          <w:rFonts w:ascii="Times New Roman" w:hAnsi="Times New Roman" w:cs="Times New Roman"/>
          <w:b w:val="0"/>
        </w:rPr>
        <w:t xml:space="preserve">possui </w:t>
      </w:r>
      <w:r w:rsidR="009431A4">
        <w:rPr>
          <w:rFonts w:ascii="Times New Roman" w:hAnsi="Times New Roman" w:cs="Times New Roman"/>
          <w:b w:val="0"/>
        </w:rPr>
        <w:t>objetivos sociais compatíveis com as atividades, atribuições e campos de atuação profissional da Arquitetura e Urbanismo;</w:t>
      </w:r>
    </w:p>
    <w:p w14:paraId="75F77F26" w14:textId="77777777" w:rsidR="009431A4" w:rsidRDefault="009431A4" w:rsidP="00B9669A">
      <w:pPr>
        <w:spacing w:after="0" w:line="240" w:lineRule="auto"/>
        <w:jc w:val="both"/>
        <w:rPr>
          <w:rFonts w:ascii="Times New Roman" w:hAnsi="Times New Roman" w:cs="Times New Roman"/>
          <w:b w:val="0"/>
        </w:rPr>
      </w:pPr>
    </w:p>
    <w:p w14:paraId="203DE93F" w14:textId="100656C9" w:rsidR="00055A76" w:rsidRDefault="00F72034" w:rsidP="00A21E65">
      <w:pPr>
        <w:spacing w:after="0" w:line="240" w:lineRule="auto"/>
        <w:jc w:val="both"/>
        <w:rPr>
          <w:rFonts w:ascii="Times New Roman" w:hAnsi="Times New Roman"/>
          <w:b w:val="0"/>
          <w:bCs/>
          <w:lang w:eastAsia="pt-BR"/>
        </w:rPr>
      </w:pPr>
      <w:r>
        <w:rPr>
          <w:rFonts w:ascii="Times New Roman" w:hAnsi="Times New Roman" w:cs="Times New Roman"/>
          <w:b w:val="0"/>
        </w:rPr>
        <w:t>4</w:t>
      </w:r>
      <w:r w:rsidR="009431A4">
        <w:rPr>
          <w:rFonts w:ascii="Times New Roman" w:hAnsi="Times New Roman" w:cs="Times New Roman"/>
          <w:b w:val="0"/>
        </w:rPr>
        <w:t xml:space="preserve"> - Informar, com base no exposto acima, sobre a impossibilidade de atendimento do pedido de reconsideração, objeto da </w:t>
      </w:r>
      <w:r w:rsidR="009431A4" w:rsidRPr="00843F3A">
        <w:rPr>
          <w:rFonts w:ascii="Times New Roman" w:eastAsia="Times New Roman" w:hAnsi="Times New Roman" w:cs="Times New Roman"/>
          <w:b w:val="0"/>
          <w:color w:val="auto"/>
          <w:lang w:eastAsia="pt-BR"/>
        </w:rPr>
        <w:t>Deliberação Plenária nº 541/2020do CAU/SC</w:t>
      </w:r>
      <w:r w:rsidR="009431A4">
        <w:rPr>
          <w:rFonts w:ascii="Times New Roman" w:eastAsia="Times New Roman" w:hAnsi="Times New Roman" w:cs="Times New Roman"/>
          <w:b w:val="0"/>
          <w:color w:val="auto"/>
          <w:lang w:eastAsia="pt-BR"/>
        </w:rPr>
        <w:t>; e</w:t>
      </w:r>
    </w:p>
    <w:p w14:paraId="0229E4DE" w14:textId="77777777" w:rsidR="00055A76" w:rsidRPr="007647C3" w:rsidRDefault="00055A76" w:rsidP="00A21E65">
      <w:pPr>
        <w:spacing w:after="0" w:line="240" w:lineRule="auto"/>
        <w:jc w:val="both"/>
        <w:rPr>
          <w:rFonts w:ascii="Times New Roman" w:hAnsi="Times New Roman"/>
          <w:b w:val="0"/>
          <w:bCs/>
          <w:lang w:eastAsia="pt-BR"/>
        </w:rPr>
      </w:pPr>
    </w:p>
    <w:p w14:paraId="30537DC1" w14:textId="43EC8BCE" w:rsidR="00A21E65" w:rsidRPr="00C15C1C" w:rsidRDefault="00F72034" w:rsidP="00A21E6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hAnsi="Times New Roman"/>
          <w:b w:val="0"/>
          <w:bCs/>
          <w:lang w:eastAsia="pt-BR"/>
        </w:rPr>
        <w:lastRenderedPageBreak/>
        <w:t>5</w:t>
      </w:r>
      <w:bookmarkStart w:id="1" w:name="_GoBack"/>
      <w:bookmarkEnd w:id="1"/>
      <w:r w:rsidR="007647C3" w:rsidRPr="007647C3">
        <w:rPr>
          <w:rFonts w:ascii="Times New Roman" w:hAnsi="Times New Roman"/>
          <w:b w:val="0"/>
          <w:bCs/>
          <w:lang w:eastAsia="pt-BR"/>
        </w:rPr>
        <w:t xml:space="preserve"> - Encaminhar</w:t>
      </w:r>
      <w:bookmarkEnd w:id="0"/>
      <w:r w:rsidR="007647C3" w:rsidRPr="007647C3">
        <w:rPr>
          <w:rFonts w:ascii="Times New Roman" w:eastAsia="Cambria" w:hAnsi="Times New Roman" w:cs="Times New Roman"/>
          <w:b w:val="0"/>
          <w:color w:val="auto"/>
        </w:rPr>
        <w:t xml:space="preserve"> </w:t>
      </w:r>
      <w:r w:rsidR="00A21E65" w:rsidRPr="00A21E65">
        <w:rPr>
          <w:rFonts w:ascii="Times New Roman" w:eastAsia="Cambria" w:hAnsi="Times New Roman" w:cs="Times New Roman"/>
          <w:b w:val="0"/>
          <w:color w:val="auto"/>
        </w:rPr>
        <w:t>à Secretaria Geral da Mesa (SGM)</w:t>
      </w:r>
      <w:r w:rsidR="00A21E65">
        <w:rPr>
          <w:rFonts w:ascii="Times New Roman" w:eastAsia="Cambria" w:hAnsi="Times New Roman" w:cs="Times New Roman"/>
          <w:b w:val="0"/>
          <w:color w:val="auto"/>
        </w:rPr>
        <w:t xml:space="preserve"> para </w:t>
      </w:r>
      <w:r w:rsidR="00A21E65" w:rsidRPr="00A21E65">
        <w:rPr>
          <w:rFonts w:ascii="Times New Roman" w:eastAsia="Cambria" w:hAnsi="Times New Roman" w:cs="Times New Roman"/>
          <w:b w:val="0"/>
          <w:bCs/>
          <w:color w:val="auto"/>
        </w:rPr>
        <w:t xml:space="preserve">envio de resposta </w:t>
      </w:r>
      <w:r w:rsidR="00A21E65" w:rsidRPr="00340209">
        <w:rPr>
          <w:rFonts w:ascii="Times New Roman" w:eastAsia="Cambria" w:hAnsi="Times New Roman" w:cs="Times New Roman"/>
          <w:b w:val="0"/>
          <w:bCs/>
          <w:color w:val="auto"/>
        </w:rPr>
        <w:t xml:space="preserve">ao CAU/ </w:t>
      </w:r>
      <w:r w:rsidR="00A74CEF" w:rsidRPr="00340209">
        <w:rPr>
          <w:rFonts w:ascii="Times New Roman" w:eastAsia="Cambria" w:hAnsi="Times New Roman" w:cs="Times New Roman"/>
          <w:b w:val="0"/>
          <w:bCs/>
          <w:color w:val="auto"/>
        </w:rPr>
        <w:t>SC</w:t>
      </w:r>
      <w:r w:rsidR="00A74CEF">
        <w:rPr>
          <w:rFonts w:ascii="Times New Roman" w:eastAsia="Cambria" w:hAnsi="Times New Roman" w:cs="Times New Roman"/>
          <w:b w:val="0"/>
          <w:bCs/>
          <w:color w:val="auto"/>
        </w:rPr>
        <w:t xml:space="preserve"> </w:t>
      </w:r>
      <w:r w:rsidR="00A21E65" w:rsidRPr="00A21E65">
        <w:rPr>
          <w:rFonts w:ascii="Times New Roman" w:eastAsia="Cambria" w:hAnsi="Times New Roman" w:cs="Times New Roman"/>
          <w:b w:val="0"/>
          <w:bCs/>
          <w:color w:val="auto"/>
        </w:rPr>
        <w:t xml:space="preserve">por meio do protocolo em epígrafe </w:t>
      </w:r>
      <w:r w:rsidR="00A21E65" w:rsidRPr="00A21E65">
        <w:rPr>
          <w:rFonts w:ascii="Times New Roman" w:eastAsia="Cambria" w:hAnsi="Times New Roman" w:cs="Times New Roman"/>
          <w:b w:val="0"/>
          <w:color w:val="auto"/>
        </w:rPr>
        <w:t>e</w:t>
      </w:r>
      <w:r w:rsidR="00A21E65">
        <w:rPr>
          <w:rFonts w:ascii="Times New Roman" w:eastAsia="Cambria" w:hAnsi="Times New Roman" w:cs="Times New Roman"/>
          <w:b w:val="0"/>
          <w:color w:val="auto"/>
        </w:rPr>
        <w:t xml:space="preserve"> para </w:t>
      </w:r>
      <w:r w:rsidR="00A21E65" w:rsidRPr="00C15C1C">
        <w:rPr>
          <w:rFonts w:ascii="Times New Roman" w:eastAsia="Cambria" w:hAnsi="Times New Roman" w:cs="Times New Roman"/>
          <w:b w:val="0"/>
          <w:color w:val="auto"/>
        </w:rPr>
        <w:t>publicação no sítio eletrônico do CAU/BR.</w:t>
      </w:r>
    </w:p>
    <w:p w14:paraId="2279E93A" w14:textId="5565F156" w:rsidR="007647C3" w:rsidRPr="007647C3" w:rsidRDefault="007647C3" w:rsidP="00A21E65">
      <w:pPr>
        <w:spacing w:after="0" w:line="240" w:lineRule="auto"/>
        <w:jc w:val="both"/>
        <w:rPr>
          <w:rFonts w:ascii="Times New Roman" w:hAnsi="Times New Roman"/>
          <w:b w:val="0"/>
          <w:bCs/>
          <w:lang w:eastAsia="pt-BR"/>
        </w:rPr>
      </w:pPr>
    </w:p>
    <w:p w14:paraId="386192A6" w14:textId="77777777" w:rsidR="00784E39" w:rsidRPr="00C15C1C" w:rsidRDefault="00784E39" w:rsidP="00A21E6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1243B370" w14:textId="614268E9" w:rsidR="00784E39" w:rsidRDefault="00784E39" w:rsidP="00A21E65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Br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asília</w:t>
      </w:r>
      <w:r w:rsidR="007647C3">
        <w:rPr>
          <w:rFonts w:ascii="Times New Roman" w:eastAsia="Cambria" w:hAnsi="Times New Roman" w:cs="Times New Roman"/>
          <w:b w:val="0"/>
          <w:color w:val="auto"/>
          <w:lang w:eastAsia="pt-BR"/>
        </w:rPr>
        <w:t>-DF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</w:t>
      </w:r>
      <w:r w:rsidR="00442E1A"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FF43CF"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>outubro</w:t>
      </w:r>
      <w:r w:rsidRPr="007647C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38281AEC" w14:textId="77777777" w:rsidR="00A21E65" w:rsidRPr="00C15C1C" w:rsidRDefault="00A21E65" w:rsidP="00A21E65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61DA14F" w14:textId="77777777" w:rsidR="00784E39" w:rsidRPr="00C15C1C" w:rsidRDefault="00784E39" w:rsidP="00A21E65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2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bookmarkEnd w:id="2"/>
    <w:p w14:paraId="1696B89F" w14:textId="77777777" w:rsidR="00784E39" w:rsidRDefault="00784E39" w:rsidP="00A21E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5DAB7F0B" w14:textId="77777777" w:rsidR="009034D4" w:rsidRPr="00C15C1C" w:rsidRDefault="009034D4" w:rsidP="00A21E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</w:p>
    <w:p w14:paraId="2F356F20" w14:textId="77777777" w:rsidR="00784E39" w:rsidRPr="00C15C1C" w:rsidRDefault="00784E39" w:rsidP="00A21E6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2FF4DD6B" w14:textId="77777777" w:rsidR="00784E39" w:rsidRPr="00C15C1C" w:rsidRDefault="00784E39" w:rsidP="00A21E65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638F823E" w14:textId="77777777" w:rsidR="00784E39" w:rsidRDefault="00784E39" w:rsidP="00784E39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00AE7E0C" w14:textId="77777777" w:rsidR="002A24B5" w:rsidRDefault="002A24B5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1B90370A" w14:textId="77777777" w:rsidR="00B50066" w:rsidRDefault="00B50066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069C4989" w14:textId="77777777" w:rsidR="00B50066" w:rsidRDefault="00B50066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40C5CDCA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7F749705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36D29673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47E28887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589C7936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05E2E21D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6C092FAD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3776E214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66CBF833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39FD9BB0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514A7CA3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319C60EB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573ED9D5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21379EA4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6DCDC062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095A6265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6B7D7AA8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08FA0258" w14:textId="77777777" w:rsidR="00CC3417" w:rsidRDefault="00CC3417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7A389101" w14:textId="77777777" w:rsidR="00CC3417" w:rsidRDefault="00CC3417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671FC58D" w14:textId="77777777" w:rsidR="00CC3417" w:rsidRDefault="00CC3417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48EAAB88" w14:textId="77777777" w:rsidR="00CC3417" w:rsidRDefault="00CC3417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6DC35D2A" w14:textId="77777777" w:rsidR="00CC3417" w:rsidRDefault="00CC3417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47D76130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2CB8467B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3474A092" w14:textId="77777777" w:rsidR="009431A4" w:rsidRDefault="009431A4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34BDCA83" w14:textId="77777777" w:rsidR="00B50066" w:rsidRDefault="00B50066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700ED0D7" w14:textId="77777777" w:rsidR="00B50066" w:rsidRDefault="00B50066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036EAC5D" w14:textId="77777777" w:rsidR="00B50066" w:rsidRDefault="00B50066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47D720C2" w14:textId="77777777" w:rsidR="00B50066" w:rsidRDefault="00B50066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23109C6D" w14:textId="77777777" w:rsidR="00B50066" w:rsidRDefault="00B50066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4F4DD54B" w14:textId="77777777" w:rsidR="00B50066" w:rsidRPr="00C15C1C" w:rsidRDefault="00B50066" w:rsidP="00784E39">
      <w:pPr>
        <w:tabs>
          <w:tab w:val="left" w:pos="1560"/>
        </w:tabs>
        <w:spacing w:before="2" w:after="2" w:line="276" w:lineRule="auto"/>
        <w:rPr>
          <w:rFonts w:ascii="Times New Roman" w:eastAsia="Cambria" w:hAnsi="Times New Roman" w:cs="Times New Roman"/>
          <w:color w:val="auto"/>
        </w:rPr>
      </w:pPr>
    </w:p>
    <w:p w14:paraId="13847DFC" w14:textId="77777777" w:rsidR="00784E39" w:rsidRPr="00C15C1C" w:rsidRDefault="00784E39" w:rsidP="00784E39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color w:val="auto"/>
        </w:rPr>
      </w:pPr>
    </w:p>
    <w:p w14:paraId="5CE1F0E1" w14:textId="78ED7ABA" w:rsidR="00784E39" w:rsidRPr="00C15C1C" w:rsidRDefault="00FF43CF" w:rsidP="00784E39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98</w:t>
      </w:r>
      <w:r w:rsidR="00784E39" w:rsidRPr="00C15C1C">
        <w:rPr>
          <w:rFonts w:ascii="Times New Roman" w:eastAsia="Calibri" w:hAnsi="Times New Roman" w:cs="Times New Roman"/>
          <w:color w:val="auto"/>
        </w:rPr>
        <w:t>ª REUNIÃO ORDINÁRIA DA CEP-CAU/BR</w:t>
      </w:r>
    </w:p>
    <w:p w14:paraId="62E2DAC0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33EEF0FC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709FC956" w14:textId="77777777" w:rsidR="00784E39" w:rsidRPr="00C15C1C" w:rsidRDefault="00784E39" w:rsidP="00784E3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CFBE79F" w14:textId="77777777" w:rsidR="00784E39" w:rsidRPr="00C15C1C" w:rsidRDefault="00784E39" w:rsidP="00784E39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784E39" w:rsidRPr="00C15C1C" w14:paraId="58ABDE79" w14:textId="77777777" w:rsidTr="00EB120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19083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1C41AB96" w14:textId="77777777" w:rsidR="00784E39" w:rsidRPr="00C15C1C" w:rsidRDefault="00784E39" w:rsidP="00EB1200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6399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2D9B0B5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FE93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gram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</w:t>
            </w:r>
            <w:proofErr w:type="gramEnd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19C2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784E39" w:rsidRPr="00C15C1C" w14:paraId="56BF8860" w14:textId="77777777" w:rsidTr="00EB120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AE3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0B5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BE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C63F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2180" w14:textId="77777777" w:rsidR="00784E39" w:rsidRPr="00C15C1C" w:rsidRDefault="00784E39" w:rsidP="00EB120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F155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2ECE" w14:textId="77777777" w:rsidR="00784E39" w:rsidRPr="00C15C1C" w:rsidRDefault="00784E39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784E39" w:rsidRPr="00C15C1C" w14:paraId="30314D0B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A850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CBF1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D64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4FB" w14:textId="0CE970BD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AAA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CBD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5C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BF2E5B5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5667A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3B1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D13C3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5F9" w14:textId="7296AB6B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BE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433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A6A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10E339E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326B3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619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B3E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8607" w14:textId="193B20E2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7D9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6C97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A93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60924B62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F451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7894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A59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C4B5" w14:textId="0C693F11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3B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EBB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96F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67CF1393" w14:textId="77777777" w:rsidTr="00EB120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DDB8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3F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D38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765" w14:textId="3CA53529" w:rsidR="00784E39" w:rsidRPr="002A24B5" w:rsidRDefault="002A24B5" w:rsidP="00EB120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56B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BB0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974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314ED3E4" w14:textId="77777777" w:rsidTr="00EB120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2EEDDC" w14:textId="77777777" w:rsidR="00784E39" w:rsidRPr="00C15C1C" w:rsidRDefault="00784E39" w:rsidP="00EB120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7C34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B30A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6DA9A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3D0E8C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1170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FDC3D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784E39" w:rsidRPr="00C15C1C" w14:paraId="5570F73B" w14:textId="77777777" w:rsidTr="00EB1200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3823A1ED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4A07E19B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B66CF5A" w14:textId="58359353" w:rsidR="00784E39" w:rsidRPr="00C15C1C" w:rsidRDefault="00FF43CF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98</w:t>
            </w:r>
            <w:r w:rsidR="00784E39"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784E39"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222D7395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44B7E455" w14:textId="6DBFA45C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</w:t>
            </w:r>
            <w:r w:rsidRPr="002A24B5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: </w:t>
            </w:r>
            <w:r w:rsidR="00442E1A" w:rsidRPr="002A24B5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9</w:t>
            </w: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FF43CF"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10</w:t>
            </w:r>
            <w:r w:rsidRP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5DBF7C79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161727DE" w14:textId="048F39B9" w:rsidR="00784E39" w:rsidRPr="00C15C1C" w:rsidRDefault="00784E39" w:rsidP="00EB120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B50066" w:rsidRPr="00A11FDE">
              <w:rPr>
                <w:rFonts w:ascii="Times New Roman" w:hAnsi="Times New Roman"/>
                <w:b w:val="0"/>
              </w:rPr>
              <w:t xml:space="preserve">Protocolo nº 1172196 – CAU/SC encaminha Deliberação Plenária com pedido de reconsideração da decisão proferida na Deliberação nº 018/2020 da CEP– CAU/BR, acerca </w:t>
            </w:r>
            <w:r w:rsidR="00B50066">
              <w:rPr>
                <w:rFonts w:ascii="Times New Roman" w:hAnsi="Times New Roman"/>
                <w:b w:val="0"/>
              </w:rPr>
              <w:t xml:space="preserve">pessoa jurídica do tipo </w:t>
            </w:r>
            <w:r w:rsidR="00B50066" w:rsidRPr="00A11FDE">
              <w:rPr>
                <w:rFonts w:ascii="Times New Roman" w:hAnsi="Times New Roman"/>
                <w:b w:val="0"/>
              </w:rPr>
              <w:t>MEI – Microempreendedor Individual</w:t>
            </w:r>
            <w:r w:rsidR="00B50066">
              <w:rPr>
                <w:rFonts w:ascii="Times New Roman" w:hAnsi="Times New Roman"/>
                <w:b w:val="0"/>
              </w:rPr>
              <w:t>.</w:t>
            </w:r>
          </w:p>
          <w:p w14:paraId="1161376F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9985140" w14:textId="2DD32F84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Sim </w:t>
            </w:r>
            <w:r w:rsid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proofErr w:type="gramStart"/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proofErr w:type="gramEnd"/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="002A24B5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(5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4371D95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1ACD22E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5E07D8D2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6E15CD46" w14:textId="77777777" w:rsidR="00784E39" w:rsidRPr="00C15C1C" w:rsidRDefault="00784E39" w:rsidP="00EB1200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14389E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14389E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C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laudia Quaresma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F743E1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(coordenadora):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Patrícia S. Luz de Macedo</w:t>
            </w:r>
          </w:p>
        </w:tc>
      </w:tr>
    </w:tbl>
    <w:p w14:paraId="69C97590" w14:textId="77777777" w:rsidR="00784E39" w:rsidRPr="00C15C1C" w:rsidRDefault="00784E39" w:rsidP="00784E39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70AFFB10" w14:textId="77777777" w:rsidR="00784E39" w:rsidRPr="007A55E4" w:rsidRDefault="00784E39" w:rsidP="00784E39">
      <w:pPr>
        <w:tabs>
          <w:tab w:val="left" w:pos="5112"/>
        </w:tabs>
        <w:rPr>
          <w:rFonts w:eastAsia="Times New Roman"/>
          <w:lang w:eastAsia="pt-BR"/>
        </w:rPr>
      </w:pPr>
    </w:p>
    <w:p w14:paraId="2A3F8847" w14:textId="77777777" w:rsidR="00784E39" w:rsidRPr="004B24F6" w:rsidRDefault="00784E39" w:rsidP="00784E39"/>
    <w:p w14:paraId="7BD98198" w14:textId="01F26C8E" w:rsidR="003E0BDB" w:rsidRPr="00784E39" w:rsidRDefault="00F72034" w:rsidP="00784E39"/>
    <w:sectPr w:rsidR="003E0BDB" w:rsidRPr="00784E39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82226" w14:textId="77777777" w:rsidR="00ED7498" w:rsidRDefault="00ED7498" w:rsidP="00783D72">
      <w:pPr>
        <w:spacing w:after="0" w:line="240" w:lineRule="auto"/>
      </w:pPr>
      <w:r>
        <w:separator/>
      </w:r>
    </w:p>
  </w:endnote>
  <w:endnote w:type="continuationSeparator" w:id="0">
    <w:p w14:paraId="26A84CD7" w14:textId="77777777" w:rsidR="00ED7498" w:rsidRDefault="00ED7498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b w:val="0"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b w:val="0"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b w:val="0"/>
            <w:bCs/>
            <w:color w:val="008080"/>
          </w:rPr>
          <w:fldChar w:fldCharType="begin"/>
        </w:r>
        <w:r w:rsidRPr="00C25F47">
          <w:rPr>
            <w:bCs/>
            <w:color w:val="008080"/>
          </w:rPr>
          <w:instrText>PAGE   \* MERGEFORMAT</w:instrText>
        </w:r>
        <w:r w:rsidRPr="00C25F47">
          <w:rPr>
            <w:b w:val="0"/>
            <w:bCs/>
            <w:color w:val="008080"/>
          </w:rPr>
          <w:fldChar w:fldCharType="separate"/>
        </w:r>
        <w:r w:rsidR="00F72034">
          <w:rPr>
            <w:bCs/>
            <w:noProof/>
            <w:color w:val="008080"/>
          </w:rPr>
          <w:t>3</w:t>
        </w:r>
        <w:r w:rsidRPr="00C25F47">
          <w:rPr>
            <w:b w:val="0"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4F486" w14:textId="77777777" w:rsidR="00ED7498" w:rsidRDefault="00ED7498" w:rsidP="00783D72">
      <w:pPr>
        <w:spacing w:after="0" w:line="240" w:lineRule="auto"/>
      </w:pPr>
      <w:r>
        <w:separator/>
      </w:r>
    </w:p>
  </w:footnote>
  <w:footnote w:type="continuationSeparator" w:id="0">
    <w:p w14:paraId="4AC33190" w14:textId="77777777" w:rsidR="00ED7498" w:rsidRDefault="00ED7498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0D74"/>
    <w:multiLevelType w:val="hybridMultilevel"/>
    <w:tmpl w:val="2CC85D44"/>
    <w:lvl w:ilvl="0" w:tplc="CAC0E15C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F082C"/>
    <w:multiLevelType w:val="hybridMultilevel"/>
    <w:tmpl w:val="4BD24C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55A76"/>
    <w:rsid w:val="000F21AD"/>
    <w:rsid w:val="0014473E"/>
    <w:rsid w:val="00193E0F"/>
    <w:rsid w:val="001952F3"/>
    <w:rsid w:val="00264E7B"/>
    <w:rsid w:val="002A24B5"/>
    <w:rsid w:val="00340209"/>
    <w:rsid w:val="00431411"/>
    <w:rsid w:val="00442E1A"/>
    <w:rsid w:val="006A07F9"/>
    <w:rsid w:val="007647C3"/>
    <w:rsid w:val="00783D72"/>
    <w:rsid w:val="00784E39"/>
    <w:rsid w:val="00805D34"/>
    <w:rsid w:val="00843F3A"/>
    <w:rsid w:val="008F689D"/>
    <w:rsid w:val="009034D4"/>
    <w:rsid w:val="009431A4"/>
    <w:rsid w:val="009A2B4E"/>
    <w:rsid w:val="009A7A63"/>
    <w:rsid w:val="00A11FDE"/>
    <w:rsid w:val="00A16FBB"/>
    <w:rsid w:val="00A17458"/>
    <w:rsid w:val="00A21E65"/>
    <w:rsid w:val="00A409A5"/>
    <w:rsid w:val="00A74CEF"/>
    <w:rsid w:val="00AB1B07"/>
    <w:rsid w:val="00AC46B9"/>
    <w:rsid w:val="00B50066"/>
    <w:rsid w:val="00B962A0"/>
    <w:rsid w:val="00B9669A"/>
    <w:rsid w:val="00BF3E70"/>
    <w:rsid w:val="00C00FD5"/>
    <w:rsid w:val="00C25F47"/>
    <w:rsid w:val="00C824BF"/>
    <w:rsid w:val="00CC27D6"/>
    <w:rsid w:val="00CC3417"/>
    <w:rsid w:val="00D10C16"/>
    <w:rsid w:val="00D12DD0"/>
    <w:rsid w:val="00DB2DA6"/>
    <w:rsid w:val="00E625E1"/>
    <w:rsid w:val="00E846F0"/>
    <w:rsid w:val="00EB1374"/>
    <w:rsid w:val="00ED7498"/>
    <w:rsid w:val="00F21986"/>
    <w:rsid w:val="00F32C3A"/>
    <w:rsid w:val="00F72034"/>
    <w:rsid w:val="00FF43C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E39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A24B5"/>
    <w:pPr>
      <w:spacing w:after="0" w:line="240" w:lineRule="auto"/>
      <w:ind w:left="720"/>
      <w:contextualSpacing/>
    </w:pPr>
    <w:rPr>
      <w:rFonts w:ascii="Cambria" w:eastAsia="Cambria" w:hAnsi="Cambria" w:cs="Times New Roman"/>
      <w:b w:val="0"/>
      <w:color w:val="auto"/>
      <w:sz w:val="24"/>
      <w:szCs w:val="24"/>
    </w:rPr>
  </w:style>
  <w:style w:type="paragraph" w:customStyle="1" w:styleId="Default">
    <w:name w:val="Default"/>
    <w:rsid w:val="00B966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CEP-BR</dc:creator>
  <cp:keywords/>
  <dc:description/>
  <cp:lastModifiedBy>Claúdia de Mattos Quaresma</cp:lastModifiedBy>
  <cp:revision>19</cp:revision>
  <dcterms:created xsi:type="dcterms:W3CDTF">2020-10-06T20:02:00Z</dcterms:created>
  <dcterms:modified xsi:type="dcterms:W3CDTF">2020-10-14T18:32:00Z</dcterms:modified>
</cp:coreProperties>
</file>