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28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842416 – CAU/SC solicita esclarecimentos a respeito dos registros existentes de PJs do tipo EI – Empresário Individual, mediante a orientação disposta da </w:t>
            </w:r>
            <w:r>
              <w:rPr>
                <w:rFonts w:ascii="Times New Roman" w:hAnsi="Times New Roman"/>
                <w:sz w:val="22"/>
                <w:szCs w:val="22"/>
              </w:rPr>
              <w:t>Deliberação da CEP-CAU/BR nº 87/2018</w:t>
            </w:r>
          </w:p>
        </w:tc>
      </w:tr>
      <w:tr w:rsidR="005028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028B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028B6" w:rsidRDefault="00976D04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81ª Reunião Ordinária da CEP-CAU/BR: para apreciação e manifestação da Comissão</w:t>
            </w:r>
          </w:p>
        </w:tc>
      </w:tr>
    </w:tbl>
    <w:p w:rsidR="005028B6" w:rsidRDefault="00976D0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029/2019 – (CEP – CAU/BR)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11 e 12 de abril de 2019, no uso das competências que lhe conferem o art. 97, 101 e 102 do Regimento Interno do CAU/BR, após análise do assunto em epígrafe, e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Ofício nº 075/2019/PRES/CAUSC, que encaminha a Deliberação Plenária nº 324, de 15 de março de 2019, com consulta ao CAU/BR quanto aos procedimentos a serem adotados pelos CAU/UF em relação às empresas registradas no CAU, na modalidade </w:t>
      </w:r>
      <w:r>
        <w:rPr>
          <w:rFonts w:ascii="Times New Roman" w:hAnsi="Times New Roman"/>
          <w:sz w:val="22"/>
          <w:szCs w:val="22"/>
          <w:lang w:eastAsia="pt-BR"/>
        </w:rPr>
        <w:t>Empresário Individual - EI, anteriores a Deliberação nº 87/2018 - CEP-CAU/BR, e questiona se os CAU/UF poderão baixar de oficio os registros existentes com base no art. 28 da Resolução 28, e se nesse caso, os CAU/UF teriam que ressarcir os empresários indi</w:t>
      </w:r>
      <w:r>
        <w:rPr>
          <w:rFonts w:ascii="Times New Roman" w:hAnsi="Times New Roman"/>
          <w:sz w:val="22"/>
          <w:szCs w:val="22"/>
          <w:lang w:eastAsia="pt-BR"/>
        </w:rPr>
        <w:t xml:space="preserve">viduais das anuidades e multas já pagas, em decorrência da indevida exigência de registro. 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pStyle w:val="Recuodecorpodetexto"/>
        <w:spacing w:after="6pt"/>
        <w:ind w:firstLine="0pt"/>
      </w:pPr>
      <w:r>
        <w:rPr>
          <w:szCs w:val="22"/>
        </w:rPr>
        <w:t xml:space="preserve">Considerando a Deliberação nº 087/2018 da CEP-CAU/BR, que em resposta ao Protocolo SICCAU nº 627264/2017 do CAU/RS esclareceu que </w:t>
      </w:r>
      <w:r>
        <w:rPr>
          <w:rFonts w:eastAsia="Calibri"/>
          <w:szCs w:val="22"/>
        </w:rPr>
        <w:t>o “Empresário Individual”, modali</w:t>
      </w:r>
      <w:r>
        <w:rPr>
          <w:rFonts w:eastAsia="Calibri"/>
          <w:szCs w:val="22"/>
        </w:rPr>
        <w:t>dade chamada de EI, não se enquadra nas condições e exigências para registro de pessoa jurídica no CAU, nos termos da Resolução CAU/BR nº 28, de 2012, vigente, e in</w:t>
      </w:r>
      <w:r>
        <w:rPr>
          <w:szCs w:val="22"/>
        </w:rPr>
        <w:t>formou que a questão das empresas individuais, dos tipos EI e EIRELI, é uma matéria pertinen</w:t>
      </w:r>
      <w:r>
        <w:rPr>
          <w:szCs w:val="22"/>
        </w:rPr>
        <w:t>te à revisão da Resolução CAU/BR nº 28/2012, que trata de registro de pessoas jurídicas, e que o assunto já está em andamento no âmbito da Comissão , conforme previsto no Plano de Trabalho da CEP-CAU/BR, informado nas Deliberações nº 039/2018 e nº 080/2018</w:t>
      </w:r>
      <w:r>
        <w:rPr>
          <w:szCs w:val="22"/>
        </w:rPr>
        <w:t xml:space="preserve">. 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028B6" w:rsidRDefault="005028B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028B6" w:rsidRDefault="00976D04">
      <w:pPr>
        <w:jc w:val="both"/>
      </w:pPr>
      <w:r>
        <w:rPr>
          <w:rFonts w:ascii="Times New Roman" w:hAnsi="Times New Roman"/>
          <w:sz w:val="22"/>
          <w:szCs w:val="22"/>
        </w:rPr>
        <w:t xml:space="preserve">1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Revogar a </w:t>
      </w:r>
      <w:r>
        <w:rPr>
          <w:rFonts w:ascii="Times New Roman" w:hAnsi="Times New Roman"/>
          <w:sz w:val="22"/>
          <w:szCs w:val="22"/>
          <w:lang w:eastAsia="pt-BR"/>
        </w:rPr>
        <w:t>Deliberação nº 087/2018 da CEP-CAU/BR</w:t>
      </w:r>
    </w:p>
    <w:p w:rsidR="005028B6" w:rsidRDefault="005028B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28B6" w:rsidRDefault="00976D0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</w:t>
      </w:r>
      <w:r>
        <w:rPr>
          <w:rFonts w:ascii="Times New Roman" w:hAnsi="Times New Roman"/>
          <w:sz w:val="22"/>
          <w:szCs w:val="22"/>
        </w:rPr>
        <w:t>– Esclarecer que, para o registro de Pessoas Jurídicas no CAU como empresas prestadoras de serviços de Arquitetura e Urbanismo, deverão ser atendidas as exigências e requisitos definidos</w:t>
      </w:r>
      <w:r>
        <w:rPr>
          <w:rFonts w:ascii="Times New Roman" w:hAnsi="Times New Roman"/>
          <w:sz w:val="22"/>
          <w:szCs w:val="22"/>
        </w:rPr>
        <w:t xml:space="preserve"> na Resolução CAU/BR nº 28, de 2012, em especial ao disposto nos artigos 1º, 5º e de 15 a 19.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</w:rPr>
      </w:pPr>
    </w:p>
    <w:p w:rsidR="005028B6" w:rsidRDefault="00976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– Esclarecer que para deferimento, efetivação e manutenção do registro da pessoa jurídica no CAU, os CAU/UF deverão atentar para as seguintes condições: </w:t>
      </w:r>
    </w:p>
    <w:p w:rsidR="005028B6" w:rsidRDefault="00976D04">
      <w:pPr>
        <w:pStyle w:val="PargrafodaLista"/>
        <w:numPr>
          <w:ilvl w:val="0"/>
          <w:numId w:val="1"/>
        </w:numPr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pes</w:t>
      </w:r>
      <w:r>
        <w:rPr>
          <w:rFonts w:ascii="Times New Roman" w:hAnsi="Times New Roman"/>
          <w:sz w:val="22"/>
          <w:szCs w:val="22"/>
          <w:lang w:eastAsia="pt-BR"/>
        </w:rPr>
        <w:t>soa jurídica deverá ter em seus objetivos sociais, definidos no Ato Constitutivo, o exercício de atividades profissionais de arquitetos e urbanistas, privativas ou compartilhadas com outras profissões regulamentadas, sendo que esses objetivos sociais dever</w:t>
      </w:r>
      <w:r>
        <w:rPr>
          <w:rFonts w:ascii="Times New Roman" w:hAnsi="Times New Roman"/>
          <w:sz w:val="22"/>
          <w:szCs w:val="22"/>
          <w:lang w:eastAsia="pt-BR"/>
        </w:rPr>
        <w:t>ão ser compatíveis com as atividades, atribuições e campos de atuação profissional da Arquitetura e Urbanismo, conforme Art. 2º da Lei 12.378/2010 e Resolução CAU/BR nº 21, de 2012;</w:t>
      </w:r>
    </w:p>
    <w:p w:rsidR="005028B6" w:rsidRDefault="00976D04">
      <w:pPr>
        <w:pStyle w:val="PargrafodaLista"/>
        <w:numPr>
          <w:ilvl w:val="0"/>
          <w:numId w:val="1"/>
        </w:numPr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pessoa jurídica deverá ter inscrição no Cadastro Nacional de Pessoas Jur</w:t>
      </w:r>
      <w:r>
        <w:rPr>
          <w:rFonts w:ascii="Times New Roman" w:hAnsi="Times New Roman"/>
          <w:sz w:val="22"/>
          <w:szCs w:val="22"/>
          <w:lang w:eastAsia="pt-BR"/>
        </w:rPr>
        <w:t>ídicas (CNPJ) da Receita Federal e possuir ao menos um CNAE relacionado às atividades técnicas de Arquitetura e Urbanismo;</w:t>
      </w:r>
    </w:p>
    <w:p w:rsidR="005028B6" w:rsidRDefault="00976D04">
      <w:pPr>
        <w:pStyle w:val="PargrafodaLista"/>
        <w:numPr>
          <w:ilvl w:val="0"/>
          <w:numId w:val="1"/>
        </w:numPr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a pessoa jurídica deverá ter um arquiteto e urbanista como responsável técnico pelas atividades de Arquitetura e Urbanismo exercidas </w:t>
      </w:r>
      <w:r>
        <w:rPr>
          <w:rFonts w:ascii="Times New Roman" w:hAnsi="Times New Roman"/>
          <w:sz w:val="22"/>
          <w:szCs w:val="22"/>
          <w:lang w:eastAsia="pt-BR"/>
        </w:rPr>
        <w:t xml:space="preserve">pela empresa, que deverá ser vinculado ao registro da empresa por meio do RRT de Desempenho de Cargo ou Função Técnica, sendo limitado a 3 (três) pessoas jurídicas para o mesmo arquiteto e urbanismo responsável técnico, conforme art. 10 da Res. 28. </w:t>
      </w:r>
    </w:p>
    <w:p w:rsidR="005028B6" w:rsidRDefault="00976D04">
      <w:pPr>
        <w:pStyle w:val="PargrafodaLista"/>
        <w:numPr>
          <w:ilvl w:val="0"/>
          <w:numId w:val="1"/>
        </w:numPr>
        <w:autoSpaceDE w:val="0"/>
        <w:ind w:start="28.35pt"/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a pess</w:t>
      </w:r>
      <w:r>
        <w:rPr>
          <w:rFonts w:ascii="Times New Roman" w:hAnsi="Times New Roman"/>
          <w:sz w:val="22"/>
          <w:szCs w:val="22"/>
          <w:lang w:eastAsia="pt-BR"/>
        </w:rPr>
        <w:t>oa jurídica deverá apresentar a documentação abaixo listada, que deverá ficar cadastrada no respectivo registro da empresa no SICCAU:</w:t>
      </w:r>
    </w:p>
    <w:p w:rsidR="005028B6" w:rsidRDefault="00976D04">
      <w:pPr>
        <w:pStyle w:val="PargrafodaLista"/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ato constitutivo, devidamente registrado no órgão competente, incluindo as alterações, ou se for o caso, a consolidação </w:t>
      </w:r>
      <w:r>
        <w:rPr>
          <w:rFonts w:ascii="Times New Roman" w:hAnsi="Times New Roman"/>
          <w:sz w:val="22"/>
          <w:szCs w:val="22"/>
          <w:lang w:eastAsia="pt-BR"/>
        </w:rPr>
        <w:t xml:space="preserve">e as alterações posteriores; </w:t>
      </w:r>
    </w:p>
    <w:p w:rsidR="005028B6" w:rsidRDefault="00976D04">
      <w:pPr>
        <w:pStyle w:val="PargrafodaLista"/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- comprovante de inscrição no Cadastro Nacional de Pessoas Jurídicas (CNPJ); </w:t>
      </w:r>
    </w:p>
    <w:p w:rsidR="005028B6" w:rsidRDefault="00976D04">
      <w:pPr>
        <w:pStyle w:val="PargrafodaLista"/>
        <w:autoSpaceDE w:val="0"/>
        <w:ind w:start="28.35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- RRT Simples de Desempenho de Cargo ou Função do arquiteto e urbanista indicado como responsável técnico; e</w:t>
      </w:r>
    </w:p>
    <w:p w:rsidR="005028B6" w:rsidRDefault="00976D04">
      <w:pPr>
        <w:pStyle w:val="PargrafodaLista"/>
        <w:autoSpaceDE w:val="0"/>
        <w:ind w:start="28.35pt"/>
      </w:pPr>
      <w:r>
        <w:rPr>
          <w:rFonts w:ascii="Times New Roman" w:hAnsi="Times New Roman"/>
          <w:sz w:val="22"/>
          <w:szCs w:val="22"/>
          <w:lang w:eastAsia="pt-BR"/>
        </w:rPr>
        <w:t>- comprovante de vínculo entre o respon</w:t>
      </w:r>
      <w:r>
        <w:rPr>
          <w:rFonts w:ascii="Times New Roman" w:hAnsi="Times New Roman"/>
          <w:sz w:val="22"/>
          <w:szCs w:val="22"/>
          <w:lang w:eastAsia="pt-BR"/>
        </w:rPr>
        <w:t>sável técnico indicado com a pessoa jurídica, que poderá ser por meio de: contrato social, contrato de trabalho ou carteira de trabalho e previdência social (CTPS), portaria de nomeação ou contrato de prestação de serviços.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</w:rPr>
      </w:pPr>
    </w:p>
    <w:p w:rsidR="005028B6" w:rsidRDefault="00976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– Informar que, para efetivaç</w:t>
      </w:r>
      <w:r>
        <w:rPr>
          <w:rFonts w:ascii="Times New Roman" w:hAnsi="Times New Roman"/>
          <w:sz w:val="22"/>
          <w:szCs w:val="22"/>
        </w:rPr>
        <w:t>ão do registro de pessoas jurídicas no CAU e para atualização cadastral dos registros existentes, os CAU/UF devem atentar para as orientações dispostas nas seguintes Deliberações da CEP-CAU/BR:  nº 005/2013; nº 011/2016; nº 060/2018; nº 081/2018; nº 095/20</w:t>
      </w:r>
      <w:r>
        <w:rPr>
          <w:rFonts w:ascii="Times New Roman" w:hAnsi="Times New Roman"/>
          <w:sz w:val="22"/>
          <w:szCs w:val="22"/>
        </w:rPr>
        <w:t>18; nº 014/2019 e nº 015/2019;</w:t>
      </w:r>
    </w:p>
    <w:p w:rsidR="005028B6" w:rsidRDefault="005028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 – Informar aos CAU/UF que as questões relativas ao registro dos empresários individuais e das empresas individuais, dos tipos EI e EIRELI, estão no Plano de Trabalho da Comissão Temporária de Registro (CTR), para revisão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Resolução CAU/BR nº 28/2012 e outras correlatas ao registro de pessoas jurídicas no CAU; e</w:t>
      </w:r>
    </w:p>
    <w:p w:rsidR="005028B6" w:rsidRDefault="005028B6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028B6" w:rsidRDefault="00976D0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6 – </w:t>
      </w:r>
      <w:r>
        <w:rPr>
          <w:rFonts w:ascii="Times New Roman" w:eastAsia="Calibri" w:hAnsi="Times New Roman"/>
          <w:sz w:val="22"/>
          <w:szCs w:val="22"/>
        </w:rPr>
        <w:t xml:space="preserve">Encaminhar esta Deliberação à Presidência do CAU/BR para: </w:t>
      </w:r>
    </w:p>
    <w:p w:rsidR="005028B6" w:rsidRDefault="00976D04">
      <w:pPr>
        <w:pStyle w:val="PargrafodaLista"/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encaminhamento de resposta ao CAU/SC, por meio do protocolo em epígrafe; </w:t>
      </w:r>
    </w:p>
    <w:p w:rsidR="005028B6" w:rsidRDefault="00976D04">
      <w:pPr>
        <w:pStyle w:val="PargrafodaLista"/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revogação da Deliberação </w:t>
      </w:r>
      <w:r>
        <w:rPr>
          <w:rFonts w:ascii="Times New Roman" w:eastAsia="Calibri" w:hAnsi="Times New Roman"/>
          <w:sz w:val="22"/>
          <w:szCs w:val="22"/>
        </w:rPr>
        <w:t xml:space="preserve">nº 087/2018 da CEP-CAU/BR publicada no sítio eletrônico do CAU/BR; e </w:t>
      </w:r>
    </w:p>
    <w:p w:rsidR="005028B6" w:rsidRDefault="00976D04">
      <w:pPr>
        <w:pStyle w:val="PargrafodaLista"/>
        <w:numPr>
          <w:ilvl w:val="0"/>
          <w:numId w:val="2"/>
        </w:numPr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envio à RIA para divulgação a todos CAU/UF até o dia 22 de abril de 2019.</w:t>
      </w:r>
    </w:p>
    <w:p w:rsidR="005028B6" w:rsidRDefault="005028B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28B6" w:rsidRDefault="00976D04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2019.</w:t>
      </w:r>
    </w:p>
    <w:p w:rsidR="005028B6" w:rsidRDefault="005028B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028B6" w:rsidRDefault="00976D0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028B6" w:rsidRDefault="00976D0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</w:t>
      </w:r>
      <w:r>
        <w:rPr>
          <w:rFonts w:ascii="Times New Roman" w:eastAsia="Calibri" w:hAnsi="Times New Roman"/>
          <w:sz w:val="22"/>
          <w:szCs w:val="22"/>
          <w:lang w:eastAsia="pt-BR"/>
        </w:rPr>
        <w:t>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028B6" w:rsidRDefault="005028B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028B6" w:rsidRDefault="00976D04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028B6" w:rsidRDefault="00976D04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028B6" w:rsidRDefault="005028B6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028B6" w:rsidRDefault="00976D0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028B6" w:rsidRDefault="00976D0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028B6" w:rsidRDefault="005028B6"/>
    <w:p w:rsidR="005028B6" w:rsidRDefault="00976D04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028B6" w:rsidRDefault="00976D0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028B6" w:rsidRDefault="005028B6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5028B6" w:rsidRDefault="00976D04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028B6" w:rsidRDefault="00976D04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5028B6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76D04">
      <w:r>
        <w:separator/>
      </w:r>
    </w:p>
  </w:endnote>
  <w:endnote w:type="continuationSeparator" w:id="0">
    <w:p w:rsidR="00000000" w:rsidRDefault="0097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C22" w:rsidRDefault="00976D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F5C22" w:rsidRDefault="00976D0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3F5C22" w:rsidRDefault="00976D04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029/2019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76D04">
      <w:r>
        <w:rPr>
          <w:color w:val="000000"/>
        </w:rPr>
        <w:separator/>
      </w:r>
    </w:p>
  </w:footnote>
  <w:footnote w:type="continuationSeparator" w:id="0">
    <w:p w:rsidR="00000000" w:rsidRDefault="00976D0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F5C22" w:rsidRDefault="00976D0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342013E"/>
    <w:multiLevelType w:val="multilevel"/>
    <w:tmpl w:val="B14425C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2B4D7005"/>
    <w:multiLevelType w:val="multilevel"/>
    <w:tmpl w:val="97AABF0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028B6"/>
    <w:rsid w:val="005028B6"/>
    <w:rsid w:val="009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2BB990A-753E-4B23-8FFC-DDCCEBA9C6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029/2019 – (CEP – CAU/BR)</vt:lpstr>
    </vt:vector>
  </TitlesOfParts>
  <Company>Hewlett-Packard Company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029/2019 – (CEP – CAU/BR)</dc:title>
  <dc:subject/>
  <dc:creator>CEP</dc:creator>
  <cp:lastModifiedBy>Viviane Nota Machado</cp:lastModifiedBy>
  <cp:revision>2</cp:revision>
  <cp:lastPrinted>2015-03-04T21:55:00Z</cp:lastPrinted>
  <dcterms:created xsi:type="dcterms:W3CDTF">2019-04-24T13:02:00Z</dcterms:created>
  <dcterms:modified xsi:type="dcterms:W3CDTF">2019-04-24T13:02:00Z</dcterms:modified>
</cp:coreProperties>
</file>