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1974"/>
        <w:gridCol w:w="7216"/>
      </w:tblGrid>
      <w:tr w:rsidR="005211C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211C1" w:rsidRDefault="00790DC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211C1" w:rsidRDefault="00790DCC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842408 – CAU/SC solicita esclarecimentos a respeito do registro de PJ em interpretação à Deliberação 055/2017 da CPFi sobre baixa e cobrança de anuidades de </w:t>
            </w:r>
            <w:r>
              <w:rPr>
                <w:rFonts w:ascii="Times New Roman" w:hAnsi="Times New Roman"/>
                <w:sz w:val="22"/>
                <w:szCs w:val="22"/>
              </w:rPr>
              <w:t>empresas que apresentam declaração de inatividade</w:t>
            </w:r>
          </w:p>
        </w:tc>
      </w:tr>
      <w:tr w:rsidR="005211C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211C1" w:rsidRDefault="00790DC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211C1" w:rsidRDefault="00790DCC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5211C1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211C1" w:rsidRDefault="00790DC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5211C1" w:rsidRDefault="00790DCC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07 da 81ª Reunião Ordinária da CEP-CAU/BR: para apreciação e manifestação da Comissão</w:t>
            </w:r>
          </w:p>
        </w:tc>
      </w:tr>
    </w:tbl>
    <w:p w:rsidR="005211C1" w:rsidRDefault="00790DC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027/2019 – (CEP – CAU/BR)</w:t>
      </w:r>
    </w:p>
    <w:p w:rsidR="005211C1" w:rsidRDefault="005211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11C1" w:rsidRDefault="00790DCC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>), reunida ordinariamente em Brasília-DF, na sede do CAU/BR, nos dias 11 e 12 de abril de 2019, no uso das competências que lhe conferem o art. 97, 101 e 102 do Regimento Interno do CAU/BR, após análise do assunto em e</w:t>
      </w:r>
      <w:r>
        <w:rPr>
          <w:rFonts w:ascii="Times New Roman" w:hAnsi="Times New Roman"/>
          <w:sz w:val="22"/>
          <w:szCs w:val="22"/>
          <w:lang w:eastAsia="pt-BR"/>
        </w:rPr>
        <w:t>pígrafe, e</w:t>
      </w:r>
    </w:p>
    <w:p w:rsidR="005211C1" w:rsidRDefault="005211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11C1" w:rsidRDefault="00790DCC">
      <w:pPr>
        <w:pStyle w:val="Default"/>
        <w:jc w:val="both"/>
      </w:pPr>
      <w:r>
        <w:rPr>
          <w:rFonts w:ascii="Times New Roman" w:hAnsi="Times New Roman" w:cs="Times New Roman"/>
          <w:sz w:val="22"/>
          <w:szCs w:val="22"/>
        </w:rPr>
        <w:t xml:space="preserve">Considerando o Ofício nº 074/2019/PRES/CAUSC, que em cumprimento à Deliberação Plenária nº 323, de 15 de março de 2019, encaminhamos uma consulta ao CAU/BR sobre à interpretação extensiva da Deliberação nº 055/2017 da CPFI do CAU/BR, quanto à </w:t>
      </w:r>
      <w:r>
        <w:rPr>
          <w:rFonts w:ascii="Times New Roman" w:hAnsi="Times New Roman" w:cs="Times New Roman"/>
          <w:sz w:val="22"/>
          <w:szCs w:val="22"/>
        </w:rPr>
        <w:t xml:space="preserve">possibilidade de pedido de interrupção ou  baixa de registro de forma retroativa quando a PJ comprovar inatividade, ainda que se encontre com a situação como ativa na Receita Federal. </w:t>
      </w:r>
    </w:p>
    <w:p w:rsidR="005211C1" w:rsidRDefault="005211C1">
      <w:pPr>
        <w:pStyle w:val="Default"/>
        <w:rPr>
          <w:rFonts w:ascii="Times New Roman" w:hAnsi="Times New Roman"/>
          <w:sz w:val="22"/>
          <w:szCs w:val="22"/>
        </w:rPr>
      </w:pPr>
    </w:p>
    <w:p w:rsidR="005211C1" w:rsidRDefault="00790DCC">
      <w:pPr>
        <w:pStyle w:val="Defaul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Considerando os artigos 25 a 28 da Resolução CAU/BR nº 28, de 2012, qu</w:t>
      </w:r>
      <w:r>
        <w:rPr>
          <w:rFonts w:ascii="Times New Roman" w:hAnsi="Times New Roman"/>
          <w:sz w:val="22"/>
          <w:szCs w:val="22"/>
        </w:rPr>
        <w:t>e dispõem sobre a Interrupção e Baixa do registro de pessoa jurídica no CAU e estabelecem que: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“Art. 25. É facultada a interrupção, por tempo indeterminado, do registro de pessoa jurídica que não estiver no exercício de suas atividades, desde que atenda às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seguintes condições: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II - não possua RRT em aberto;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III - não esteja respondendo a processo no âmbito do CAU.”</w:t>
      </w:r>
    </w:p>
    <w:p w:rsidR="005211C1" w:rsidRDefault="005211C1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“Art. 26. É obrigatório à pessoa jurídica registrada no CAU/UF solicitar a baixa de seu registro, caso ocorra uma das seguintes situações: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I -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dissolução da pessoa jurídica, comprovada por meio de distrato social ou outro instrumento oficialmente válido;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II - alteração do instrumento constitutivo da pessoa jurídica excluindo de seus objetivos sociais aqueles relacionados à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III - ausência de arquiteto e urbanista responsável técnico pela pessoa jurídica.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Parágrafo único. Caso a pessoa jurídica tenha a expressões “Arquitetura” ou “Urbanismo”, ou designação similar, na razão social, no nome fantasia ou nos objetivos sociais,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baixa a que se refere o caput deste artigo somente poderá ser efetuada após a retirada das citadas expressões.”</w:t>
      </w:r>
    </w:p>
    <w:p w:rsidR="005211C1" w:rsidRDefault="005211C1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“Art. 27. A baixa de pessoa jurídica somente será efetuada se: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 - encontrar-se em regularidade junto ao conselho;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II - não possuir RRT em ab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erto;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III - não estiver respondendo a processo no âmbito do CAU.”</w:t>
      </w:r>
    </w:p>
    <w:p w:rsidR="005211C1" w:rsidRDefault="005211C1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“Art. 28. Será efetuada a baixa de ofício de registro de pessoa jurídica caso esta tenha sido condenada em processo, cuja penalidade seja o cancelamento do registro no CAU.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Parágrafo único.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Será também admitida a baixa de ofício nos casos em que a pessoa jurídica deixe de preencher as condições para a manutenção desse registro, devendo o CAU/UF promover a prévia notificação, com prazo de 30 (trinta) dias, em que seja assegurada a ampla defes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a.”</w:t>
      </w:r>
    </w:p>
    <w:p w:rsidR="005211C1" w:rsidRDefault="005211C1">
      <w:pPr>
        <w:pStyle w:val="Default"/>
        <w:rPr>
          <w:rFonts w:ascii="Arial" w:hAnsi="Arial" w:cs="Arial"/>
          <w:sz w:val="22"/>
          <w:szCs w:val="22"/>
        </w:rPr>
      </w:pPr>
    </w:p>
    <w:p w:rsidR="005211C1" w:rsidRDefault="00790DC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055/2017 da CPFi-CAU/BR, com esclarecimentos acerca da baixa de registro de pessoas jurídicas e dos procedimentos para cobrança de anuidades em atraso de empresas inativas, contendo as seguintes orientações: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1- Para a bai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xa de ofício de pessoas jurídicas que tenham encerrado as atividades junto à Receita Federal, a data de encerramento no histórico de registro deverá ser a data de encerramento junto à Receita;</w:t>
      </w:r>
    </w:p>
    <w:p w:rsidR="005211C1" w:rsidRDefault="00790DCC">
      <w:pPr>
        <w:ind w:start="28.35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2- Mediante a apresentação de documentação comprobatória pela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mpresa,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não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serão cobradas as anuidades relativas aos períodos posteriores ao encerramento na Receita Federal;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3- Para empresas que constem como ativas na Receita Federal, mas não se manifestaram acerca do ofício de manutenção de cadastro, procedendo-se à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baixa do registro, a data de encerramento no histórico de registro deverá ser a data do procedimento de baixa de ofício realizado pelo CAU/UF; e</w:t>
      </w:r>
    </w:p>
    <w:p w:rsidR="005211C1" w:rsidRDefault="00790DCC">
      <w:pPr>
        <w:spacing w:after="10.50pt" w:line="13.80pt" w:lineRule="auto"/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4- Salvo apresentação de documentação comprobatória de inatividade da pessoa jurídica, serão cobradas 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anuidades relativas ao período até o procedimento de baixa de ofício.</w:t>
      </w:r>
    </w:p>
    <w:p w:rsidR="005211C1" w:rsidRDefault="00790DC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a Deliberação nº 016/2019 da CEP-CAU/BR, com orientações a respeito do procedimento de interrupção de registro de profissionais, esclarecendo que a data de início da interru</w:t>
      </w:r>
      <w:r>
        <w:rPr>
          <w:rFonts w:ascii="Times New Roman" w:hAnsi="Times New Roman"/>
          <w:sz w:val="22"/>
          <w:szCs w:val="22"/>
          <w:lang w:eastAsia="pt-BR"/>
        </w:rPr>
        <w:t>pção do registro ou do cancelamento por pedido de desligamento deverá ter como termo inicial “a data do requerimento” de interrupção ou de desligamento.</w:t>
      </w:r>
    </w:p>
    <w:p w:rsidR="005211C1" w:rsidRDefault="005211C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5211C1" w:rsidRDefault="00790DC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5211C1" w:rsidRDefault="005211C1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5211C1" w:rsidRDefault="00790DC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1 </w:t>
      </w:r>
      <w:r>
        <w:rPr>
          <w:rFonts w:ascii="Times New Roman" w:hAnsi="Times New Roman"/>
          <w:sz w:val="22"/>
          <w:szCs w:val="22"/>
        </w:rPr>
        <w:t xml:space="preserve">- Esclarecer que, para deferimento do pedido de interrupção do registro de pessoa </w:t>
      </w:r>
      <w:r>
        <w:rPr>
          <w:rFonts w:ascii="Times New Roman" w:hAnsi="Times New Roman"/>
          <w:sz w:val="22"/>
          <w:szCs w:val="22"/>
        </w:rPr>
        <w:t>jurídica no CAU, os CAU/UF devem seguir as condições e requisitos definidos no normativo vigente, Resolução CAU/BR nº28, de 2012, vigente;</w:t>
      </w:r>
    </w:p>
    <w:p w:rsidR="005211C1" w:rsidRDefault="005211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11C1" w:rsidRDefault="00790DC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2 - Informar que </w:t>
      </w:r>
      <w:r>
        <w:rPr>
          <w:rFonts w:ascii="Times New Roman" w:hAnsi="Times New Roman"/>
          <w:sz w:val="22"/>
          <w:szCs w:val="22"/>
          <w:lang w:eastAsia="pt-BR"/>
        </w:rPr>
        <w:t>a data de início da interrupção do registro deverá ter como termo inicial no SICCAU a data do reque</w:t>
      </w:r>
      <w:r>
        <w:rPr>
          <w:rFonts w:ascii="Times New Roman" w:hAnsi="Times New Roman"/>
          <w:sz w:val="22"/>
          <w:szCs w:val="22"/>
          <w:lang w:eastAsia="pt-BR"/>
        </w:rPr>
        <w:t>rimento de interrupção;</w:t>
      </w:r>
    </w:p>
    <w:p w:rsidR="005211C1" w:rsidRDefault="005211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11C1" w:rsidRDefault="00790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3 - Informar que caso a baixa do registro da Pessoa Jurídica no CAU, seja a pedido ou de ofício, for motivada por encerramento e extinção da empresa, a data da Baixa do registro no SICCAU terá como termo inicial a data da situação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cadastral como “Baixada” constante do Cadastro Nacional da Pessoa Jurídica (CNPJ) junto à Receita Federal do Brasil;</w:t>
      </w:r>
    </w:p>
    <w:p w:rsidR="005211C1" w:rsidRDefault="005211C1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5211C1" w:rsidRDefault="00790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4- Informar que caso a empresa conste como ativa na Receita Federal, mas não apresente as condições para manutenção do registro conforme 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rt. 28 da Resolução nº 28, a data da baixa do registro terá como termo inicial no SICCAU a data de instauração do processo de baixa “de ofício” realizado pelo CAU/UF; </w:t>
      </w:r>
    </w:p>
    <w:p w:rsidR="005211C1" w:rsidRDefault="005211C1">
      <w:pPr>
        <w:jc w:val="both"/>
        <w:rPr>
          <w:rFonts w:ascii="Times New Roman" w:eastAsia="Times New Roman" w:hAnsi="Times New Roman"/>
          <w:sz w:val="22"/>
          <w:szCs w:val="22"/>
          <w:shd w:val="clear" w:color="auto" w:fill="FFFF00"/>
          <w:lang w:eastAsia="pt-BR"/>
        </w:rPr>
      </w:pPr>
    </w:p>
    <w:p w:rsidR="005211C1" w:rsidRDefault="00790DC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5- Caso a pessoa jurídica apresente o documento da Receita Federal comprovando “inativi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dade” relativa ao período até a instauração do procedimento de baixa de ofício pelo CAU/UF, 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 xml:space="preserve">não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serão cobradas as anuidades em atraso. A data da baixa de ofício seguirá a orientação do item 4 anterior.</w:t>
      </w:r>
    </w:p>
    <w:p w:rsidR="005211C1" w:rsidRDefault="00790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5211C1" w:rsidRDefault="00790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6- Esclarecer que durante o procedimento de baixa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registro, o CAU/UF deverá atentar para o disposto no parágrafo único do art. 26 da Resolução 28, pois caso a baixa do registro da empresa no CAU seja motivada pela  ausência de arquiteto e urbanista responsável técnico pela pessoa jurídica, conforme incis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 III, a referida baixa somente poderá ser deferida e efetuada caso a pessoa jurídica não contenha as expressões “Arquitetura” ou “Urbanismo”, ou designação similar, na razão social, no nome fantasia ou nos objetivos sociais;</w:t>
      </w:r>
    </w:p>
    <w:p w:rsidR="005211C1" w:rsidRDefault="005211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11C1" w:rsidRDefault="00790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7 - Esclarecer que, caso a pe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ssoa jurídica solicite revisão ou isenção de débitos com anuidades ou multas no ato do requerimento de interrupção ou de baixa, os CAU/UF devem seguir as Resoluções CAU/BR específicas que tratam de cobrança de anuidades e valores, negociação de dívidas e c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oncessão de isenções, descontos e ressarcimentos.  Seguem abaixo alguns Normativos vigentes sobre o assunto: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 Resolução nº 121, de 19 de agosto de 2016, que dispõe sobre as anuidades e sobre a negociação de valores devidos aos CAU/UF; 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lastRenderedPageBreak/>
        <w:t>- Resolução n° 133,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17 de fevereiro de 2017, que dispõe sobre o processo administrativo de cobrança decorrente de inadimplência, sobre a inscrição em dívida ativa dos débitos de anuidades, multas e demais valores no âmbito dos CAU/UF, altera a Resolução CAU/BR n° 121,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2016;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- Resolução n° 142, de 23 de junho de 2017, que dispõe sobre o requerimento de revisão da cobrança de anuidades, sobre o processo administrativo de cobrança precedente à suspensão do registro em razão de inadimplência; </w:t>
      </w:r>
    </w:p>
    <w:p w:rsidR="005211C1" w:rsidRDefault="00790DCC">
      <w:pPr>
        <w:ind w:start="28.3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- Resolução n° 152, de 24 de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ovembro de 2017, que regulamenta os ressarcimentos a serem concedidos aos profissionais arquitetos e urbanistas e às pessoas jurídicas de valores pagos indevidamente aos CAU/UF; e</w:t>
      </w:r>
    </w:p>
    <w:p w:rsidR="005211C1" w:rsidRDefault="005211C1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5211C1" w:rsidRDefault="00790DC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8 – </w:t>
      </w:r>
      <w:r>
        <w:rPr>
          <w:rFonts w:ascii="Times New Roman" w:hAnsi="Times New Roman"/>
          <w:sz w:val="22"/>
          <w:szCs w:val="22"/>
        </w:rPr>
        <w:t>Encaminhar à Presidência do CAU/BR para envio desta Deliberação ao CAU/</w:t>
      </w:r>
      <w:r>
        <w:rPr>
          <w:rFonts w:ascii="Times New Roman" w:hAnsi="Times New Roman"/>
          <w:sz w:val="22"/>
          <w:szCs w:val="22"/>
        </w:rPr>
        <w:t>SC em resposta ao protocolo em epígrafe, e à RIA para divulgação de seu conteúdo a todos os CAU/UF.</w:t>
      </w:r>
    </w:p>
    <w:p w:rsidR="005211C1" w:rsidRDefault="005211C1">
      <w:pPr>
        <w:rPr>
          <w:rFonts w:ascii="Times New Roman" w:hAnsi="Times New Roman"/>
          <w:sz w:val="22"/>
          <w:szCs w:val="22"/>
          <w:lang w:eastAsia="pt-BR"/>
        </w:rPr>
      </w:pPr>
    </w:p>
    <w:p w:rsidR="005211C1" w:rsidRDefault="00790DCC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12 de abril de 2019.</w:t>
      </w:r>
    </w:p>
    <w:p w:rsidR="005211C1" w:rsidRDefault="005211C1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5211C1" w:rsidRDefault="00790DC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5211C1" w:rsidRDefault="00790DCC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5211C1" w:rsidRDefault="005211C1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5211C1" w:rsidRDefault="00790DCC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211C1" w:rsidRDefault="00790DCC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11C1" w:rsidRDefault="005211C1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5211C1" w:rsidRDefault="00790DC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 xml:space="preserve">FERNANDO MÁRCIO </w:t>
      </w:r>
      <w:r>
        <w:rPr>
          <w:b/>
        </w:rPr>
        <w:t>DE 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211C1" w:rsidRDefault="00790DCC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5211C1" w:rsidRDefault="005211C1"/>
    <w:p w:rsidR="005211C1" w:rsidRDefault="00790DCC">
      <w:pPr>
        <w:tabs>
          <w:tab w:val="center" w:pos="212.6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5211C1" w:rsidRDefault="00790DCC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5211C1" w:rsidRDefault="005211C1">
      <w:pPr>
        <w:tabs>
          <w:tab w:val="start" w:pos="232.55pt"/>
        </w:tabs>
        <w:autoSpaceDE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5211C1" w:rsidRDefault="00790DCC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5211C1" w:rsidRDefault="00790DCC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5211C1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790DCC">
      <w:r>
        <w:separator/>
      </w:r>
    </w:p>
  </w:endnote>
  <w:endnote w:type="continuationSeparator" w:id="0">
    <w:p w:rsidR="00000000" w:rsidRDefault="00790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6266" w:rsidRDefault="00790DCC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6153729</wp:posOffset>
          </wp:positionH>
          <wp:positionV relativeFrom="paragraph">
            <wp:posOffset>-201259</wp:posOffset>
          </wp:positionV>
          <wp:extent cx="1067379" cy="295899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1067379" cy="295899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256266" w:rsidRDefault="00790DC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-1086480</wp:posOffset>
          </wp:positionH>
          <wp:positionV relativeFrom="paragraph">
            <wp:posOffset>-508004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  <w:p w:rsidR="00256266" w:rsidRDefault="00790DCC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r>
      <w:rPr>
        <w:rFonts w:ascii="Times New Roman" w:hAnsi="Times New Roman"/>
        <w:color w:val="296D7A"/>
        <w:sz w:val="18"/>
        <w:szCs w:val="18"/>
      </w:rPr>
      <w:t>DELIBERAÇÃO Nº 027/2019 – (CEP – CAU/BR)</w:t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790DCC">
      <w:r>
        <w:rPr>
          <w:color w:val="000000"/>
        </w:rPr>
        <w:separator/>
      </w:r>
    </w:p>
  </w:footnote>
  <w:footnote w:type="continuationSeparator" w:id="0">
    <w:p w:rsidR="00000000" w:rsidRDefault="00790DC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56266" w:rsidRDefault="00790DC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211C1"/>
    <w:rsid w:val="005211C1"/>
    <w:rsid w:val="0079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339B0082-EC2C-4949-AED5-3F91C77ECC4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1267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027/2019 – (CEP – CAU/BR)</vt:lpstr>
    </vt:vector>
  </TitlesOfParts>
  <Company>Hewlett-Packard Company</Company>
  <LinksUpToDate>false</LinksUpToDate>
  <CharactersWithSpaces>8098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027/2019 – (CEP – CAU/BR)</dc:title>
  <dc:subject/>
  <dc:creator>CEP</dc:creator>
  <cp:lastModifiedBy>Viviane Nota Machado</cp:lastModifiedBy>
  <cp:revision>2</cp:revision>
  <cp:lastPrinted>2019-04-12T18:02:00Z</cp:lastPrinted>
  <dcterms:created xsi:type="dcterms:W3CDTF">2019-04-24T13:02:00Z</dcterms:created>
  <dcterms:modified xsi:type="dcterms:W3CDTF">2019-04-24T13:02:00Z</dcterms:modified>
</cp:coreProperties>
</file>