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66A409C7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49065CB" w14:textId="77777777" w:rsidR="00DA6E99" w:rsidRPr="00D35C2F" w:rsidRDefault="00784E39" w:rsidP="00D70AA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29E1BF9" w14:textId="77777777" w:rsidR="00784E39" w:rsidRPr="009368FD" w:rsidRDefault="00FC3403" w:rsidP="006929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9368FD"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DA6E99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rotocolo SICCAU </w:t>
            </w:r>
            <w:r w:rsidR="00D70AAF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nº </w:t>
            </w:r>
            <w:r w:rsidR="00BF4995" w:rsidRPr="00BF4995">
              <w:rPr>
                <w:rFonts w:ascii="Times New Roman" w:hAnsi="Times New Roman"/>
                <w:b w:val="0"/>
              </w:rPr>
              <w:t>12</w:t>
            </w:r>
            <w:r w:rsidR="006929A3">
              <w:rPr>
                <w:rFonts w:ascii="Times New Roman" w:hAnsi="Times New Roman"/>
                <w:b w:val="0"/>
              </w:rPr>
              <w:t>93416</w:t>
            </w:r>
            <w:r w:rsidR="00BF4995" w:rsidRPr="00BF4995">
              <w:rPr>
                <w:rFonts w:ascii="Times New Roman" w:hAnsi="Times New Roman"/>
                <w:b w:val="0"/>
              </w:rPr>
              <w:t>/2021</w:t>
            </w:r>
          </w:p>
        </w:tc>
      </w:tr>
      <w:tr w:rsidR="00784E39" w:rsidRPr="00D35C2F" w14:paraId="515D66B1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E180DD4" w14:textId="77777777" w:rsidR="00784E39" w:rsidRPr="00D35C2F" w:rsidRDefault="00784E39" w:rsidP="0095650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BD7657E" w14:textId="77777777" w:rsidR="00784E39" w:rsidRPr="006929A3" w:rsidRDefault="000110F9" w:rsidP="001460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6929A3">
              <w:rPr>
                <w:rFonts w:ascii="Times New Roman" w:hAnsi="Times New Roman"/>
                <w:b w:val="0"/>
              </w:rPr>
              <w:t>Presidência do CAU/BR</w:t>
            </w:r>
          </w:p>
        </w:tc>
      </w:tr>
      <w:tr w:rsidR="00784E39" w:rsidRPr="00D35C2F" w14:paraId="46B542A6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7397EED" w14:textId="77777777" w:rsidR="00784E39" w:rsidRPr="00D35C2F" w:rsidRDefault="00784E39" w:rsidP="0095650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3C70FC8" w14:textId="77777777" w:rsidR="009368FD" w:rsidRPr="006929A3" w:rsidRDefault="00BF4995" w:rsidP="003267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BF4995">
              <w:rPr>
                <w:rFonts w:ascii="Times New Roman" w:hAnsi="Times New Roman"/>
                <w:b w:val="0"/>
              </w:rPr>
              <w:t>CAU-</w:t>
            </w:r>
            <w:r w:rsidR="006929A3">
              <w:rPr>
                <w:rFonts w:ascii="Times New Roman" w:hAnsi="Times New Roman"/>
                <w:b w:val="0"/>
              </w:rPr>
              <w:t xml:space="preserve">SC </w:t>
            </w:r>
            <w:r w:rsidR="006929A3" w:rsidRPr="006929A3">
              <w:rPr>
                <w:rFonts w:ascii="Times New Roman" w:hAnsi="Times New Roman"/>
                <w:b w:val="0"/>
              </w:rPr>
              <w:t xml:space="preserve">solicita esclarecimentos acerca das novas regras </w:t>
            </w:r>
            <w:r w:rsidR="00326742">
              <w:rPr>
                <w:rFonts w:ascii="Times New Roman" w:hAnsi="Times New Roman"/>
                <w:b w:val="0"/>
              </w:rPr>
              <w:t>relativas às</w:t>
            </w:r>
            <w:r w:rsidR="006929A3" w:rsidRPr="006929A3">
              <w:rPr>
                <w:rFonts w:ascii="Times New Roman" w:hAnsi="Times New Roman"/>
                <w:b w:val="0"/>
              </w:rPr>
              <w:t xml:space="preserve"> condições de tempestividade para o RRT Simples</w:t>
            </w:r>
            <w:r w:rsidR="00326742">
              <w:rPr>
                <w:rFonts w:ascii="Times New Roman" w:hAnsi="Times New Roman"/>
                <w:b w:val="0"/>
              </w:rPr>
              <w:t>, atualizadas pela Res. 184</w:t>
            </w:r>
            <w:r w:rsidR="00733D07">
              <w:rPr>
                <w:rFonts w:ascii="Times New Roman" w:hAnsi="Times New Roman"/>
                <w:b w:val="0"/>
              </w:rPr>
              <w:t>.</w:t>
            </w:r>
          </w:p>
        </w:tc>
      </w:tr>
    </w:tbl>
    <w:p w14:paraId="32CAAFB9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733D0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FC3403" w:rsidRPr="00733D0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01</w:t>
      </w:r>
      <w:r w:rsidR="00CB368B" w:rsidRPr="00733D0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7</w:t>
      </w:r>
      <w:r w:rsidRPr="00733D0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24C428BF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45BE761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1C1B20"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FC3403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24C82C5D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E5AA123" w14:textId="77777777" w:rsidR="000110F9" w:rsidRPr="00326742" w:rsidRDefault="00D70AAF" w:rsidP="00F0284D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F0284D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Considerando </w:t>
      </w:r>
      <w:r w:rsid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o </w:t>
      </w:r>
      <w:r w:rsidR="00326742"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Ofício nº 136-2021- PRES CAUSC que encaminha a Deliberação nº 14/2021- CEP-CAU/SC, </w:t>
      </w:r>
      <w:r w:rsid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na qual a comissão estadual</w:t>
      </w:r>
      <w:r w:rsidR="00326742"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deliberou</w:t>
      </w:r>
      <w:r w:rsid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que</w:t>
      </w:r>
      <w:r w:rsidR="00326742"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:</w:t>
      </w:r>
    </w:p>
    <w:p w14:paraId="65E47BC7" w14:textId="77777777" w:rsidR="00326742" w:rsidRPr="00326742" w:rsidRDefault="00326742" w:rsidP="00326742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Aprovar o entendimento que quando houver a associação dos grupos “Projeto” e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r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“Atividades Especiais”, do art. 3° da Resolução CAU/BR n° 21 do CAU/BR, no mesmo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r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Registro de Responsabilidade Técnica, devem ser aplicadas as condições de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r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tempestividade menos restritivas, </w:t>
      </w:r>
      <w:r w:rsidRPr="004A62EC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pt-BR"/>
        </w:rPr>
        <w:t>quando não automáticas pelo SICCAU;</w:t>
      </w:r>
    </w:p>
    <w:p w14:paraId="096D66C0" w14:textId="77777777" w:rsidR="00326742" w:rsidRPr="00326742" w:rsidRDefault="00326742" w:rsidP="00326742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Compartilhar a presente interpretação com a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CEP-</w:t>
      </w:r>
      <w:r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CAU/BR, solicitando a consolidação de um entendimento nacional da questão;</w:t>
      </w:r>
    </w:p>
    <w:p w14:paraId="450B84FA" w14:textId="77777777" w:rsidR="00326742" w:rsidRPr="00326742" w:rsidRDefault="00326742" w:rsidP="00326742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5F9519F" w14:textId="77777777" w:rsidR="00326742" w:rsidRDefault="00F372C9" w:rsidP="00326742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</w:t>
      </w:r>
      <w:r w:rsidR="00326742">
        <w:rPr>
          <w:rFonts w:ascii="Times New Roman" w:eastAsia="Times New Roman" w:hAnsi="Times New Roman" w:cs="Times New Roman"/>
          <w:color w:val="auto"/>
          <w:lang w:eastAsia="pt-BR"/>
        </w:rPr>
        <w:t>a</w:t>
      </w:r>
      <w:bookmarkStart w:id="0" w:name="RESOLUÇÃO_N__91,_DE_9_DE_OUTUBRO_DE_2014"/>
      <w:bookmarkEnd w:id="0"/>
      <w:r w:rsidR="00326742">
        <w:rPr>
          <w:rFonts w:ascii="Times New Roman" w:eastAsia="Times New Roman" w:hAnsi="Times New Roman" w:cs="Times New Roman"/>
          <w:color w:val="auto"/>
          <w:lang w:eastAsia="pt-BR"/>
        </w:rPr>
        <w:t xml:space="preserve"> Resolução nº</w:t>
      </w:r>
      <w:r w:rsidR="00326742"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91, de 9 de outubro de 2014</w:t>
      </w:r>
      <w:r w:rsid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que </w:t>
      </w:r>
      <w:bookmarkStart w:id="1" w:name="Dispõe_sobre_o_Registro_de_Responsabilid"/>
      <w:bookmarkEnd w:id="1"/>
      <w:r w:rsid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d</w:t>
      </w:r>
      <w:r w:rsidR="00326742"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ispõe sobre o Registro de Responsabilidade Técnica (RRT)</w:t>
      </w:r>
      <w:r w:rsid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, e define no art. 2º as condições de tempestividade que tornam obrigatória a efetivação do referido registro no CAU</w:t>
      </w:r>
      <w:r w:rsidR="00CD50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, determinando que</w:t>
      </w:r>
      <w:r w:rsid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:</w:t>
      </w:r>
    </w:p>
    <w:p w14:paraId="28BD22B2" w14:textId="77777777" w:rsidR="00326742" w:rsidRPr="004A62EC" w:rsidRDefault="00326742" w:rsidP="00CD5042">
      <w:pPr>
        <w:pStyle w:val="Corpodetexto"/>
        <w:spacing w:before="81"/>
        <w:ind w:left="567" w:right="117"/>
        <w:jc w:val="both"/>
        <w:rPr>
          <w:i/>
        </w:rPr>
      </w:pPr>
      <w:r w:rsidRPr="004A62EC">
        <w:rPr>
          <w:i/>
          <w:lang w:bidi="ar-SA"/>
        </w:rPr>
        <w:t xml:space="preserve">I – quando se tratar de atividade técnica do Item 2 (Grupo “Execução”) do art. 3° da Resolução CAU/BR n° 21, de 2012, </w:t>
      </w:r>
      <w:r w:rsidRPr="004A62EC">
        <w:rPr>
          <w:i/>
          <w:u w:val="single"/>
          <w:lang w:bidi="ar-SA"/>
        </w:rPr>
        <w:t>o RRT deverá ser efetuado antes do início da atividade</w:t>
      </w:r>
      <w:r w:rsidRPr="004A62EC">
        <w:rPr>
          <w:i/>
          <w:lang w:bidi="ar-SA"/>
        </w:rPr>
        <w:t xml:space="preserve">; </w:t>
      </w:r>
    </w:p>
    <w:p w14:paraId="7AE8C9A6" w14:textId="77777777" w:rsidR="00326742" w:rsidRPr="004A62EC" w:rsidRDefault="00326742" w:rsidP="00CD5042">
      <w:pPr>
        <w:pStyle w:val="Corpodetexto"/>
        <w:spacing w:before="81"/>
        <w:ind w:left="567" w:right="117"/>
        <w:jc w:val="both"/>
        <w:rPr>
          <w:i/>
        </w:rPr>
      </w:pPr>
      <w:r w:rsidRPr="004A62EC">
        <w:rPr>
          <w:i/>
          <w:lang w:bidi="ar-SA"/>
        </w:rPr>
        <w:t>II – quando se tratar de atividades dos Itens 1 e 4 (Grupos: “Projeto” e “Meio Ambiente e Planejamento Regional e Urbano”) e das atividades 3.1, 7.8.12 e 7.8.13 (Coordenação e Compatibilização de Projetos, Projeto de Sistema de Segurança e Projeto de Proteção Contra Incêndios) do art. 3° da Resolução CAU/BR n° 21, de 2012</w:t>
      </w:r>
      <w:r w:rsidRPr="004A62EC">
        <w:rPr>
          <w:i/>
          <w:u w:val="single"/>
          <w:lang w:bidi="ar-SA"/>
        </w:rPr>
        <w:t>, o RRT deverá ser efetuado</w:t>
      </w:r>
      <w:r w:rsidR="00CD5042" w:rsidRPr="004A62EC">
        <w:rPr>
          <w:i/>
          <w:u w:val="single"/>
          <w:lang w:bidi="ar-SA"/>
        </w:rPr>
        <w:t xml:space="preserve"> até o término da atividade ou:</w:t>
      </w:r>
    </w:p>
    <w:p w14:paraId="4F8CCDFB" w14:textId="77777777" w:rsidR="00326742" w:rsidRPr="004A62EC" w:rsidRDefault="00326742" w:rsidP="00CD5042">
      <w:pPr>
        <w:pStyle w:val="Corpodetexto"/>
        <w:numPr>
          <w:ilvl w:val="0"/>
          <w:numId w:val="5"/>
        </w:numPr>
        <w:spacing w:before="81"/>
        <w:ind w:left="993" w:right="117"/>
        <w:jc w:val="both"/>
        <w:rPr>
          <w:i/>
        </w:rPr>
      </w:pPr>
      <w:r w:rsidRPr="004A62EC">
        <w:rPr>
          <w:i/>
          <w:lang w:bidi="ar-SA"/>
        </w:rPr>
        <w:t xml:space="preserve">até entrega final dos documentos técnicos, objeto do contrato, ao contratante; </w:t>
      </w:r>
    </w:p>
    <w:p w14:paraId="67C6E694" w14:textId="77777777" w:rsidR="00326742" w:rsidRPr="004A62EC" w:rsidRDefault="00326742" w:rsidP="00CD5042">
      <w:pPr>
        <w:pStyle w:val="Corpodetexto"/>
        <w:numPr>
          <w:ilvl w:val="0"/>
          <w:numId w:val="5"/>
        </w:numPr>
        <w:spacing w:before="81"/>
        <w:ind w:left="993" w:right="117"/>
        <w:jc w:val="both"/>
        <w:rPr>
          <w:i/>
        </w:rPr>
      </w:pPr>
      <w:r w:rsidRPr="004A62EC">
        <w:rPr>
          <w:i/>
          <w:lang w:bidi="ar-SA"/>
        </w:rPr>
        <w:t xml:space="preserve">antes de dar entrada e/ou protocolar em pessoa jurídica, pública ou privada, responsável pela análise e aprovação do projeto e/ou documento técnico, objeto do contrato; ou </w:t>
      </w:r>
    </w:p>
    <w:p w14:paraId="5488B825" w14:textId="77777777" w:rsidR="00326742" w:rsidRPr="004A62EC" w:rsidRDefault="00326742" w:rsidP="00CD5042">
      <w:pPr>
        <w:pStyle w:val="Corpodetexto"/>
        <w:numPr>
          <w:ilvl w:val="0"/>
          <w:numId w:val="5"/>
        </w:numPr>
        <w:spacing w:before="81"/>
        <w:ind w:left="993" w:right="117"/>
        <w:jc w:val="both"/>
        <w:rPr>
          <w:i/>
        </w:rPr>
      </w:pPr>
      <w:r w:rsidRPr="004A62EC">
        <w:rPr>
          <w:i/>
          <w:lang w:bidi="ar-SA"/>
        </w:rPr>
        <w:t xml:space="preserve">antes da publicação ou divulgação dos documentos técnicos, objeto do contrato, em elementos de comunicação dirigido ao cliente e ao público em geral; </w:t>
      </w:r>
    </w:p>
    <w:p w14:paraId="1C0D515D" w14:textId="77777777" w:rsidR="00326742" w:rsidRPr="004A62EC" w:rsidRDefault="00326742" w:rsidP="00CD5042">
      <w:pPr>
        <w:pStyle w:val="Corpodetexto"/>
        <w:spacing w:before="81"/>
        <w:ind w:left="567" w:right="117"/>
        <w:jc w:val="both"/>
        <w:rPr>
          <w:i/>
        </w:rPr>
      </w:pPr>
      <w:r w:rsidRPr="004A62EC">
        <w:rPr>
          <w:i/>
          <w:lang w:bidi="ar-SA"/>
        </w:rPr>
        <w:t xml:space="preserve">III – para as demais atividades técnicas, </w:t>
      </w:r>
      <w:r w:rsidRPr="004A62EC">
        <w:rPr>
          <w:i/>
          <w:u w:val="single"/>
          <w:lang w:bidi="ar-SA"/>
        </w:rPr>
        <w:t xml:space="preserve">o RRT deverá ser efetuado em até 30 (trinta) dias contados da data de início da atividade </w:t>
      </w:r>
      <w:r w:rsidRPr="004A62EC">
        <w:rPr>
          <w:i/>
          <w:lang w:bidi="ar-SA"/>
        </w:rPr>
        <w:t xml:space="preserve">e desde que seja </w:t>
      </w:r>
      <w:r w:rsidRPr="004A62EC">
        <w:rPr>
          <w:i/>
          <w:u w:val="single"/>
          <w:lang w:bidi="ar-SA"/>
        </w:rPr>
        <w:t>antes da</w:t>
      </w:r>
      <w:r w:rsidR="00CD5042" w:rsidRPr="004A62EC">
        <w:rPr>
          <w:i/>
          <w:u w:val="single"/>
          <w:lang w:bidi="ar-SA"/>
        </w:rPr>
        <w:t xml:space="preserve"> data de término</w:t>
      </w:r>
      <w:r w:rsidR="00CD5042" w:rsidRPr="004A62EC">
        <w:rPr>
          <w:i/>
          <w:lang w:bidi="ar-SA"/>
        </w:rPr>
        <w:t xml:space="preserve"> da atividade.</w:t>
      </w:r>
      <w:r w:rsidR="00112121">
        <w:rPr>
          <w:i/>
          <w:lang w:bidi="ar-SA"/>
        </w:rPr>
        <w:t>”</w:t>
      </w:r>
    </w:p>
    <w:p w14:paraId="45F7222B" w14:textId="77777777" w:rsidR="00784E39" w:rsidRDefault="00784E39" w:rsidP="00326742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</w:p>
    <w:p w14:paraId="34E6AD1B" w14:textId="77777777" w:rsidR="002C707B" w:rsidRPr="002C707B" w:rsidRDefault="00F372C9" w:rsidP="00112121">
      <w:pPr>
        <w:pStyle w:val="Default"/>
        <w:jc w:val="both"/>
        <w:rPr>
          <w:i/>
        </w:rPr>
      </w:pP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que </w:t>
      </w:r>
      <w:r w:rsidR="00112121">
        <w:rPr>
          <w:rFonts w:ascii="Times New Roman" w:eastAsia="Times New Roman" w:hAnsi="Times New Roman" w:cs="Times New Roman"/>
          <w:color w:val="auto"/>
          <w:lang w:eastAsia="pt-BR"/>
        </w:rPr>
        <w:t>o art. 8º d</w:t>
      </w:r>
      <w:r>
        <w:rPr>
          <w:rFonts w:ascii="Times New Roman" w:eastAsia="Times New Roman" w:hAnsi="Times New Roman" w:cs="Times New Roman"/>
          <w:color w:val="auto"/>
          <w:lang w:eastAsia="pt-BR"/>
        </w:rPr>
        <w:t>a Resolução nº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91, </w:t>
      </w:r>
      <w:r w:rsidRPr="00326742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de 2014</w:t>
      </w:r>
      <w:r w:rsidR="004A62E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, definiu os modelos de RRT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estabelecendo as condições e requisitos conforme </w:t>
      </w:r>
      <w:r w:rsidR="00112121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uma ou mais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atividades técnicas que o constituam</w:t>
      </w:r>
      <w:r w:rsidR="00112121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.</w:t>
      </w:r>
    </w:p>
    <w:p w14:paraId="108BA45A" w14:textId="77777777" w:rsidR="002C707B" w:rsidRDefault="002C707B" w:rsidP="00326742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</w:p>
    <w:p w14:paraId="582CC55E" w14:textId="77777777" w:rsidR="00784E39" w:rsidRPr="00C15C1C" w:rsidRDefault="00784E39" w:rsidP="00784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489C9B96" w14:textId="77777777" w:rsidR="00784E39" w:rsidRPr="00C15C1C" w:rsidRDefault="00784E39" w:rsidP="00FC340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B09ADAC" w14:textId="77777777" w:rsidR="004A62EC" w:rsidRDefault="005F6BDB" w:rsidP="004A62EC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Informa</w:t>
      </w:r>
      <w:r w:rsidR="004A62EC">
        <w:rPr>
          <w:rFonts w:ascii="Times New Roman" w:hAnsi="Times New Roman"/>
          <w:b w:val="0"/>
          <w:bCs/>
          <w:lang w:eastAsia="pt-BR"/>
        </w:rPr>
        <w:t>r à CEP-CAU/SC que o entendimento é de</w:t>
      </w:r>
      <w:r>
        <w:rPr>
          <w:rFonts w:ascii="Times New Roman" w:hAnsi="Times New Roman"/>
          <w:b w:val="0"/>
          <w:bCs/>
          <w:lang w:eastAsia="pt-BR"/>
        </w:rPr>
        <w:t xml:space="preserve"> que as regras relacionadas </w:t>
      </w:r>
      <w:r w:rsidR="00956508">
        <w:rPr>
          <w:rFonts w:ascii="Times New Roman" w:hAnsi="Times New Roman"/>
          <w:b w:val="0"/>
          <w:bCs/>
          <w:lang w:eastAsia="pt-BR"/>
        </w:rPr>
        <w:t>às condições de tempestividade para efetuar o</w:t>
      </w:r>
      <w:r>
        <w:rPr>
          <w:rFonts w:ascii="Times New Roman" w:hAnsi="Times New Roman"/>
          <w:b w:val="0"/>
          <w:bCs/>
          <w:lang w:eastAsia="pt-BR"/>
        </w:rPr>
        <w:t xml:space="preserve"> RRT Simples </w:t>
      </w:r>
      <w:r w:rsidR="00956508">
        <w:rPr>
          <w:rFonts w:ascii="Times New Roman" w:hAnsi="Times New Roman"/>
          <w:b w:val="0"/>
          <w:bCs/>
          <w:lang w:eastAsia="pt-BR"/>
        </w:rPr>
        <w:t xml:space="preserve">no CAU </w:t>
      </w:r>
      <w:r w:rsidR="004A62EC">
        <w:rPr>
          <w:rFonts w:ascii="Times New Roman" w:hAnsi="Times New Roman"/>
          <w:b w:val="0"/>
          <w:bCs/>
          <w:lang w:eastAsia="pt-BR"/>
        </w:rPr>
        <w:t>devem estar implementadas no</w:t>
      </w:r>
      <w:r>
        <w:rPr>
          <w:rFonts w:ascii="Times New Roman" w:hAnsi="Times New Roman"/>
          <w:b w:val="0"/>
          <w:bCs/>
          <w:lang w:eastAsia="pt-BR"/>
        </w:rPr>
        <w:t xml:space="preserve"> SICCAU seguindo o que determina a Resolução CAU/BR nº 91, de </w:t>
      </w:r>
      <w:r w:rsidR="004A62EC">
        <w:rPr>
          <w:rFonts w:ascii="Times New Roman" w:hAnsi="Times New Roman"/>
          <w:b w:val="0"/>
          <w:bCs/>
          <w:lang w:eastAsia="pt-BR"/>
        </w:rPr>
        <w:t xml:space="preserve">9 de outubro de </w:t>
      </w:r>
      <w:r>
        <w:rPr>
          <w:rFonts w:ascii="Times New Roman" w:hAnsi="Times New Roman"/>
          <w:b w:val="0"/>
          <w:bCs/>
          <w:lang w:eastAsia="pt-BR"/>
        </w:rPr>
        <w:t>2014,</w:t>
      </w:r>
      <w:r w:rsidR="004A62EC">
        <w:rPr>
          <w:rFonts w:ascii="Times New Roman" w:hAnsi="Times New Roman"/>
          <w:b w:val="0"/>
          <w:bCs/>
          <w:lang w:eastAsia="pt-BR"/>
        </w:rPr>
        <w:t xml:space="preserve"> e suas alterações posteriores</w:t>
      </w:r>
      <w:r w:rsidR="00956508">
        <w:rPr>
          <w:rFonts w:ascii="Times New Roman" w:hAnsi="Times New Roman"/>
          <w:b w:val="0"/>
          <w:bCs/>
          <w:lang w:eastAsia="pt-BR"/>
        </w:rPr>
        <w:t>, em vigência</w:t>
      </w:r>
      <w:r w:rsidR="004A62EC">
        <w:rPr>
          <w:rFonts w:ascii="Times New Roman" w:hAnsi="Times New Roman"/>
          <w:b w:val="0"/>
          <w:bCs/>
          <w:lang w:eastAsia="pt-BR"/>
        </w:rPr>
        <w:t xml:space="preserve">; </w:t>
      </w:r>
    </w:p>
    <w:p w14:paraId="7D5873B3" w14:textId="77777777" w:rsidR="004A62EC" w:rsidRDefault="004A62EC" w:rsidP="004A62EC">
      <w:p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</w:p>
    <w:p w14:paraId="455BA086" w14:textId="77777777" w:rsidR="00956508" w:rsidRPr="00112121" w:rsidRDefault="004A62EC" w:rsidP="00956508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eastAsia="Cambria" w:hAnsi="Times New Roman" w:cs="Times New Roman"/>
          <w:b w:val="0"/>
        </w:rPr>
      </w:pPr>
      <w:r w:rsidRPr="00112121">
        <w:rPr>
          <w:rFonts w:ascii="Times New Roman" w:hAnsi="Times New Roman"/>
          <w:b w:val="0"/>
          <w:bCs/>
          <w:lang w:eastAsia="pt-BR"/>
        </w:rPr>
        <w:lastRenderedPageBreak/>
        <w:t xml:space="preserve">Esclarecer </w:t>
      </w:r>
      <w:r w:rsidR="005F6BDB" w:rsidRPr="00112121">
        <w:rPr>
          <w:rFonts w:ascii="Times New Roman" w:hAnsi="Times New Roman"/>
          <w:b w:val="0"/>
          <w:bCs/>
          <w:lang w:eastAsia="pt-BR"/>
        </w:rPr>
        <w:t>que</w:t>
      </w:r>
      <w:r w:rsidRPr="00112121">
        <w:rPr>
          <w:rFonts w:ascii="Times New Roman" w:hAnsi="Times New Roman"/>
          <w:b w:val="0"/>
          <w:bCs/>
          <w:lang w:eastAsia="pt-BR"/>
        </w:rPr>
        <w:t>,</w:t>
      </w:r>
      <w:r w:rsidR="005F6BDB" w:rsidRPr="00112121">
        <w:rPr>
          <w:rFonts w:ascii="Times New Roman" w:hAnsi="Times New Roman"/>
          <w:b w:val="0"/>
          <w:bCs/>
          <w:lang w:eastAsia="pt-BR"/>
        </w:rPr>
        <w:t xml:space="preserve"> </w:t>
      </w:r>
      <w:r w:rsidRPr="00112121">
        <w:rPr>
          <w:rFonts w:ascii="Times New Roman" w:hAnsi="Times New Roman"/>
          <w:b w:val="0"/>
          <w:bCs/>
          <w:lang w:eastAsia="pt-BR"/>
        </w:rPr>
        <w:t xml:space="preserve">seguindo o que estabelece  </w:t>
      </w:r>
      <w:r w:rsidR="005F6BDB" w:rsidRPr="00112121">
        <w:rPr>
          <w:rFonts w:ascii="Times New Roman" w:hAnsi="Times New Roman"/>
          <w:b w:val="0"/>
          <w:bCs/>
          <w:lang w:eastAsia="pt-BR"/>
        </w:rPr>
        <w:t>o art. 2º d</w:t>
      </w:r>
      <w:r w:rsidRPr="00112121">
        <w:rPr>
          <w:rFonts w:ascii="Times New Roman" w:hAnsi="Times New Roman"/>
          <w:b w:val="0"/>
          <w:bCs/>
          <w:lang w:eastAsia="pt-BR"/>
        </w:rPr>
        <w:t>a Resolução nº 91/2014, as</w:t>
      </w:r>
      <w:r w:rsidR="005F6BDB" w:rsidRPr="00112121">
        <w:rPr>
          <w:rFonts w:ascii="Times New Roman" w:hAnsi="Times New Roman"/>
          <w:b w:val="0"/>
          <w:bCs/>
          <w:lang w:eastAsia="pt-BR"/>
        </w:rPr>
        <w:t xml:space="preserve"> condições</w:t>
      </w:r>
      <w:r w:rsidRPr="00112121">
        <w:rPr>
          <w:rFonts w:ascii="Times New Roman" w:hAnsi="Times New Roman"/>
          <w:b w:val="0"/>
          <w:bCs/>
          <w:lang w:eastAsia="pt-BR"/>
        </w:rPr>
        <w:t xml:space="preserve"> de tempestividade para efetuar </w:t>
      </w:r>
      <w:r w:rsidR="005F6BDB" w:rsidRPr="00112121">
        <w:rPr>
          <w:rFonts w:ascii="Times New Roman" w:hAnsi="Times New Roman"/>
          <w:b w:val="0"/>
          <w:bCs/>
          <w:lang w:eastAsia="pt-BR"/>
        </w:rPr>
        <w:t>RRT</w:t>
      </w:r>
      <w:r w:rsidRPr="00112121">
        <w:rPr>
          <w:rFonts w:ascii="Times New Roman" w:hAnsi="Times New Roman"/>
          <w:b w:val="0"/>
          <w:bCs/>
          <w:lang w:eastAsia="pt-BR"/>
        </w:rPr>
        <w:t xml:space="preserve">s Simples, Mínimo ou Social, </w:t>
      </w:r>
      <w:r w:rsidR="005F6BDB" w:rsidRPr="00112121">
        <w:rPr>
          <w:rFonts w:ascii="Times New Roman" w:hAnsi="Times New Roman"/>
          <w:b w:val="0"/>
          <w:bCs/>
          <w:lang w:eastAsia="pt-BR"/>
        </w:rPr>
        <w:t xml:space="preserve">que seja constituído de uma ou mais </w:t>
      </w:r>
      <w:r w:rsidRPr="00112121">
        <w:rPr>
          <w:rFonts w:ascii="Times New Roman" w:hAnsi="Times New Roman"/>
          <w:b w:val="0"/>
          <w:bCs/>
          <w:lang w:eastAsia="pt-BR"/>
        </w:rPr>
        <w:t>Atividades E</w:t>
      </w:r>
      <w:r w:rsidR="005F6BDB" w:rsidRPr="00112121">
        <w:rPr>
          <w:rFonts w:ascii="Times New Roman" w:hAnsi="Times New Roman"/>
          <w:b w:val="0"/>
          <w:bCs/>
          <w:lang w:eastAsia="pt-BR"/>
        </w:rPr>
        <w:t>speciais, pertencentes ao Grupo 5 da Res</w:t>
      </w:r>
      <w:r w:rsidRPr="00112121">
        <w:rPr>
          <w:rFonts w:ascii="Times New Roman" w:hAnsi="Times New Roman"/>
          <w:b w:val="0"/>
          <w:bCs/>
          <w:lang w:eastAsia="pt-BR"/>
        </w:rPr>
        <w:t xml:space="preserve">olução CAU/BR nº </w:t>
      </w:r>
      <w:r w:rsidR="005F6BDB" w:rsidRPr="00112121">
        <w:rPr>
          <w:rFonts w:ascii="Times New Roman" w:hAnsi="Times New Roman"/>
          <w:b w:val="0"/>
          <w:bCs/>
          <w:lang w:eastAsia="pt-BR"/>
        </w:rPr>
        <w:t>21</w:t>
      </w:r>
      <w:r w:rsidRPr="00112121">
        <w:rPr>
          <w:rFonts w:ascii="Times New Roman" w:hAnsi="Times New Roman"/>
          <w:b w:val="0"/>
          <w:bCs/>
          <w:lang w:eastAsia="pt-BR"/>
        </w:rPr>
        <w:t>/2012,</w:t>
      </w:r>
      <w:r w:rsidR="00112121">
        <w:rPr>
          <w:rFonts w:ascii="Times New Roman" w:hAnsi="Times New Roman"/>
          <w:b w:val="0"/>
          <w:bCs/>
          <w:lang w:eastAsia="pt-BR"/>
        </w:rPr>
        <w:t xml:space="preserve"> é</w:t>
      </w:r>
      <w:r w:rsidRPr="00112121">
        <w:rPr>
          <w:rFonts w:ascii="Times New Roman" w:hAnsi="Times New Roman"/>
          <w:b w:val="0"/>
          <w:bCs/>
          <w:lang w:eastAsia="pt-BR"/>
        </w:rPr>
        <w:t xml:space="preserve"> de </w:t>
      </w:r>
      <w:r w:rsidR="005F6BDB" w:rsidRPr="00112121">
        <w:rPr>
          <w:rFonts w:ascii="Times New Roman" w:hAnsi="Times New Roman"/>
          <w:b w:val="0"/>
          <w:bCs/>
          <w:lang w:eastAsia="pt-BR"/>
        </w:rPr>
        <w:t>até 30 dias d</w:t>
      </w:r>
      <w:r w:rsidRPr="00112121">
        <w:rPr>
          <w:rFonts w:ascii="Times New Roman" w:hAnsi="Times New Roman"/>
          <w:b w:val="0"/>
          <w:bCs/>
          <w:lang w:eastAsia="pt-BR"/>
        </w:rPr>
        <w:t>a data de i</w:t>
      </w:r>
      <w:r w:rsidR="005F6BDB" w:rsidRPr="00112121">
        <w:rPr>
          <w:rFonts w:ascii="Times New Roman" w:hAnsi="Times New Roman"/>
          <w:b w:val="0"/>
          <w:bCs/>
          <w:lang w:eastAsia="pt-BR"/>
        </w:rPr>
        <w:t xml:space="preserve">nicio </w:t>
      </w:r>
      <w:r w:rsidRPr="00112121">
        <w:rPr>
          <w:rFonts w:ascii="Times New Roman" w:hAnsi="Times New Roman"/>
          <w:b w:val="0"/>
          <w:bCs/>
          <w:lang w:eastAsia="pt-BR"/>
        </w:rPr>
        <w:t xml:space="preserve">ou </w:t>
      </w:r>
      <w:r w:rsidR="00112121" w:rsidRPr="00112121">
        <w:rPr>
          <w:rFonts w:ascii="Times New Roman" w:hAnsi="Times New Roman"/>
          <w:b w:val="0"/>
          <w:bCs/>
          <w:lang w:eastAsia="pt-BR"/>
        </w:rPr>
        <w:t>antes da data de</w:t>
      </w:r>
      <w:r w:rsidR="005F6BDB" w:rsidRPr="00112121">
        <w:rPr>
          <w:rFonts w:ascii="Times New Roman" w:hAnsi="Times New Roman"/>
          <w:b w:val="0"/>
          <w:bCs/>
          <w:lang w:eastAsia="pt-BR"/>
        </w:rPr>
        <w:t xml:space="preserve"> término da atividade</w:t>
      </w:r>
      <w:r w:rsidR="00956508" w:rsidRPr="00112121">
        <w:rPr>
          <w:rFonts w:ascii="Times New Roman" w:hAnsi="Times New Roman"/>
          <w:b w:val="0"/>
          <w:bCs/>
          <w:lang w:eastAsia="pt-BR"/>
        </w:rPr>
        <w:t>, assim como se no mesmo RRT Mínimo ou Social contiver uma ou mais atividades do Grupo 2 – Execução, a regra de tempestividade passa a ser antes do início da atividade;</w:t>
      </w:r>
    </w:p>
    <w:p w14:paraId="672A1051" w14:textId="77777777" w:rsidR="00956508" w:rsidRDefault="00956508" w:rsidP="00956508">
      <w:pPr>
        <w:spacing w:after="0" w:line="240" w:lineRule="auto"/>
        <w:ind w:left="350"/>
        <w:jc w:val="both"/>
        <w:rPr>
          <w:rFonts w:ascii="Times New Roman" w:eastAsia="Cambria" w:hAnsi="Times New Roman" w:cs="Times New Roman"/>
          <w:b w:val="0"/>
        </w:rPr>
      </w:pPr>
    </w:p>
    <w:p w14:paraId="53C0D2E2" w14:textId="77777777" w:rsidR="00956508" w:rsidRPr="00956508" w:rsidRDefault="00956508" w:rsidP="00956508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  <w:r w:rsidRPr="00956508">
        <w:rPr>
          <w:rFonts w:ascii="Times New Roman" w:hAnsi="Times New Roman"/>
          <w:b w:val="0"/>
          <w:bCs/>
          <w:lang w:eastAsia="pt-BR"/>
        </w:rPr>
        <w:t>Solicitar a manifestação da Gerência do CSC e da Coordenação Técnica do SICCAU para confirmação das regras relativas às condições de tempestividade dos RRT</w:t>
      </w:r>
      <w:r w:rsidR="00A209BB">
        <w:rPr>
          <w:rFonts w:ascii="Times New Roman" w:hAnsi="Times New Roman"/>
          <w:b w:val="0"/>
          <w:bCs/>
          <w:lang w:eastAsia="pt-BR"/>
        </w:rPr>
        <w:t>s em operacionalidade</w:t>
      </w:r>
      <w:r w:rsidRPr="00956508">
        <w:rPr>
          <w:rFonts w:ascii="Times New Roman" w:hAnsi="Times New Roman"/>
          <w:b w:val="0"/>
          <w:bCs/>
          <w:lang w:eastAsia="pt-BR"/>
        </w:rPr>
        <w:t xml:space="preserve"> após a entrada em vigor</w:t>
      </w:r>
      <w:r w:rsidR="0088533F">
        <w:rPr>
          <w:rFonts w:ascii="Times New Roman" w:hAnsi="Times New Roman"/>
          <w:b w:val="0"/>
          <w:bCs/>
          <w:lang w:eastAsia="pt-BR"/>
        </w:rPr>
        <w:t xml:space="preserve"> da Resolução CAU/BR nº 1</w:t>
      </w:r>
      <w:r w:rsidR="001877E0">
        <w:rPr>
          <w:rFonts w:ascii="Times New Roman" w:hAnsi="Times New Roman"/>
          <w:b w:val="0"/>
          <w:bCs/>
          <w:lang w:eastAsia="pt-BR"/>
        </w:rPr>
        <w:t>84</w:t>
      </w:r>
      <w:r w:rsidR="0088533F">
        <w:rPr>
          <w:rFonts w:ascii="Times New Roman" w:hAnsi="Times New Roman"/>
          <w:b w:val="0"/>
          <w:bCs/>
          <w:lang w:eastAsia="pt-BR"/>
        </w:rPr>
        <w:t>/2019</w:t>
      </w:r>
      <w:r w:rsidRPr="00956508">
        <w:rPr>
          <w:rFonts w:ascii="Times New Roman" w:hAnsi="Times New Roman"/>
          <w:b w:val="0"/>
          <w:bCs/>
          <w:lang w:eastAsia="pt-BR"/>
        </w:rPr>
        <w:t xml:space="preserve"> em setembro de 2020;</w:t>
      </w:r>
    </w:p>
    <w:p w14:paraId="276711AD" w14:textId="77777777" w:rsidR="00FC3403" w:rsidRPr="009D6335" w:rsidRDefault="00FC3403" w:rsidP="00956508">
      <w:pPr>
        <w:spacing w:after="0" w:line="240" w:lineRule="auto"/>
        <w:ind w:left="350"/>
        <w:jc w:val="both"/>
        <w:rPr>
          <w:rFonts w:ascii="Times New Roman" w:hAnsi="Times New Roman"/>
          <w:b w:val="0"/>
          <w:bCs/>
          <w:lang w:eastAsia="pt-BR"/>
        </w:rPr>
      </w:pPr>
    </w:p>
    <w:p w14:paraId="381DF111" w14:textId="77777777" w:rsidR="00BC30C5" w:rsidRPr="00956508" w:rsidRDefault="00BC30C5" w:rsidP="00956508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eastAsia="Times New Roman" w:hAnsi="Times New Roman"/>
          <w:b w:val="0"/>
          <w:lang w:eastAsia="pt-BR"/>
        </w:rPr>
      </w:pPr>
      <w:r w:rsidRPr="00956508">
        <w:rPr>
          <w:rFonts w:ascii="Times New Roman" w:hAnsi="Times New Roman"/>
          <w:b w:val="0"/>
          <w:bCs/>
          <w:lang w:eastAsia="pt-BR"/>
        </w:rPr>
        <w:t>Encaminhar</w:t>
      </w:r>
      <w:r w:rsidRPr="00F22051">
        <w:rPr>
          <w:rFonts w:ascii="Times New Roman" w:hAnsi="Times New Roman"/>
          <w:lang w:eastAsia="pt-BR"/>
        </w:rPr>
        <w:t xml:space="preserve"> </w:t>
      </w:r>
      <w:r w:rsidRPr="00956508">
        <w:rPr>
          <w:rFonts w:ascii="Times New Roman" w:hAnsi="Times New Roman"/>
          <w:b w:val="0"/>
          <w:lang w:eastAsia="pt-BR"/>
        </w:rPr>
        <w:t xml:space="preserve">esta deliberação para verificação e tomada das seguintes providências, </w:t>
      </w:r>
      <w:r w:rsidRPr="00956508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985"/>
        <w:gridCol w:w="4678"/>
        <w:gridCol w:w="2155"/>
      </w:tblGrid>
      <w:tr w:rsidR="00FC3403" w:rsidRPr="00BB5F08" w14:paraId="183D7D27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DD22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57E4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8716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5F36" w14:textId="77777777" w:rsidR="00FC3403" w:rsidRPr="00BB5F08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C3403" w:rsidRPr="00733D07" w14:paraId="1AA30279" w14:textId="77777777" w:rsidTr="00F11F2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EF2D" w14:textId="77777777" w:rsidR="00FC3403" w:rsidRPr="00733D07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733D07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590D" w14:textId="77777777" w:rsidR="00FC3403" w:rsidRPr="00733D07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33D07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4168" w14:textId="77777777" w:rsidR="00FC3403" w:rsidRPr="00733D07" w:rsidRDefault="00956508" w:rsidP="00733D0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33D07">
              <w:rPr>
                <w:rFonts w:ascii="Times New Roman" w:hAnsi="Times New Roman"/>
                <w:b w:val="0"/>
                <w:lang w:eastAsia="pt-BR"/>
              </w:rPr>
              <w:t xml:space="preserve">Tramitar </w:t>
            </w:r>
            <w:r w:rsidR="00733D07" w:rsidRPr="00733D07">
              <w:rPr>
                <w:rFonts w:ascii="Times New Roman" w:hAnsi="Times New Roman"/>
                <w:b w:val="0"/>
                <w:lang w:eastAsia="pt-BR"/>
              </w:rPr>
              <w:t xml:space="preserve">o </w:t>
            </w:r>
            <w:r w:rsidR="00733D07" w:rsidRPr="00733D07">
              <w:rPr>
                <w:rFonts w:ascii="Times New Roman" w:hAnsi="Times New Roman"/>
                <w:b w:val="0"/>
              </w:rPr>
              <w:t>protocolo para Presidência com as orientações do item 2 abaixo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0C05" w14:textId="77777777" w:rsidR="00FC3403" w:rsidRPr="00733D07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33D07">
              <w:rPr>
                <w:rFonts w:ascii="Times New Roman" w:hAnsi="Times New Roman"/>
                <w:b w:val="0"/>
                <w:lang w:eastAsia="pt-BR"/>
              </w:rPr>
              <w:t>3 dias</w:t>
            </w:r>
          </w:p>
        </w:tc>
      </w:tr>
      <w:tr w:rsidR="00FC3403" w:rsidRPr="00733D07" w14:paraId="2F1F728A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8996" w14:textId="77777777" w:rsidR="00FC3403" w:rsidRPr="00733D07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33D07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3115" w14:textId="77777777" w:rsidR="00FC3403" w:rsidRPr="00733D07" w:rsidRDefault="00956508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33D07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DA8E" w14:textId="77777777" w:rsidR="00FC3403" w:rsidRPr="00733D07" w:rsidRDefault="00733D07" w:rsidP="00733D07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33D07">
              <w:rPr>
                <w:rFonts w:ascii="Times New Roman" w:hAnsi="Times New Roman"/>
                <w:b w:val="0"/>
              </w:rPr>
              <w:t>Enviar o protocolo em epígrafe para o CAU/SC para conhecimento desta Deliberação e Criar  novo protocolo para enviar a solicitação do item 3 desta Deliberação à Gerencia do CSC/CORSICCAU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50F4" w14:textId="77777777" w:rsidR="00FC3403" w:rsidRPr="00733D07" w:rsidRDefault="00956508" w:rsidP="009565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33D07">
              <w:rPr>
                <w:rFonts w:ascii="Times New Roman" w:hAnsi="Times New Roman"/>
                <w:b w:val="0"/>
                <w:lang w:eastAsia="pt-BR"/>
              </w:rPr>
              <w:t>10 dias</w:t>
            </w:r>
          </w:p>
        </w:tc>
      </w:tr>
      <w:tr w:rsidR="00FC3403" w:rsidRPr="00733D07" w14:paraId="1BB4F8CC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E010" w14:textId="77777777" w:rsidR="00FC3403" w:rsidRPr="00733D07" w:rsidRDefault="00FC3403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33D07"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AE0A" w14:textId="77777777" w:rsidR="00FC3403" w:rsidRPr="00733D07" w:rsidRDefault="00956508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33D07">
              <w:rPr>
                <w:rFonts w:ascii="Times New Roman" w:hAnsi="Times New Roman"/>
                <w:b w:val="0"/>
                <w:lang w:eastAsia="pt-BR"/>
              </w:rPr>
              <w:t>Gerencia do CSC/CORSICAU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8283" w14:textId="77777777" w:rsidR="00FC3403" w:rsidRPr="00733D07" w:rsidRDefault="00956508" w:rsidP="0095650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33D07">
              <w:rPr>
                <w:rFonts w:ascii="Times New Roman" w:hAnsi="Times New Roman"/>
                <w:b w:val="0"/>
                <w:lang w:eastAsia="pt-BR"/>
              </w:rPr>
              <w:t>Encaminhar manifestação (memorando) para CEP-CAU/BR em resposta ao item 3 desta Deliberação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9D01" w14:textId="77777777" w:rsidR="00FC3403" w:rsidRPr="00733D07" w:rsidRDefault="00956508" w:rsidP="00FC34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33D07">
              <w:rPr>
                <w:rFonts w:ascii="Times New Roman" w:hAnsi="Times New Roman"/>
                <w:b w:val="0"/>
                <w:lang w:eastAsia="pt-BR"/>
              </w:rPr>
              <w:t>30 dias do recebimento do protocolo</w:t>
            </w:r>
          </w:p>
        </w:tc>
      </w:tr>
    </w:tbl>
    <w:p w14:paraId="08B95DE3" w14:textId="77777777" w:rsidR="00BC30C5" w:rsidRPr="00733D07" w:rsidRDefault="00BC30C5" w:rsidP="00FC3403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14:paraId="4A5394A5" w14:textId="77777777" w:rsidR="00BC30C5" w:rsidRPr="00733D07" w:rsidRDefault="00BC30C5" w:rsidP="00FC3403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33D07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037A6D37" w14:textId="77777777" w:rsidR="00784E39" w:rsidRDefault="00784E39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ABC8058" w14:textId="77777777" w:rsidR="009F5860" w:rsidRDefault="009F5860" w:rsidP="00FC340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C946DA2" w14:textId="77777777" w:rsidR="00BB1EA6" w:rsidRDefault="00604026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653ECC7F" w14:textId="77777777" w:rsidR="006C6B85" w:rsidRDefault="006C6B85" w:rsidP="00FC3403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5380CAA" w14:textId="77777777" w:rsidR="007B311A" w:rsidRDefault="007B311A" w:rsidP="00E6346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DE88DD7" w14:textId="429ED509" w:rsidR="00F11F27" w:rsidRDefault="00F11F27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E6F36E4" w14:textId="77777777" w:rsidR="00FA674E" w:rsidRDefault="00FA674E" w:rsidP="00FA6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2B998BBE" w14:textId="77777777" w:rsidR="00FA674E" w:rsidRDefault="00FA674E" w:rsidP="00FA6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C92B35E" w14:textId="77777777" w:rsidR="00FA674E" w:rsidRDefault="00E40C57" w:rsidP="00FA674E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pict w14:anchorId="7473ED9B">
          <v:rect id="Retângulo 3" o:spid="_x0000_s1026" style="position:absolute;left:0;text-align:left;margin-left:218.9pt;margin-top:-6.25pt;width:170.05pt;height:56.6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</w:p>
    <w:p w14:paraId="62F7F197" w14:textId="77777777" w:rsidR="00FA674E" w:rsidRDefault="00FA674E" w:rsidP="00FA6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CFC22E4" w14:textId="77777777" w:rsidR="00FA674E" w:rsidRDefault="00FA674E" w:rsidP="00FA674E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FD37A64" w14:textId="77777777" w:rsidR="00FA674E" w:rsidRDefault="00FA674E" w:rsidP="00FA674E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F0B27F0" w14:textId="77777777" w:rsidR="00FA674E" w:rsidRDefault="00FA674E" w:rsidP="00FA674E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6A082BAE" w14:textId="77777777" w:rsidR="00FA674E" w:rsidRDefault="00FA674E" w:rsidP="00FA674E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625F93F5" w14:textId="77777777" w:rsidR="00FA674E" w:rsidRDefault="00FA674E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D965F06" w14:textId="77777777" w:rsidR="00733D07" w:rsidRDefault="00733D07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CC85500" w14:textId="77777777" w:rsidR="00A209BB" w:rsidRDefault="00A209BB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C71C973" w14:textId="77777777" w:rsidR="00A209BB" w:rsidRDefault="00A209BB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44A22B6" w14:textId="77777777" w:rsidR="00A209BB" w:rsidRDefault="00A209BB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B22631A" w14:textId="77777777" w:rsidR="00A209BB" w:rsidRDefault="00A209BB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140C51E" w14:textId="77777777" w:rsidR="00A209BB" w:rsidRDefault="00A209BB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CD706A9" w14:textId="77777777" w:rsidR="00A209BB" w:rsidRDefault="00A209BB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027577D" w14:textId="77777777" w:rsidR="00A209BB" w:rsidRDefault="00A209BB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276FD29" w14:textId="77777777" w:rsidR="00A209BB" w:rsidRDefault="00A209BB" w:rsidP="00E40C57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9DB0794" w14:textId="77777777"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104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42BE9201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23F41704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623C872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5CDAF02" w14:textId="77777777"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14:paraId="11428EA2" w14:textId="77777777" w:rsidTr="0095650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A14A" w14:textId="77777777" w:rsidR="00E66B3C" w:rsidRDefault="00E66B3C" w:rsidP="0095650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B3F" w14:textId="77777777" w:rsidR="00E66B3C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D6E4825" w14:textId="77777777" w:rsidR="00E66B3C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A1BC" w14:textId="77777777" w:rsidR="00E66B3C" w:rsidRDefault="005A357B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9186" w14:textId="77777777" w:rsidR="00E66B3C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14:paraId="49F965D8" w14:textId="77777777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A53C" w14:textId="77777777" w:rsidR="00E66B3C" w:rsidRDefault="00E66B3C" w:rsidP="0095650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B41C" w14:textId="77777777" w:rsidR="00E66B3C" w:rsidRDefault="00E66B3C" w:rsidP="0095650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4A52" w14:textId="77777777" w:rsidR="00E66B3C" w:rsidRDefault="00E66B3C" w:rsidP="0095650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15D0" w14:textId="77777777" w:rsidR="00E66B3C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A73B" w14:textId="77777777" w:rsidR="00E66B3C" w:rsidRDefault="00E66B3C" w:rsidP="0095650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2DAC" w14:textId="77777777" w:rsidR="00E66B3C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B8A" w14:textId="77777777" w:rsidR="00E66B3C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E66B3C" w:rsidRPr="00733D07" w14:paraId="333A26DF" w14:textId="77777777" w:rsidTr="0095650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DAEB" w14:textId="77777777" w:rsidR="00E66B3C" w:rsidRPr="00733D07" w:rsidRDefault="00E66B3C" w:rsidP="0095650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733D0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6634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A40B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1AF4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E47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2941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5D2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RPr="00733D07" w14:paraId="12BBC1BF" w14:textId="77777777" w:rsidTr="0095650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FCF8" w14:textId="77777777" w:rsidR="00E66B3C" w:rsidRPr="00733D07" w:rsidRDefault="00E66B3C" w:rsidP="0095650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733D0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ACA1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83F6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6EA7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C0ED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3026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D26F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RPr="00733D07" w14:paraId="0C740657" w14:textId="77777777" w:rsidTr="0095650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728F" w14:textId="77777777" w:rsidR="00E66B3C" w:rsidRPr="00733D07" w:rsidRDefault="00E66B3C" w:rsidP="0095650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733D0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BE4C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6E74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5A4B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65A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8300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447B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RPr="00733D07" w14:paraId="1C2D3C37" w14:textId="77777777" w:rsidTr="0095650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0169" w14:textId="77777777" w:rsidR="00A61DCF" w:rsidRPr="00733D07" w:rsidRDefault="00A61DCF" w:rsidP="0095650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733D0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EFC3" w14:textId="77777777" w:rsidR="00A61DCF" w:rsidRPr="00733D07" w:rsidRDefault="00A61DCF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E4C8" w14:textId="77777777" w:rsidR="00A61DCF" w:rsidRPr="00733D07" w:rsidRDefault="00A61DCF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76F" w14:textId="77777777" w:rsidR="00A61DCF" w:rsidRPr="00733D07" w:rsidRDefault="00A61DCF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1CE" w14:textId="77777777" w:rsidR="00A61DCF" w:rsidRPr="00733D07" w:rsidRDefault="00A61DCF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E591" w14:textId="77777777" w:rsidR="00A61DCF" w:rsidRPr="00733D07" w:rsidRDefault="00A61DCF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B53" w14:textId="77777777" w:rsidR="00A61DCF" w:rsidRPr="00733D07" w:rsidRDefault="00A61DCF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RPr="00733D07" w14:paraId="787A8578" w14:textId="77777777" w:rsidTr="0095650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D463" w14:textId="77777777" w:rsidR="00E66B3C" w:rsidRPr="00733D07" w:rsidRDefault="00E66B3C" w:rsidP="0095650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733D07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9B9A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4148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34EE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D22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FB1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47EF" w14:textId="77777777" w:rsidR="00E66B3C" w:rsidRPr="00733D07" w:rsidRDefault="00E66B3C" w:rsidP="0095650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RPr="00733D07" w14:paraId="14165BD7" w14:textId="77777777" w:rsidTr="0095650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F5125" w14:textId="77777777" w:rsidR="00E66B3C" w:rsidRPr="00733D07" w:rsidRDefault="00E66B3C" w:rsidP="0095650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8B85B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55294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DB13D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530DA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FDDD0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D1408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RPr="00733D07" w14:paraId="765E1857" w14:textId="77777777" w:rsidTr="0095650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38CDF962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50E4F9DF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B52AE9C" w14:textId="77777777" w:rsidR="00E66B3C" w:rsidRPr="00733D07" w:rsidRDefault="00964AA2" w:rsidP="0095650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>104</w:t>
            </w:r>
            <w:r w:rsidR="00E66B3C"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 w:rsidRPr="00733D07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2E018544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0B625F71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733D0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14</w:t>
            </w:r>
            <w:r w:rsidR="00964AA2" w:rsidRPr="00733D0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/5</w:t>
            </w:r>
            <w:r w:rsidRPr="00733D0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14:paraId="57F42E71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DA68E53" w14:textId="77777777" w:rsidR="00E66B3C" w:rsidRPr="00733D07" w:rsidRDefault="00E66B3C" w:rsidP="00956508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>Matéria em votação:</w:t>
            </w:r>
            <w:r w:rsid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733D07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Protocolo SICCAU nº </w:t>
            </w:r>
            <w:r w:rsidR="00733D07" w:rsidRPr="00BF4995">
              <w:rPr>
                <w:rFonts w:ascii="Times New Roman" w:hAnsi="Times New Roman"/>
                <w:b w:val="0"/>
              </w:rPr>
              <w:t>12</w:t>
            </w:r>
            <w:r w:rsidR="00733D07">
              <w:rPr>
                <w:rFonts w:ascii="Times New Roman" w:hAnsi="Times New Roman"/>
                <w:b w:val="0"/>
              </w:rPr>
              <w:t>93416</w:t>
            </w:r>
            <w:r w:rsidR="00733D07" w:rsidRPr="00BF4995">
              <w:rPr>
                <w:rFonts w:ascii="Times New Roman" w:hAnsi="Times New Roman"/>
                <w:b w:val="0"/>
              </w:rPr>
              <w:t>/2021</w:t>
            </w:r>
            <w:r w:rsidR="00733D07">
              <w:rPr>
                <w:rFonts w:ascii="Times New Roman" w:hAnsi="Times New Roman"/>
                <w:b w:val="0"/>
              </w:rPr>
              <w:t xml:space="preserve"> - </w:t>
            </w:r>
            <w:r w:rsidR="00733D07" w:rsidRPr="00BF4995">
              <w:rPr>
                <w:rFonts w:ascii="Times New Roman" w:hAnsi="Times New Roman"/>
                <w:b w:val="0"/>
              </w:rPr>
              <w:t>CAU-</w:t>
            </w:r>
            <w:r w:rsidR="00733D07">
              <w:rPr>
                <w:rFonts w:ascii="Times New Roman" w:hAnsi="Times New Roman"/>
                <w:b w:val="0"/>
              </w:rPr>
              <w:t xml:space="preserve">SC </w:t>
            </w:r>
            <w:r w:rsidR="00733D07" w:rsidRPr="006929A3">
              <w:rPr>
                <w:rFonts w:ascii="Times New Roman" w:hAnsi="Times New Roman"/>
                <w:b w:val="0"/>
              </w:rPr>
              <w:t xml:space="preserve">solicita esclarecimentos acerca das novas regras </w:t>
            </w:r>
            <w:r w:rsidR="00733D07">
              <w:rPr>
                <w:rFonts w:ascii="Times New Roman" w:hAnsi="Times New Roman"/>
                <w:b w:val="0"/>
              </w:rPr>
              <w:t>relativas às</w:t>
            </w:r>
            <w:r w:rsidR="00733D07" w:rsidRPr="006929A3">
              <w:rPr>
                <w:rFonts w:ascii="Times New Roman" w:hAnsi="Times New Roman"/>
                <w:b w:val="0"/>
              </w:rPr>
              <w:t xml:space="preserve"> condições de tempestividade para o RRT Simples</w:t>
            </w:r>
            <w:r w:rsidR="00733D07">
              <w:rPr>
                <w:rFonts w:ascii="Times New Roman" w:hAnsi="Times New Roman"/>
                <w:b w:val="0"/>
              </w:rPr>
              <w:t xml:space="preserve">, atualizadas </w:t>
            </w:r>
            <w:r w:rsidR="00FC7A0D">
              <w:rPr>
                <w:rFonts w:ascii="Times New Roman" w:hAnsi="Times New Roman"/>
                <w:b w:val="0"/>
              </w:rPr>
              <w:t>pela Res. 184</w:t>
            </w:r>
            <w:r w:rsidR="00733D07">
              <w:rPr>
                <w:rFonts w:ascii="Times New Roman" w:hAnsi="Times New Roman"/>
                <w:b w:val="0"/>
              </w:rPr>
              <w:t>.</w:t>
            </w:r>
          </w:p>
          <w:p w14:paraId="09AEE7DD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601B75E" w14:textId="3596A301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733D0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E40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733D0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E40C5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5AE45FD2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63CF0DB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6AF0B4CF" w14:textId="77777777" w:rsidR="00E66B3C" w:rsidRPr="00733D07" w:rsidRDefault="00E66B3C" w:rsidP="0095650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F554C55" w14:textId="77777777" w:rsidR="00E66B3C" w:rsidRPr="00733D07" w:rsidRDefault="00E66B3C" w:rsidP="00733D0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</w:t>
            </w:r>
            <w:r w:rsid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Quaresma</w:t>
            </w: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33D0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733D0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12D8BC0B" w14:textId="77777777"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F11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276" w:left="1701" w:header="510" w:footer="7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F496" w14:textId="77777777" w:rsidR="00C90300" w:rsidRDefault="00C90300" w:rsidP="00783D72">
      <w:pPr>
        <w:spacing w:after="0" w:line="240" w:lineRule="auto"/>
      </w:pPr>
      <w:r>
        <w:separator/>
      </w:r>
    </w:p>
  </w:endnote>
  <w:endnote w:type="continuationSeparator" w:id="0">
    <w:p w14:paraId="3A79719E" w14:textId="77777777" w:rsidR="00C90300" w:rsidRDefault="00C90300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D7FD" w14:textId="77777777" w:rsidR="00956508" w:rsidRDefault="009565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335B13DE" w14:textId="77777777" w:rsidR="00956508" w:rsidRDefault="002A4F82" w:rsidP="00F11F2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b w:val="0"/>
            <w:bCs/>
            <w:color w:val="008080"/>
          </w:rPr>
          <w:fldChar w:fldCharType="begin"/>
        </w:r>
        <w:r w:rsidR="00956508"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FC7A0D">
          <w:rPr>
            <w:bCs/>
            <w:noProof/>
            <w:color w:val="008080"/>
          </w:rPr>
          <w:t>1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48160DA8" w14:textId="77777777" w:rsidR="00956508" w:rsidRPr="00F11F27" w:rsidRDefault="00956508" w:rsidP="00F11F27">
    <w:pPr>
      <w:pStyle w:val="Rodap"/>
      <w:jc w:val="right"/>
      <w:rPr>
        <w:b w:val="0"/>
        <w:bCs/>
        <w:color w:val="008080"/>
      </w:rPr>
    </w:pPr>
    <w:r>
      <w:rPr>
        <w:b w:val="0"/>
        <w:bCs/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 wp14:anchorId="25DEB5D6" wp14:editId="6BF290A1">
          <wp:simplePos x="0" y="0"/>
          <wp:positionH relativeFrom="page">
            <wp:posOffset>0</wp:posOffset>
          </wp:positionH>
          <wp:positionV relativeFrom="paragraph">
            <wp:posOffset>635</wp:posOffset>
          </wp:positionV>
          <wp:extent cx="7559675" cy="723900"/>
          <wp:effectExtent l="19050" t="0" r="3175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F638" w14:textId="77777777" w:rsidR="00956508" w:rsidRDefault="009565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9DFB" w14:textId="77777777" w:rsidR="00C90300" w:rsidRDefault="00C90300" w:rsidP="00783D72">
      <w:pPr>
        <w:spacing w:after="0" w:line="240" w:lineRule="auto"/>
      </w:pPr>
      <w:r>
        <w:separator/>
      </w:r>
    </w:p>
  </w:footnote>
  <w:footnote w:type="continuationSeparator" w:id="0">
    <w:p w14:paraId="5C0870CF" w14:textId="77777777" w:rsidR="00C90300" w:rsidRDefault="00C90300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29BD" w14:textId="77777777" w:rsidR="00956508" w:rsidRDefault="009565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3FDA" w14:textId="77777777" w:rsidR="00956508" w:rsidRDefault="00956508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50C5AD96" wp14:editId="4AA13799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B366" w14:textId="77777777" w:rsidR="00956508" w:rsidRDefault="009565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497B"/>
    <w:multiLevelType w:val="hybridMultilevel"/>
    <w:tmpl w:val="CF045CEA"/>
    <w:lvl w:ilvl="0" w:tplc="30F0A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67655"/>
    <w:multiLevelType w:val="hybridMultilevel"/>
    <w:tmpl w:val="E50465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131A6"/>
    <w:multiLevelType w:val="multilevel"/>
    <w:tmpl w:val="B218D5A2"/>
    <w:lvl w:ilvl="0">
      <w:start w:val="1"/>
      <w:numFmt w:val="lowerLetter"/>
      <w:lvlText w:val="%1)"/>
      <w:lvlJc w:val="left"/>
      <w:pPr>
        <w:ind w:left="329" w:hanging="229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01E1A"/>
    <w:rsid w:val="0001088D"/>
    <w:rsid w:val="000110F9"/>
    <w:rsid w:val="000217DF"/>
    <w:rsid w:val="00026EC3"/>
    <w:rsid w:val="0003109B"/>
    <w:rsid w:val="00032334"/>
    <w:rsid w:val="000A5BF9"/>
    <w:rsid w:val="000B4847"/>
    <w:rsid w:val="00104F25"/>
    <w:rsid w:val="00112121"/>
    <w:rsid w:val="001127C6"/>
    <w:rsid w:val="00127A11"/>
    <w:rsid w:val="00146069"/>
    <w:rsid w:val="001877E0"/>
    <w:rsid w:val="00193E0F"/>
    <w:rsid w:val="001C1B20"/>
    <w:rsid w:val="001E3E4B"/>
    <w:rsid w:val="001E48CD"/>
    <w:rsid w:val="00257197"/>
    <w:rsid w:val="00277F51"/>
    <w:rsid w:val="002A4F82"/>
    <w:rsid w:val="002C707B"/>
    <w:rsid w:val="00326742"/>
    <w:rsid w:val="00360DF6"/>
    <w:rsid w:val="00374957"/>
    <w:rsid w:val="003C65E8"/>
    <w:rsid w:val="00423A14"/>
    <w:rsid w:val="00442E1A"/>
    <w:rsid w:val="00473BA9"/>
    <w:rsid w:val="00480A51"/>
    <w:rsid w:val="004A62EC"/>
    <w:rsid w:val="004E030B"/>
    <w:rsid w:val="004F47D3"/>
    <w:rsid w:val="005147EF"/>
    <w:rsid w:val="005A232A"/>
    <w:rsid w:val="005A357B"/>
    <w:rsid w:val="005F6BDB"/>
    <w:rsid w:val="00604026"/>
    <w:rsid w:val="00652B37"/>
    <w:rsid w:val="00663EF7"/>
    <w:rsid w:val="006738AB"/>
    <w:rsid w:val="00690F8E"/>
    <w:rsid w:val="006929A3"/>
    <w:rsid w:val="006C6B85"/>
    <w:rsid w:val="006D5261"/>
    <w:rsid w:val="00715B28"/>
    <w:rsid w:val="007209C2"/>
    <w:rsid w:val="00722966"/>
    <w:rsid w:val="00733D07"/>
    <w:rsid w:val="00755049"/>
    <w:rsid w:val="007662F7"/>
    <w:rsid w:val="00783D72"/>
    <w:rsid w:val="00784E39"/>
    <w:rsid w:val="0079294E"/>
    <w:rsid w:val="007A7411"/>
    <w:rsid w:val="007B311A"/>
    <w:rsid w:val="007C25B8"/>
    <w:rsid w:val="00812CE5"/>
    <w:rsid w:val="00846459"/>
    <w:rsid w:val="0088533F"/>
    <w:rsid w:val="009368FD"/>
    <w:rsid w:val="00946D11"/>
    <w:rsid w:val="00956508"/>
    <w:rsid w:val="00964AA2"/>
    <w:rsid w:val="009A7A63"/>
    <w:rsid w:val="009D6335"/>
    <w:rsid w:val="009F5860"/>
    <w:rsid w:val="00A1498F"/>
    <w:rsid w:val="00A209BB"/>
    <w:rsid w:val="00A409A5"/>
    <w:rsid w:val="00A43CFF"/>
    <w:rsid w:val="00A612BA"/>
    <w:rsid w:val="00A61DCF"/>
    <w:rsid w:val="00AC61CD"/>
    <w:rsid w:val="00B047DE"/>
    <w:rsid w:val="00B14072"/>
    <w:rsid w:val="00B26434"/>
    <w:rsid w:val="00BA701E"/>
    <w:rsid w:val="00BB1EA6"/>
    <w:rsid w:val="00BC30C5"/>
    <w:rsid w:val="00BF4995"/>
    <w:rsid w:val="00C00FD5"/>
    <w:rsid w:val="00C25F47"/>
    <w:rsid w:val="00C3603A"/>
    <w:rsid w:val="00C90300"/>
    <w:rsid w:val="00C90D5F"/>
    <w:rsid w:val="00CB368B"/>
    <w:rsid w:val="00CD391F"/>
    <w:rsid w:val="00CD5042"/>
    <w:rsid w:val="00D26145"/>
    <w:rsid w:val="00D26370"/>
    <w:rsid w:val="00D46F08"/>
    <w:rsid w:val="00D70AAF"/>
    <w:rsid w:val="00D7374F"/>
    <w:rsid w:val="00D84324"/>
    <w:rsid w:val="00DA6E99"/>
    <w:rsid w:val="00DB2DA6"/>
    <w:rsid w:val="00DE733F"/>
    <w:rsid w:val="00DF28ED"/>
    <w:rsid w:val="00DF7344"/>
    <w:rsid w:val="00DF7B85"/>
    <w:rsid w:val="00E36774"/>
    <w:rsid w:val="00E40C57"/>
    <w:rsid w:val="00E45EA6"/>
    <w:rsid w:val="00E625E1"/>
    <w:rsid w:val="00E63461"/>
    <w:rsid w:val="00E66B3C"/>
    <w:rsid w:val="00E74517"/>
    <w:rsid w:val="00EA34E3"/>
    <w:rsid w:val="00EB1374"/>
    <w:rsid w:val="00EC10FB"/>
    <w:rsid w:val="00ED4EE0"/>
    <w:rsid w:val="00ED7498"/>
    <w:rsid w:val="00F0284D"/>
    <w:rsid w:val="00F11F27"/>
    <w:rsid w:val="00F16916"/>
    <w:rsid w:val="00F22166"/>
    <w:rsid w:val="00F32C3A"/>
    <w:rsid w:val="00F372C9"/>
    <w:rsid w:val="00FA674E"/>
    <w:rsid w:val="00FC3403"/>
    <w:rsid w:val="00FC7A0D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405AC5B8"/>
  <w15:docId w15:val="{7727865C-40DD-42EB-8441-4F42D036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paragraph" w:styleId="Ttulo1">
    <w:name w:val="heading 1"/>
    <w:basedOn w:val="Normal"/>
    <w:link w:val="Ttulo1Char"/>
    <w:rsid w:val="00326742"/>
    <w:pPr>
      <w:widowControl w:val="0"/>
      <w:suppressAutoHyphens/>
      <w:autoSpaceDE w:val="0"/>
      <w:autoSpaceDN w:val="0"/>
      <w:spacing w:after="0" w:line="240" w:lineRule="auto"/>
      <w:ind w:left="215" w:right="239"/>
      <w:jc w:val="center"/>
      <w:textAlignment w:val="baseline"/>
      <w:outlineLvl w:val="0"/>
    </w:pPr>
    <w:rPr>
      <w:rFonts w:ascii="Times New Roman" w:eastAsia="Times New Roman" w:hAnsi="Times New Roman" w:cs="Times New Roman"/>
      <w:bCs/>
      <w:color w:val="auto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26742"/>
    <w:rPr>
      <w:rFonts w:ascii="Times New Roman" w:eastAsia="Times New Roman" w:hAnsi="Times New Roman" w:cs="Times New Roman"/>
      <w:b/>
      <w:bCs/>
      <w:lang w:eastAsia="pt-BR" w:bidi="pt-BR"/>
    </w:rPr>
  </w:style>
  <w:style w:type="paragraph" w:styleId="Corpodetexto">
    <w:name w:val="Body Text"/>
    <w:basedOn w:val="Normal"/>
    <w:link w:val="CorpodetextoChar"/>
    <w:rsid w:val="003267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color w:val="auto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326742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CEP - CAU/BR</cp:lastModifiedBy>
  <cp:revision>18</cp:revision>
  <dcterms:created xsi:type="dcterms:W3CDTF">2021-05-10T16:43:00Z</dcterms:created>
  <dcterms:modified xsi:type="dcterms:W3CDTF">2021-05-19T10:59:00Z</dcterms:modified>
</cp:coreProperties>
</file>