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C060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826865/2019 - RIA solicita a emissão de um documento oficial do CAU/BR com a definição do limite de carga instalada para instalações elétricas prediais de </w:t>
            </w:r>
            <w:r>
              <w:rPr>
                <w:rFonts w:ascii="Times New Roman" w:hAnsi="Times New Roman"/>
                <w:sz w:val="22"/>
                <w:szCs w:val="22"/>
              </w:rPr>
              <w:t>baixa tensão, conforme exigência da Concessionária de Energia de Poços de Caldas / MG</w:t>
            </w:r>
          </w:p>
        </w:tc>
      </w:tr>
      <w:tr w:rsidR="00CC060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Rede Integrada de Atendimento - RIA</w:t>
            </w:r>
          </w:p>
        </w:tc>
      </w:tr>
      <w:tr w:rsidR="00CC060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C060E" w:rsidRDefault="00754BA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80ª Reunião Ordinária da CEP-CAU/BR: para apreciação e manifestação da Comissão</w:t>
            </w:r>
          </w:p>
        </w:tc>
      </w:tr>
    </w:tbl>
    <w:p w:rsidR="00CC060E" w:rsidRDefault="00754B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017/2019 – (CEP – CAU/BR) 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14 e 15 de março de 2019, no uso das competências que lhe conferem o art. 97, 101 e 102 do </w:t>
      </w:r>
      <w:r>
        <w:rPr>
          <w:rFonts w:ascii="Times New Roman" w:hAnsi="Times New Roman"/>
          <w:sz w:val="22"/>
          <w:szCs w:val="22"/>
          <w:lang w:eastAsia="pt-BR"/>
        </w:rPr>
        <w:t>Regimento Interno do CAU/BR, após análise do assunto em epígrafe, e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demanda encaminhada à CEP-CAU/BR pela Rede Integrada de Atendimento (RIA) na qual um arquiteto e urbanista teve seu projeto de instalações elétricas de uma edificação </w:t>
      </w:r>
      <w:r>
        <w:rPr>
          <w:rFonts w:ascii="Times New Roman" w:hAnsi="Times New Roman"/>
          <w:sz w:val="22"/>
          <w:szCs w:val="22"/>
          <w:lang w:eastAsia="pt-BR"/>
        </w:rPr>
        <w:t xml:space="preserve">residencial reprovado pela Distribuidora Municipal de Energia (DME) de Poços de Caldas/MG, solicitando que seja fornecido um Atestado do CAU que informe o limite de carga instalada, já que o normativo do CAU/BR só determina o nível de tensão.  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</w:t>
      </w:r>
      <w:r>
        <w:rPr>
          <w:rFonts w:ascii="Times New Roman" w:hAnsi="Times New Roman"/>
          <w:sz w:val="22"/>
          <w:szCs w:val="22"/>
          <w:lang w:eastAsia="pt-BR"/>
        </w:rPr>
        <w:t>do a Resolução CAU/BR nº 21, de 5 de abril de 2012, que, em estrita observância à Lei n°12.378/2010, detalha em seu art. 3º o rol de as atividades técnicas de atribuições profissionais do arquiteto e urbanista para fins de Registro de Responsabilidade Técn</w:t>
      </w:r>
      <w:r>
        <w:rPr>
          <w:rFonts w:ascii="Times New Roman" w:hAnsi="Times New Roman"/>
          <w:sz w:val="22"/>
          <w:szCs w:val="22"/>
          <w:lang w:eastAsia="pt-BR"/>
        </w:rPr>
        <w:t>ica (RRT).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Resolução CAU/BR nº 21, de 2012, estabelece que as atividades de Projeto e Execução de Instalações Elétricas Prediais de Baixa Tensão (subitens 1.5.7. e 2.5.7. do art. 3º) são da atribuição e campo de atuação dos profissionai</w:t>
      </w:r>
      <w:r>
        <w:rPr>
          <w:rFonts w:ascii="Times New Roman" w:hAnsi="Times New Roman"/>
          <w:sz w:val="22"/>
          <w:szCs w:val="22"/>
          <w:lang w:eastAsia="pt-BR"/>
        </w:rPr>
        <w:t>s arquitetos e urbanistas.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definição de carga instalada para baixa tensão da Agência Nacional de Energia Elétrica – ANEEL, constante da Cartilha de Acesso ao Sistema de Distribuição - Procedimentos de Distribuição de Energia Elétrica no Sis</w:t>
      </w:r>
      <w:r>
        <w:rPr>
          <w:rFonts w:ascii="Times New Roman" w:hAnsi="Times New Roman"/>
          <w:sz w:val="22"/>
          <w:szCs w:val="22"/>
          <w:lang w:eastAsia="pt-BR"/>
        </w:rPr>
        <w:t xml:space="preserve">tema Elétrico Nacional – PRODIST, que na pág. 10 esclarece:  </w:t>
      </w:r>
    </w:p>
    <w:p w:rsidR="00CC060E" w:rsidRDefault="00CC060E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CC060E" w:rsidRDefault="00754BA3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“2.8 Como se define a tensão de conexão das instalações do acessante?</w:t>
      </w:r>
    </w:p>
    <w:p w:rsidR="00CC060E" w:rsidRDefault="00754BA3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A definição da tensão de conexão para unidades consumidoras deve observar:</w:t>
      </w:r>
    </w:p>
    <w:p w:rsidR="00CC060E" w:rsidRDefault="00754BA3">
      <w:pPr>
        <w:ind w:start="28.3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a)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Baixa Tensão - BT: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carga instalada igual ou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inferior a 75 kW</w:t>
      </w:r>
      <w:r>
        <w:rPr>
          <w:rFonts w:ascii="Times New Roman" w:hAnsi="Times New Roman"/>
          <w:i/>
          <w:sz w:val="22"/>
          <w:szCs w:val="22"/>
          <w:lang w:eastAsia="pt-BR"/>
        </w:rPr>
        <w:t>;</w:t>
      </w:r>
    </w:p>
    <w:p w:rsidR="00CC060E" w:rsidRDefault="00754BA3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b) Média Tensão - MT: carga instalada superior a 75 kW e MUSD contratado inferior a 2500 kW, inclusive;</w:t>
      </w:r>
    </w:p>
    <w:p w:rsidR="00CC060E" w:rsidRDefault="00754BA3">
      <w:pPr>
        <w:spacing w:after="6pt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c) Alta Tensão - AT: MUSD contratado superior a 2500 kW.</w:t>
      </w:r>
    </w:p>
    <w:p w:rsidR="00CC060E" w:rsidRDefault="00754BA3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A distribuidora pode estabelecer uma tensão de conexão sem observar os limite</w:t>
      </w:r>
      <w:r>
        <w:rPr>
          <w:rFonts w:ascii="Times New Roman" w:hAnsi="Times New Roman"/>
          <w:i/>
          <w:sz w:val="22"/>
          <w:szCs w:val="22"/>
          <w:lang w:eastAsia="pt-BR"/>
        </w:rPr>
        <w:t>s definidos no item anterior, conforme critérios estabelecidos em regulamentação específica. O acessante pode optar por uma tensão de conexão diferente da estabelecida desde que, havendo viabilidade técnica, assuma os investimentos adicionais necessários à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conexão no nível de tensão pretendido, observados os contratos.</w:t>
      </w:r>
    </w:p>
    <w:p w:rsidR="00CC060E" w:rsidRDefault="00754BA3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Centrais geradoras de energia podem ser conectadas ao sistema de distribuição de BT, desde que preservadas a confiabilidade e a segurança operativa do sistema elétrico.”</w:t>
      </w:r>
    </w:p>
    <w:p w:rsidR="00CC060E" w:rsidRDefault="00CC060E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Rati</w:t>
      </w:r>
      <w:r>
        <w:rPr>
          <w:rFonts w:ascii="Times New Roman" w:hAnsi="Times New Roman"/>
          <w:sz w:val="22"/>
          <w:szCs w:val="22"/>
        </w:rPr>
        <w:t>ficar o entendimento de que o profissional arquiteto e urbanista possui atribuição para ser responsável técnico por projeto e execução de Instalações Elétricas Prediais de Baixa Tensão, de acordo com previsão legal e regulamentado pelo CAU/BR por meio da R</w:t>
      </w:r>
      <w:r>
        <w:rPr>
          <w:rFonts w:ascii="Times New Roman" w:hAnsi="Times New Roman"/>
          <w:sz w:val="22"/>
          <w:szCs w:val="22"/>
        </w:rPr>
        <w:t>esolução nº 21/2012.</w:t>
      </w:r>
    </w:p>
    <w:p w:rsidR="00CC060E" w:rsidRDefault="00CC06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 xml:space="preserve">Esclarecer que, de acordo com a definição adotada pela ANEEL - </w:t>
      </w:r>
      <w:r>
        <w:rPr>
          <w:rFonts w:ascii="Times New Roman" w:hAnsi="Times New Roman"/>
          <w:sz w:val="22"/>
          <w:szCs w:val="22"/>
          <w:lang w:eastAsia="pt-BR"/>
        </w:rPr>
        <w:t>Agência Nacional de Energia Elétrica, o limite de carga instalada para instalações elétricas em baixa tensão é igual ou inferior a 75kW (quilowatts), ressaltando que a</w:t>
      </w:r>
      <w:r>
        <w:rPr>
          <w:rFonts w:ascii="Times New Roman" w:hAnsi="Times New Roman"/>
          <w:sz w:val="22"/>
          <w:szCs w:val="22"/>
          <w:lang w:eastAsia="pt-BR"/>
        </w:rPr>
        <w:t xml:space="preserve"> distribuidora local poderá estabelecer critérios e limites diferentes deste.</w:t>
      </w:r>
    </w:p>
    <w:p w:rsidR="00CC060E" w:rsidRDefault="00CC06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754B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3 – Encaminhar esta Deliberação à </w:t>
      </w:r>
      <w:r>
        <w:rPr>
          <w:rFonts w:ascii="Times New Roman" w:hAnsi="Times New Roman"/>
          <w:bCs/>
          <w:sz w:val="22"/>
          <w:szCs w:val="22"/>
        </w:rPr>
        <w:t>Rede Integrada de Atendimento – RIA por meio do protocolo em epígrafe, recomendando que seja providenciado junto à Presidência do CAU/BR a emis</w:t>
      </w:r>
      <w:r>
        <w:rPr>
          <w:rFonts w:ascii="Times New Roman" w:hAnsi="Times New Roman"/>
          <w:bCs/>
          <w:sz w:val="22"/>
          <w:szCs w:val="22"/>
        </w:rPr>
        <w:t xml:space="preserve">são de um documento oficial do CAU/BR. </w:t>
      </w:r>
    </w:p>
    <w:p w:rsidR="00CC060E" w:rsidRDefault="00754B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C060E" w:rsidRDefault="00754BA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CC060E" w:rsidRDefault="00CC060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C060E" w:rsidRDefault="00CC060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C060E" w:rsidRDefault="00754B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C060E" w:rsidRDefault="00754BA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C060E" w:rsidRDefault="00CC060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C060E" w:rsidRDefault="00754BA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C060E" w:rsidRDefault="00754BA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C060E" w:rsidRDefault="00CC060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C060E" w:rsidRDefault="00754B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</w:t>
      </w:r>
      <w:r>
        <w:rPr>
          <w:rFonts w:ascii="Times New Roman" w:hAnsi="Times New Roman"/>
          <w:b/>
          <w:sz w:val="22"/>
          <w:szCs w:val="22"/>
        </w:rPr>
        <w:t xml:space="preserve">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C060E" w:rsidRDefault="00754BA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C060E" w:rsidRDefault="00CC060E"/>
    <w:p w:rsidR="00CC060E" w:rsidRDefault="00754BA3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C060E" w:rsidRDefault="00754BA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C060E" w:rsidRDefault="00CC060E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C060E" w:rsidRDefault="00754B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C060E" w:rsidRDefault="00754BA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C060E" w:rsidRDefault="00CC060E"/>
    <w:sectPr w:rsidR="00CC060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54BA3">
      <w:r>
        <w:separator/>
      </w:r>
    </w:p>
  </w:endnote>
  <w:endnote w:type="continuationSeparator" w:id="0">
    <w:p w:rsidR="00000000" w:rsidRDefault="0075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C04E2" w:rsidRDefault="00754BA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C04E2" w:rsidRDefault="00754BA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7C04E2" w:rsidRDefault="00754BA3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017/2019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54BA3">
      <w:r>
        <w:rPr>
          <w:color w:val="000000"/>
        </w:rPr>
        <w:separator/>
      </w:r>
    </w:p>
  </w:footnote>
  <w:footnote w:type="continuationSeparator" w:id="0">
    <w:p w:rsidR="00000000" w:rsidRDefault="00754B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C04E2" w:rsidRDefault="00754BA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060E"/>
    <w:rsid w:val="00754BA3"/>
    <w:rsid w:val="00C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95D52F-063F-41F3-BBE2-9BA82352E8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017/2019 – (CEP – CAU/BR)</vt:lpstr>
    </vt:vector>
  </TitlesOfParts>
  <Company>Hewlett-Packard Company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017/2019 – (CEP – CAU/BR)</dc:title>
  <dc:subject/>
  <dc:creator>comunica</dc:creator>
  <cp:lastModifiedBy>Viviane Nota Machado</cp:lastModifiedBy>
  <cp:revision>2</cp:revision>
  <cp:lastPrinted>2015-03-04T21:55:00Z</cp:lastPrinted>
  <dcterms:created xsi:type="dcterms:W3CDTF">2019-05-03T15:05:00Z</dcterms:created>
  <dcterms:modified xsi:type="dcterms:W3CDTF">2019-05-03T15:05:00Z</dcterms:modified>
</cp:coreProperties>
</file>