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97E0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7E08" w:rsidRDefault="00B2177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7E08" w:rsidRDefault="00B2177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813423/2019 – CAU/SC encaminha consulta o CAU/BR sobre possibilidade de deferimento de interrupção do registro de forma retroativa, quando ficar comprovado </w:t>
            </w:r>
            <w:r>
              <w:rPr>
                <w:rFonts w:ascii="Times New Roman" w:hAnsi="Times New Roman"/>
                <w:sz w:val="22"/>
                <w:szCs w:val="22"/>
              </w:rPr>
              <w:t>que o profissional não exerceu a profissão.</w:t>
            </w:r>
          </w:p>
          <w:p w:rsidR="00097E08" w:rsidRDefault="00B21776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E Protocolo SICCAU 787917/2018 – CAU/ES encaminha sugestão de alteração da Resolução 167 para incluir o desligamento do registro por “aposentadoria por invalidez permanente”, e para permitir que a data de início </w:t>
            </w:r>
            <w:r>
              <w:rPr>
                <w:rFonts w:ascii="Times New Roman" w:hAnsi="Times New Roman"/>
                <w:sz w:val="22"/>
                <w:szCs w:val="22"/>
              </w:rPr>
              <w:t>do desligamento possa ser a partir da data da aposentadoria (retroativamente).</w:t>
            </w:r>
          </w:p>
        </w:tc>
      </w:tr>
      <w:tr w:rsidR="00097E0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7E08" w:rsidRDefault="00B2177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7E08" w:rsidRDefault="00B21776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097E0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7E08" w:rsidRDefault="00B2177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7E08" w:rsidRDefault="00B21776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10 da 80ª Reunião Ordinária da CEP-CAU/BR: para apreciação e deliberação</w:t>
            </w:r>
          </w:p>
        </w:tc>
      </w:tr>
    </w:tbl>
    <w:p w:rsidR="00097E08" w:rsidRDefault="00B2177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016/2019 – (CEP – CAU/BR) </w:t>
      </w:r>
    </w:p>
    <w:p w:rsidR="00097E08" w:rsidRDefault="00097E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7E08" w:rsidRDefault="00B2177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14 e 15 de março de 2019, no uso das competências que lhe conferem o art. 97, 101 e 102 do Regimento Interno do CAU/BR, após análise d</w:t>
      </w:r>
      <w:r>
        <w:rPr>
          <w:rFonts w:ascii="Times New Roman" w:hAnsi="Times New Roman"/>
          <w:sz w:val="22"/>
          <w:szCs w:val="22"/>
          <w:lang w:eastAsia="pt-BR"/>
        </w:rPr>
        <w:t>o assunto em epígrafe, e</w:t>
      </w:r>
    </w:p>
    <w:p w:rsidR="00097E08" w:rsidRDefault="00097E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7E08" w:rsidRDefault="00B21776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Ofício nº 023/2019/PRES/CAUSC, que encaminha a Deliberação Plenária - CAU/SC nº 257, de 10 de agosto de 2018, com consulta ao CAU/BR sobre a possibilidade de deferimento de pedidos de interrupção de registro do </w:t>
      </w:r>
      <w:r>
        <w:rPr>
          <w:rFonts w:ascii="Times New Roman" w:hAnsi="Times New Roman"/>
          <w:sz w:val="22"/>
          <w:szCs w:val="22"/>
        </w:rPr>
        <w:t>profissional de forma retroativa, quando restar veementemente comprovado que o Arquiteto e Urbanista não exerce a profissão desde data anterior a da formalização do pleito de interrupção;</w:t>
      </w:r>
    </w:p>
    <w:p w:rsidR="00097E08" w:rsidRDefault="00097E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7E08" w:rsidRDefault="00B2177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hAnsi="Times New Roman" w:cs="Calibri"/>
          <w:sz w:val="22"/>
          <w:szCs w:val="22"/>
        </w:rPr>
        <w:t>Deliberação Plenária nº 257/2018 do CAU/SC, que apro</w:t>
      </w:r>
      <w:r>
        <w:rPr>
          <w:rFonts w:ascii="Times New Roman" w:hAnsi="Times New Roman" w:cs="Calibri"/>
          <w:sz w:val="22"/>
          <w:szCs w:val="22"/>
        </w:rPr>
        <w:t>va o encaminhamento da consulta ao CAU/BR e solicita que o CAU/BR indique quais os documentos poderão comprovar que o arquiteto e urbanista não exerceu a profissão no período solicitado;</w:t>
      </w:r>
    </w:p>
    <w:p w:rsidR="00097E08" w:rsidRDefault="00097E0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97E08" w:rsidRDefault="00B2177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121/2018 da CEP-CAU/ES, que sugere à C</w:t>
      </w:r>
      <w:r>
        <w:rPr>
          <w:rFonts w:ascii="Times New Roman" w:hAnsi="Times New Roman"/>
          <w:sz w:val="22"/>
          <w:szCs w:val="22"/>
          <w:lang w:eastAsia="pt-BR"/>
        </w:rPr>
        <w:t xml:space="preserve">EP-CAU/BR a alteração da Resolução CAU/BR nº 167, </w:t>
      </w:r>
      <w:r>
        <w:rPr>
          <w:rFonts w:ascii="Times New Roman" w:hAnsi="Times New Roman"/>
          <w:sz w:val="22"/>
          <w:szCs w:val="22"/>
        </w:rPr>
        <w:t>de 16 de agosto de 2018, para incluir o desligamento do registro por motivo de aposentadoria por invalidez permanente devido a doenças graves, que os impeçam de exercer a profissão, e que o desligamento pos</w:t>
      </w:r>
      <w:r>
        <w:rPr>
          <w:rFonts w:ascii="Times New Roman" w:hAnsi="Times New Roman"/>
          <w:sz w:val="22"/>
          <w:szCs w:val="22"/>
        </w:rPr>
        <w:t>sa ser efetuado a partir da data da aposentadoria (de forma retroativa).</w:t>
      </w:r>
    </w:p>
    <w:p w:rsidR="00097E08" w:rsidRDefault="00097E0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97E08" w:rsidRDefault="00097E0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97E08" w:rsidRDefault="00B2177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97E08" w:rsidRDefault="00097E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7E08" w:rsidRDefault="00B2177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- Esclarecer que, para deferimento do pedido de interrupção ou cancelamento de registro por pedido de desligamento, os CAU/UF devem seguir as condições e requisitos </w:t>
      </w:r>
      <w:r>
        <w:rPr>
          <w:rFonts w:ascii="Times New Roman" w:hAnsi="Times New Roman"/>
          <w:sz w:val="22"/>
          <w:szCs w:val="22"/>
        </w:rPr>
        <w:t>definidos na Resolução CAU/BR nº 167, de 2018, que dispõe sobre alterações do registro de profissionais nos CAU/UF;</w:t>
      </w:r>
    </w:p>
    <w:p w:rsidR="00097E08" w:rsidRDefault="00097E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97E08" w:rsidRDefault="00B2177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2 - Informar que, conforme disposto no </w:t>
      </w:r>
      <w:r>
        <w:rPr>
          <w:rFonts w:ascii="Times New Roman" w:hAnsi="Times New Roman"/>
          <w:sz w:val="22"/>
          <w:szCs w:val="22"/>
          <w:lang w:eastAsia="pt-BR"/>
        </w:rPr>
        <w:t>§ 1º do Art. 7º e § 6º do art. 17 da Resolução CAU/BR nº 167, de 2018, a data de início da interrupç</w:t>
      </w:r>
      <w:r>
        <w:rPr>
          <w:rFonts w:ascii="Times New Roman" w:hAnsi="Times New Roman"/>
          <w:sz w:val="22"/>
          <w:szCs w:val="22"/>
          <w:lang w:eastAsia="pt-BR"/>
        </w:rPr>
        <w:t>ão do registro ou do cancelamento por pedido de desligamento deverá ter como termo inicial “a data do requerimento” de interrupção ou de desligamento;</w:t>
      </w:r>
    </w:p>
    <w:p w:rsidR="00097E08" w:rsidRDefault="00097E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7E08" w:rsidRDefault="00B2177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3- Esclarecer que não é apropriado o detalhamento, em Resolução, dos casos ou hipóteses dos motivos para</w:t>
      </w:r>
      <w:r>
        <w:rPr>
          <w:rFonts w:ascii="Times New Roman" w:hAnsi="Times New Roman"/>
          <w:sz w:val="22"/>
          <w:szCs w:val="22"/>
          <w:lang w:eastAsia="pt-BR"/>
        </w:rPr>
        <w:t xml:space="preserve"> o pedido de interrupção ou desligamento por parte do profissional, como forma de justificar o impedimento ou o não exercício da profissão, visto que a Lei 12.378/2010 estabelece que é 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 xml:space="preserve">facultado </w:t>
      </w:r>
      <w:r>
        <w:rPr>
          <w:rFonts w:ascii="Times New Roman" w:hAnsi="Times New Roman"/>
          <w:sz w:val="22"/>
          <w:szCs w:val="22"/>
          <w:lang w:eastAsia="pt-BR"/>
        </w:rPr>
        <w:t>ao profissional, que não pretende exercer a profissão, solici</w:t>
      </w:r>
      <w:r>
        <w:rPr>
          <w:rFonts w:ascii="Times New Roman" w:hAnsi="Times New Roman"/>
          <w:sz w:val="22"/>
          <w:szCs w:val="22"/>
          <w:lang w:eastAsia="pt-BR"/>
        </w:rPr>
        <w:t xml:space="preserve">tar a interrupção do seu registro ou seu desligamento do CAU; </w:t>
      </w:r>
    </w:p>
    <w:p w:rsidR="00097E08" w:rsidRDefault="00B2177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  </w:t>
      </w:r>
    </w:p>
    <w:p w:rsidR="00097E08" w:rsidRDefault="00B217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4 - Esclarecer que, caso o profissional solicite revisão ou isenção de débitos com anuidades no ato do requerimento de interrupção ou de desligamento, os CAU/UF devem seguir as Resoluções 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específicas que tratam de cobrança de anuidades e multas, negociação de dívidas e concessão de isenções, descontos e ressarcimentos.  Nesse caso, destacamos abaixo os seguintes Normativos vigentes:</w:t>
      </w:r>
    </w:p>
    <w:p w:rsidR="00097E08" w:rsidRDefault="00B21776">
      <w:pPr>
        <w:ind w:start="14.2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 Resolução nº 121, de 19 de agosto de 2016, que </w:t>
      </w:r>
      <w:hyperlink r:id="rId6" w:history="1">
        <w:r>
          <w:rPr>
            <w:rFonts w:ascii="Times New Roman" w:eastAsia="Times New Roman" w:hAnsi="Times New Roman"/>
            <w:sz w:val="22"/>
            <w:szCs w:val="22"/>
            <w:lang w:eastAsia="pt-BR"/>
          </w:rPr>
          <w:t xml:space="preserve">dispõe sobre as anuidades e sobre a negociação de valores devidos aos CAU/UF; </w:t>
        </w:r>
      </w:hyperlink>
    </w:p>
    <w:p w:rsidR="00097E08" w:rsidRDefault="00B21776">
      <w:pPr>
        <w:ind w:start="14.2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- Resolução n° 133, de 17 de fevereiro de 2017, que d</w:t>
      </w:r>
      <w:hyperlink r:id="rId7" w:history="1">
        <w:r>
          <w:rPr>
            <w:rFonts w:ascii="Times New Roman" w:eastAsia="Times New Roman" w:hAnsi="Times New Roman"/>
            <w:sz w:val="22"/>
            <w:szCs w:val="22"/>
            <w:lang w:eastAsia="pt-BR"/>
          </w:rPr>
          <w:t>ispõe sobre o processo administrativo de cobrança decorrente de inadimplência, sobre a inscrição em dívida ativa dos débitos de anuidades, multas e demais valores no âmbito dos CAU/UF, altera a Resolução CAU/BR n° 121, de 2016</w:t>
        </w:r>
      </w:hyperlink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97E08" w:rsidRDefault="00B21776">
      <w:pPr>
        <w:ind w:start="14.2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- Resolução n° 142, de 23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 de 2017, que d</w:t>
      </w:r>
      <w:hyperlink r:id="rId8" w:history="1">
        <w:r>
          <w:rPr>
            <w:rFonts w:ascii="Times New Roman" w:eastAsia="Times New Roman" w:hAnsi="Times New Roman"/>
            <w:sz w:val="22"/>
            <w:szCs w:val="22"/>
            <w:lang w:eastAsia="pt-BR"/>
          </w:rPr>
          <w:t>ispõe sobre o requerimento de revisão da cobrança de anuidades, sobre o processo administrativo de cobrança precedente à suspensão do registro em razão de inadimplênc</w:t>
        </w:r>
        <w:r>
          <w:rPr>
            <w:rFonts w:ascii="Times New Roman" w:eastAsia="Times New Roman" w:hAnsi="Times New Roman"/>
            <w:sz w:val="22"/>
            <w:szCs w:val="22"/>
            <w:lang w:eastAsia="pt-BR"/>
          </w:rPr>
          <w:t>ia;</w:t>
        </w:r>
      </w:hyperlink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097E08" w:rsidRDefault="00B21776">
      <w:pPr>
        <w:ind w:start="14.2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- Resolução n° 152, de 24 de novembro de 2017, que r</w:t>
      </w:r>
      <w:hyperlink r:id="rId9" w:history="1">
        <w:r>
          <w:rPr>
            <w:rFonts w:ascii="Times New Roman" w:eastAsia="Times New Roman" w:hAnsi="Times New Roman"/>
            <w:sz w:val="22"/>
            <w:szCs w:val="22"/>
            <w:lang w:eastAsia="pt-BR"/>
          </w:rPr>
          <w:t>egulamenta os ressarcimentos a serem concedidos aos profissionais arquitetos e urbanistas e às pessoas jurídicas de valores pagos ind</w:t>
        </w:r>
        <w:r>
          <w:rPr>
            <w:rFonts w:ascii="Times New Roman" w:eastAsia="Times New Roman" w:hAnsi="Times New Roman"/>
            <w:sz w:val="22"/>
            <w:szCs w:val="22"/>
            <w:lang w:eastAsia="pt-BR"/>
          </w:rPr>
          <w:t>evidamente aos CAU/UF;</w:t>
        </w:r>
      </w:hyperlink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097E08" w:rsidRDefault="00097E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97E08" w:rsidRDefault="00B2177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5 – </w:t>
      </w:r>
      <w:r>
        <w:rPr>
          <w:rFonts w:ascii="Times New Roman" w:hAnsi="Times New Roman"/>
          <w:sz w:val="22"/>
          <w:szCs w:val="22"/>
        </w:rPr>
        <w:t>Encaminhar à Presidência do CAU/BR para envio desta Deliberação ao CAU/SC e CAU/ES em resposta aos protocolos em epígrafe, e solicitar o envio à RIA para divulgação a todos os CAU/UF.</w:t>
      </w:r>
    </w:p>
    <w:p w:rsidR="00097E08" w:rsidRDefault="00097E08">
      <w:pPr>
        <w:rPr>
          <w:rFonts w:ascii="Times New Roman" w:hAnsi="Times New Roman"/>
          <w:sz w:val="22"/>
          <w:szCs w:val="22"/>
          <w:lang w:eastAsia="pt-BR"/>
        </w:rPr>
      </w:pPr>
    </w:p>
    <w:p w:rsidR="00097E08" w:rsidRDefault="00097E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7E08" w:rsidRDefault="00B2177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15 de março de 2019.</w:t>
      </w:r>
    </w:p>
    <w:p w:rsidR="00097E08" w:rsidRDefault="00097E0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97E08" w:rsidRDefault="00097E08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097E08" w:rsidRDefault="00B21776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97E08" w:rsidRDefault="00B21776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097E08" w:rsidRDefault="00097E0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097E08" w:rsidRDefault="00B21776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97E08" w:rsidRDefault="00B21776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97E08" w:rsidRDefault="00097E08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097E08" w:rsidRDefault="00B21776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97E08" w:rsidRDefault="00B21776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97E08" w:rsidRDefault="00097E08"/>
    <w:p w:rsidR="00097E08" w:rsidRDefault="00B21776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JOSEMÉE GOMES DE</w:t>
      </w:r>
      <w:r>
        <w:rPr>
          <w:rFonts w:ascii="Times New Roman" w:eastAsia="Calibri" w:hAnsi="Times New Roman"/>
          <w:b/>
          <w:sz w:val="22"/>
          <w:szCs w:val="22"/>
        </w:rPr>
        <w:t xml:space="preserve">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97E08" w:rsidRDefault="00B21776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097E08" w:rsidRDefault="00097E08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097E08" w:rsidRDefault="00B21776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97E08" w:rsidRDefault="00B21776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97E08" w:rsidRDefault="00097E08"/>
    <w:sectPr w:rsidR="00097E08">
      <w:headerReference w:type="default" r:id="rId10"/>
      <w:footerReference w:type="default" r:id="rId11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21776" w:rsidRDefault="00B21776">
      <w:r>
        <w:separator/>
      </w:r>
    </w:p>
  </w:endnote>
  <w:endnote w:type="continuationSeparator" w:id="0">
    <w:p w:rsidR="00B21776" w:rsidRDefault="00B2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04B59" w:rsidRDefault="00B2177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6153729</wp:posOffset>
          </wp:positionH>
          <wp:positionV relativeFrom="paragraph">
            <wp:posOffset>-201259</wp:posOffset>
          </wp:positionV>
          <wp:extent cx="1067379" cy="295899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067379" cy="295899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04B59" w:rsidRDefault="00B2177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B23CCC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-1086480</wp:posOffset>
          </wp:positionH>
          <wp:positionV relativeFrom="paragraph">
            <wp:posOffset>-508004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C04B59" w:rsidRDefault="00B21776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r>
      <w:rPr>
        <w:rFonts w:ascii="Times New Roman" w:hAnsi="Times New Roman"/>
        <w:color w:val="296D7A"/>
        <w:sz w:val="18"/>
        <w:szCs w:val="18"/>
      </w:rPr>
      <w:t>DELIBERAÇÃO Nº 016/2019 – (CEP – CAU/BR)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21776" w:rsidRDefault="00B21776">
      <w:r>
        <w:rPr>
          <w:color w:val="000000"/>
        </w:rPr>
        <w:separator/>
      </w:r>
    </w:p>
  </w:footnote>
  <w:footnote w:type="continuationSeparator" w:id="0">
    <w:p w:rsidR="00B21776" w:rsidRDefault="00B2177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04B59" w:rsidRDefault="00B2177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97E08"/>
    <w:rsid w:val="00097E08"/>
    <w:rsid w:val="00B21776"/>
    <w:rsid w:val="00B2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E9C59DD-AC0C-4773-B49D-367AC9B154B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transparencia.caubr.gov.br/resolucao142/" TargetMode="Externa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yperlink" Target="https://transparencia.caubr.gov.br/resolucao133/" TargetMode="Externa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https://transparencia.caubr.gov.br/resolucao121" TargetMode="External"/><Relationship Id="rId11" Type="http://purl.oclc.org/ooxml/officeDocument/relationships/footer" Target="footer1.xml"/><Relationship Id="rId5" Type="http://purl.oclc.org/ooxml/officeDocument/relationships/endnotes" Target="endnotes.xml"/><Relationship Id="rId10" Type="http://purl.oclc.org/ooxml/officeDocument/relationships/header" Target="header1.xml"/><Relationship Id="rId4" Type="http://purl.oclc.org/ooxml/officeDocument/relationships/footnotes" Target="footnotes.xml"/><Relationship Id="rId9" Type="http://purl.oclc.org/ooxml/officeDocument/relationships/hyperlink" Target="https://transparencia.caubr.gov.br/resolucao152/" TargetMode="Externa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016/2019 – (CEP – CAU/BR)</vt:lpstr>
    </vt:vector>
  </TitlesOfParts>
  <Company>Hewlett-Packard Company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016/2019 – (CEP – CAU/BR)</dc:title>
  <dc:subject/>
  <dc:creator>cep</dc:creator>
  <cp:lastModifiedBy>Viviane Nota Machado</cp:lastModifiedBy>
  <cp:revision>2</cp:revision>
  <cp:lastPrinted>2019-03-20T13:31:00Z</cp:lastPrinted>
  <dcterms:created xsi:type="dcterms:W3CDTF">2019-05-03T15:04:00Z</dcterms:created>
  <dcterms:modified xsi:type="dcterms:W3CDTF">2019-05-03T15:04:00Z</dcterms:modified>
</cp:coreProperties>
</file>