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D04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04A1" w:rsidRDefault="00E038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04A1" w:rsidRDefault="00E0389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nº 648888 – Presidente do CAU-MT encaminha Oficio à Presidência do CAU/BR no qual solicita orientações para responder a um Ofício da Prefeitura de Nobres solicitando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parecer do CAU/MT sobre a possibilidade de engenheiro ter ou não atribuição para elaboração de projeto arquitetônico</w:t>
            </w:r>
          </w:p>
        </w:tc>
      </w:tr>
      <w:tr w:rsidR="000D04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04A1" w:rsidRDefault="00E038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04A1" w:rsidRDefault="00E0389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0D04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04A1" w:rsidRDefault="00E038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D04A1" w:rsidRDefault="00E0389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27 da 69ª Reunião Ordinária da CEP-CAU/BR – para análise e manifestação da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</w:tbl>
    <w:p w:rsidR="000D04A1" w:rsidRDefault="00E0389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014/2018 – CEP – CAU/BR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08 e 09 de março de 2018, no uso das competências que lhe conferem o art. 97, 101 e </w:t>
      </w:r>
      <w:r>
        <w:rPr>
          <w:rFonts w:ascii="Times New Roman" w:hAnsi="Times New Roman"/>
          <w:sz w:val="22"/>
          <w:szCs w:val="22"/>
          <w:lang w:eastAsia="pt-BR"/>
        </w:rPr>
        <w:t>102 do Regimento Interno do CAU/BR, após análise do assunto em epígrafe, e</w:t>
      </w:r>
    </w:p>
    <w:p w:rsidR="000D04A1" w:rsidRDefault="000D04A1">
      <w:pPr>
        <w:jc w:val="both"/>
        <w:rPr>
          <w:sz w:val="22"/>
          <w:szCs w:val="22"/>
        </w:rPr>
      </w:pPr>
    </w:p>
    <w:p w:rsidR="000D04A1" w:rsidRDefault="00E0389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Ofício CAU/MT nº 18.01.008/2018-PRES, encaminhado à Presidência do CAU/BR, no qual anexa o Ofício da Prefeitura Municipal de Nobres solicitando um parecer do </w:t>
      </w:r>
      <w:r>
        <w:rPr>
          <w:rFonts w:ascii="Times New Roman" w:hAnsi="Times New Roman"/>
          <w:sz w:val="22"/>
          <w:szCs w:val="22"/>
          <w:lang w:eastAsia="pt-BR"/>
        </w:rPr>
        <w:t>Conselho sobre a possibilidade ou não de um profissional engenheiro civil ter atribuição para elaboração de projeto arquitetônico.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solicitação do prefeito da cidade de Nobres ao CAU/MT se deve ao fato deste estar respondendo a uma denún</w:t>
      </w:r>
      <w:r>
        <w:rPr>
          <w:rFonts w:ascii="Times New Roman" w:hAnsi="Times New Roman"/>
          <w:sz w:val="22"/>
          <w:szCs w:val="22"/>
          <w:lang w:eastAsia="pt-BR"/>
        </w:rPr>
        <w:t xml:space="preserve">cia feita por um arquiteto ao Ministério Público de que a Prefeitura mantém um engenheiro civil na função de analisar os projetos arquitetônicos para aprovação do órgão público, e tal fato infringe a Resolução CAU/BR nº 51/2013, que estabelece que projeto </w:t>
      </w:r>
      <w:r>
        <w:rPr>
          <w:rFonts w:ascii="Times New Roman" w:hAnsi="Times New Roman"/>
          <w:sz w:val="22"/>
          <w:szCs w:val="22"/>
          <w:lang w:eastAsia="pt-BR"/>
        </w:rPr>
        <w:t>de arquitetura é uma atribuição privativa dos arquitetos e urbanistas.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na Lei Federal nº 12.378, de 31 de dezembro de 2010, que em seu art. 2º estabelece as atividades, atribuições e campos de atuação profissional do arquiteto e ur</w:t>
      </w:r>
      <w:r>
        <w:rPr>
          <w:rFonts w:ascii="Times New Roman" w:hAnsi="Times New Roman"/>
          <w:sz w:val="22"/>
          <w:szCs w:val="22"/>
          <w:lang w:eastAsia="pt-BR"/>
        </w:rPr>
        <w:t>banista;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art. 3º desta mesma Lei esclarece que as atividades e atribuições dos arquitetos e urbanistas são definidas de acordo com os núcleos de conhecimentos de fundamentação e de conhecimentos profissionais das diretrizes curriculares</w:t>
      </w:r>
      <w:r>
        <w:rPr>
          <w:rFonts w:ascii="Times New Roman" w:hAnsi="Times New Roman"/>
          <w:sz w:val="22"/>
          <w:szCs w:val="22"/>
          <w:lang w:eastAsia="pt-BR"/>
        </w:rPr>
        <w:t xml:space="preserve"> nacionais pertinentes ao curso de graduação em Arquitetura e Urbanismo, definidos na Resolução CNE/CES nº 2, de 17 de junho de 2010 do Ministério da Educação (MEC);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alínea “e” do inciso I do Art. 2° da Resolução CAU/BR nº 51, de 12 de julh</w:t>
      </w:r>
      <w:r>
        <w:rPr>
          <w:rFonts w:ascii="Times New Roman" w:hAnsi="Times New Roman"/>
          <w:sz w:val="22"/>
          <w:szCs w:val="22"/>
          <w:lang w:eastAsia="pt-BR"/>
        </w:rPr>
        <w:t>o de 2013, estabelece que a atividade de “</w:t>
      </w:r>
      <w:r>
        <w:rPr>
          <w:rFonts w:ascii="Times New Roman" w:hAnsi="Times New Roman"/>
          <w:i/>
          <w:sz w:val="22"/>
          <w:szCs w:val="22"/>
          <w:lang w:eastAsia="pt-BR"/>
        </w:rPr>
        <w:t>desempenho de cargo ou função técnica concernente à elaboração ou análise de projeto arquitetônico</w:t>
      </w:r>
      <w:r>
        <w:rPr>
          <w:rFonts w:ascii="Times New Roman" w:hAnsi="Times New Roman"/>
          <w:sz w:val="22"/>
          <w:szCs w:val="22"/>
          <w:lang w:eastAsia="pt-BR"/>
        </w:rPr>
        <w:t>” é privativa dos arquitetos e urbanistas.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Reiterar que a Resolução CAU/BR nº 51, de 2013, se </w:t>
      </w:r>
      <w:r>
        <w:rPr>
          <w:rFonts w:ascii="Times New Roman" w:hAnsi="Times New Roman"/>
          <w:sz w:val="22"/>
          <w:szCs w:val="22"/>
        </w:rPr>
        <w:t>encontra vigente e deve ser cumprida, aplicada e divulgada pelos CAU/UF; e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</w:rPr>
      </w:pPr>
    </w:p>
    <w:p w:rsidR="000D04A1" w:rsidRDefault="00E0389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Encaminhar à Presidência do CAU/BR para conhecimento do inteiro teor desta Deliberação e as providências cabíveis junto ao CAU/MT.</w:t>
      </w:r>
    </w:p>
    <w:p w:rsidR="000D04A1" w:rsidRDefault="000D04A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março de 2018.</w:t>
      </w:r>
    </w:p>
    <w:p w:rsidR="000D04A1" w:rsidRDefault="000D04A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0D04A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E0389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MARIA </w:t>
      </w:r>
      <w:r>
        <w:rPr>
          <w:rFonts w:ascii="Times New Roman" w:hAnsi="Times New Roman"/>
          <w:b/>
          <w:sz w:val="22"/>
          <w:szCs w:val="22"/>
        </w:rPr>
        <w:t>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D04A1" w:rsidRDefault="00E0389C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0D04A1" w:rsidRDefault="00E0389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D04A1" w:rsidRDefault="00E0389C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D04A1" w:rsidRDefault="000D04A1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0D04A1" w:rsidRDefault="00E0389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D04A1" w:rsidRDefault="00E0389C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D04A1" w:rsidRDefault="000D04A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0D04A1" w:rsidRDefault="00E0389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DE </w:t>
      </w:r>
      <w:r>
        <w:rPr>
          <w:rFonts w:ascii="Times New Roman" w:hAnsi="Times New Roman"/>
          <w:b/>
          <w:sz w:val="22"/>
          <w:szCs w:val="22"/>
        </w:rPr>
        <w:t>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D04A1" w:rsidRDefault="00E0389C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D04A1" w:rsidRDefault="000D04A1"/>
    <w:p w:rsidR="000D04A1" w:rsidRDefault="00E0389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04A1" w:rsidRDefault="00E0389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0D04A1" w:rsidRDefault="000D04A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0D04A1" w:rsidRDefault="000D04A1">
      <w:pPr>
        <w:tabs>
          <w:tab w:val="start" w:pos="232.55pt"/>
        </w:tabs>
      </w:pPr>
    </w:p>
    <w:sectPr w:rsidR="000D04A1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0389C">
      <w:r>
        <w:separator/>
      </w:r>
    </w:p>
  </w:endnote>
  <w:endnote w:type="continuationSeparator" w:id="0">
    <w:p w:rsidR="00000000" w:rsidRDefault="00E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7401" w:rsidRDefault="00E0389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67401" w:rsidRDefault="00E0389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0389C">
      <w:r>
        <w:rPr>
          <w:color w:val="000000"/>
        </w:rPr>
        <w:separator/>
      </w:r>
    </w:p>
  </w:footnote>
  <w:footnote w:type="continuationSeparator" w:id="0">
    <w:p w:rsidR="00000000" w:rsidRDefault="00E0389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7401" w:rsidRDefault="00E0389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04A1"/>
    <w:rsid w:val="000D04A1"/>
    <w:rsid w:val="00E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DE4EB3-8368-40A8-A544-27BD473A54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2018-03-09T14:33:00Z</cp:lastPrinted>
  <dcterms:created xsi:type="dcterms:W3CDTF">2019-06-04T19:54:00Z</dcterms:created>
  <dcterms:modified xsi:type="dcterms:W3CDTF">2019-06-04T19:54:00Z</dcterms:modified>
</cp:coreProperties>
</file>