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676F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6F8" w:rsidRDefault="00D95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6F8" w:rsidRDefault="00D955A3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Proposta de revisão da Resolução CAU/BR nº 10/2012, que dispõe sobre o exercício, o registro e as atividades do arquiteto e urbanista com especialização em Engenharia de </w:t>
            </w:r>
            <w:r>
              <w:rPr>
                <w:rFonts w:ascii="Times New Roman" w:hAnsi="Times New Roman"/>
                <w:sz w:val="22"/>
                <w:szCs w:val="22"/>
              </w:rPr>
              <w:t>Segurança do Trabalho</w:t>
            </w:r>
          </w:p>
        </w:tc>
      </w:tr>
      <w:tr w:rsidR="005676F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6F8" w:rsidRDefault="00D95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6F8" w:rsidRDefault="00D955A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676F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6F8" w:rsidRDefault="00D955A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76F8" w:rsidRDefault="00D955A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3 da 68ª Reunião Ordinária da CEP-CAU/BR – analisar e aprovar o anteprojeto de resolução </w:t>
            </w:r>
          </w:p>
        </w:tc>
      </w:tr>
    </w:tbl>
    <w:p w:rsidR="005676F8" w:rsidRDefault="00D955A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002/2018 – (CEP – CAU/BR)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D955A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01 e 02 de fevereiro de 2018, no uso das competências que lhe conferem o art. 97, 101 e 102 do Regimento Interno do CAU/BR, após análise do assunto em epígrafe, e</w:t>
      </w:r>
    </w:p>
    <w:p w:rsidR="005676F8" w:rsidRDefault="005676F8">
      <w:pPr>
        <w:jc w:val="both"/>
        <w:rPr>
          <w:sz w:val="22"/>
          <w:szCs w:val="22"/>
        </w:rPr>
      </w:pPr>
    </w:p>
    <w:p w:rsidR="005676F8" w:rsidRDefault="00D955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do CAU/BR DPOBR nº 0070-07/2017, que autoriza o presidente do CAU/BR a sancionar a Resolução Conjunta que dispõe sobre o exercício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profissional, o registro e as atividades do arquiteto e urbanista com especialização em E</w:t>
      </w:r>
      <w:r>
        <w:rPr>
          <w:rFonts w:ascii="Times New Roman" w:hAnsi="Times New Roman"/>
          <w:sz w:val="22"/>
          <w:szCs w:val="22"/>
          <w:lang w:eastAsia="pt-BR"/>
        </w:rPr>
        <w:t>ngenharia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de Segurança do Trabalho;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D955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Lei n° 7.410, de 27 de novembro de 1985, que dispõe sobre a Especialização de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Engenheiros e Arquitetos em Engenharia de Segurança do Trabalho e define os requisitos e condições para o exercício da especia</w:t>
      </w:r>
      <w:r>
        <w:rPr>
          <w:rFonts w:ascii="Times New Roman" w:hAnsi="Times New Roman"/>
          <w:sz w:val="22"/>
          <w:szCs w:val="22"/>
          <w:lang w:eastAsia="pt-BR"/>
        </w:rPr>
        <w:t>lização de “Engenheiro e Segurança do Trabalho”;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D955A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aperfeiçoamento da Resolução CAU/BR nº 10, de 16 de janeiro de 2012, que regulamenta o exercício profissional, o registro e as atividades do </w:t>
      </w:r>
      <w:r>
        <w:rPr>
          <w:rFonts w:ascii="Times New Roman" w:hAnsi="Times New Roman"/>
          <w:sz w:val="22"/>
          <w:szCs w:val="22"/>
        </w:rPr>
        <w:t>arquiteto e urbanista com especiali</w:t>
      </w:r>
      <w:r>
        <w:rPr>
          <w:rFonts w:ascii="Times New Roman" w:hAnsi="Times New Roman"/>
          <w:sz w:val="22"/>
          <w:szCs w:val="22"/>
        </w:rPr>
        <w:t xml:space="preserve">zação em Engenharia de Segurança do Trabalho, </w:t>
      </w:r>
      <w:r>
        <w:rPr>
          <w:rFonts w:ascii="Times New Roman" w:hAnsi="Times New Roman"/>
          <w:sz w:val="22"/>
          <w:szCs w:val="22"/>
          <w:lang w:eastAsia="pt-BR"/>
        </w:rPr>
        <w:t xml:space="preserve">em atendimento a diversas demandas encaminhadas pelos CAU/UF, RIA e Ouvidoria; 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D955A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trâmites previstos na Resolução CAU/BR nº 104, de 26 de junho de 2015, que dispõe sobre os procedimentos para apr</w:t>
      </w:r>
      <w:r>
        <w:rPr>
          <w:rFonts w:ascii="Times New Roman" w:hAnsi="Times New Roman"/>
          <w:sz w:val="22"/>
          <w:szCs w:val="22"/>
          <w:lang w:eastAsia="pt-BR"/>
        </w:rPr>
        <w:t>ovação dos atos administrativos de competência do CAU/BR;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D955A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D955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Aprovar o anteprojeto de resolução que que dispõe sobre o exercício profissional, o registro e as atividades do arquiteto e urbanista com especialização em Engenharia de Segurança do</w:t>
      </w:r>
      <w:r>
        <w:rPr>
          <w:rFonts w:ascii="Times New Roman" w:hAnsi="Times New Roman"/>
          <w:sz w:val="22"/>
          <w:szCs w:val="22"/>
        </w:rPr>
        <w:t xml:space="preserve"> Trabalho, com proposta de revogação da Resolução CAU/BR nº 10, de 16 de janeiro de 2012; 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</w:rPr>
      </w:pPr>
    </w:p>
    <w:p w:rsidR="005676F8" w:rsidRDefault="00D955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2 - Encaminhar o referido anteprojeto de resolução à SGM para envio à Comissão de Ensino e Formação – CEF-CAU/BR, para manifestação.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</w:rPr>
      </w:pPr>
    </w:p>
    <w:p w:rsidR="005676F8" w:rsidRDefault="00D955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3 - Solicitar que as contribui</w:t>
      </w:r>
      <w:r>
        <w:rPr>
          <w:rFonts w:ascii="Times New Roman" w:hAnsi="Times New Roman"/>
          <w:sz w:val="22"/>
          <w:szCs w:val="22"/>
        </w:rPr>
        <w:t xml:space="preserve">ções e manifestações da CEF-CAU/BR sejam encaminhadas até o dia 2/4/2018, para que a matéria seja pautada para análise e aprovação na 70ª Reunião Ordinária da CEP-CAU/BR, nos dias 12 e 13 de abril de 2018, em cumprimento ao Plano de Trabalho aprovado.   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D955A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02 de fevereiro de 2018.</w:t>
      </w:r>
    </w:p>
    <w:p w:rsidR="005676F8" w:rsidRDefault="005676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5676F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D955A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676F8" w:rsidRDefault="00D955A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676F8" w:rsidRDefault="005676F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5676F8" w:rsidRDefault="00D955A3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676F8" w:rsidRDefault="00D955A3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676F8" w:rsidRDefault="005676F8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5676F8" w:rsidRDefault="00D955A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lastRenderedPageBreak/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676F8" w:rsidRDefault="00D955A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676F8" w:rsidRDefault="005676F8"/>
    <w:p w:rsidR="005676F8" w:rsidRDefault="00D955A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676F8" w:rsidRDefault="00D955A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676F8" w:rsidRDefault="005676F8">
      <w:pPr>
        <w:rPr>
          <w:shd w:val="clear" w:color="auto" w:fill="FFFF00"/>
        </w:rPr>
      </w:pPr>
    </w:p>
    <w:p w:rsidR="005676F8" w:rsidRDefault="00D955A3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676F8" w:rsidRDefault="00D955A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676F8" w:rsidRDefault="005676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5676F8" w:rsidRDefault="005676F8">
      <w:pPr>
        <w:tabs>
          <w:tab w:val="start" w:pos="232.55pt"/>
        </w:tabs>
      </w:pPr>
    </w:p>
    <w:sectPr w:rsidR="005676F8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955A3">
      <w:r>
        <w:separator/>
      </w:r>
    </w:p>
  </w:endnote>
  <w:endnote w:type="continuationSeparator" w:id="0">
    <w:p w:rsidR="00000000" w:rsidRDefault="00D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4437" w:rsidRDefault="00D955A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04437" w:rsidRDefault="00D955A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955A3">
      <w:r>
        <w:rPr>
          <w:color w:val="000000"/>
        </w:rPr>
        <w:separator/>
      </w:r>
    </w:p>
  </w:footnote>
  <w:footnote w:type="continuationSeparator" w:id="0">
    <w:p w:rsidR="00000000" w:rsidRDefault="00D955A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4437" w:rsidRDefault="00D955A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76F8"/>
    <w:rsid w:val="005676F8"/>
    <w:rsid w:val="00D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A905FBB-FCEF-49F8-9D6F-F33DF5AB91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2018-02-02T17:39:00Z</cp:lastPrinted>
  <dcterms:created xsi:type="dcterms:W3CDTF">2019-06-04T19:32:00Z</dcterms:created>
  <dcterms:modified xsi:type="dcterms:W3CDTF">2019-06-04T19:32:00Z</dcterms:modified>
</cp:coreProperties>
</file>