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9.50pt" w:type="dxa"/>
        <w:jc w:val="center"/>
        <w:tblLayout w:type="fixed"/>
        <w:tblCellMar>
          <w:start w:w="0.50pt" w:type="dxa"/>
          <w:end w:w="0.50pt" w:type="dxa"/>
        </w:tblCellMar>
        <w:tblLook w:firstRow="1" w:lastRow="0" w:firstColumn="1" w:lastColumn="0" w:noHBand="0" w:noVBand="1"/>
      </w:tblPr>
      <w:tblGrid>
        <w:gridCol w:w="1764"/>
        <w:gridCol w:w="7426"/>
      </w:tblGrid>
      <w:tr w:rsidR="00BE6790">
        <w:tblPrEx>
          <w:tblCellMar>
            <w:top w:w="0pt" w:type="dxa"/>
            <w:bottom w:w="0pt" w:type="dxa"/>
          </w:tblCellMar>
        </w:tblPrEx>
        <w:trPr>
          <w:cantSplit/>
          <w:trHeight w:val="283"/>
          <w:jc w:val="center"/>
        </w:trPr>
        <w:tc>
          <w:tcPr>
            <w:tcW w:w="88.2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BE6790" w:rsidRDefault="0070666A">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371.30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BE6790" w:rsidRDefault="0070666A">
            <w:pPr>
              <w:widowControl w:val="0"/>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w:t>
            </w:r>
          </w:p>
        </w:tc>
      </w:tr>
      <w:tr w:rsidR="00BE6790">
        <w:tblPrEx>
          <w:tblCellMar>
            <w:top w:w="0pt" w:type="dxa"/>
            <w:bottom w:w="0pt" w:type="dxa"/>
          </w:tblCellMar>
        </w:tblPrEx>
        <w:trPr>
          <w:cantSplit/>
          <w:trHeight w:val="283"/>
          <w:jc w:val="center"/>
        </w:trPr>
        <w:tc>
          <w:tcPr>
            <w:tcW w:w="88.2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BE6790" w:rsidRDefault="0070666A">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371.30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BE6790" w:rsidRDefault="0070666A">
            <w:pPr>
              <w:widowControl w:val="0"/>
            </w:pPr>
            <w:r>
              <w:rPr>
                <w:rFonts w:ascii="Times New Roman" w:eastAsia="Times New Roman" w:hAnsi="Times New Roman"/>
                <w:sz w:val="22"/>
                <w:szCs w:val="22"/>
                <w:lang w:eastAsia="pt-BR"/>
              </w:rPr>
              <w:t>ABEA, FNA e IAB-DN</w:t>
            </w:r>
          </w:p>
        </w:tc>
      </w:tr>
      <w:tr w:rsidR="00BE6790">
        <w:tblPrEx>
          <w:tblCellMar>
            <w:top w:w="0pt" w:type="dxa"/>
            <w:bottom w:w="0pt" w:type="dxa"/>
          </w:tblCellMar>
        </w:tblPrEx>
        <w:trPr>
          <w:cantSplit/>
          <w:trHeight w:val="283"/>
          <w:jc w:val="center"/>
        </w:trPr>
        <w:tc>
          <w:tcPr>
            <w:tcW w:w="88.2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BE6790" w:rsidRDefault="0070666A">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371.30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BE6790" w:rsidRDefault="0070666A">
            <w:pPr>
              <w:widowControl w:val="0"/>
            </w:pPr>
            <w:r>
              <w:rPr>
                <w:rFonts w:ascii="Times New Roman" w:eastAsia="Times New Roman" w:hAnsi="Times New Roman"/>
                <w:sz w:val="22"/>
                <w:szCs w:val="22"/>
                <w:lang w:eastAsia="pt-BR"/>
              </w:rPr>
              <w:t>CONTRIBUIÇÕES DAS ENTIDADES DE ARQUITETURA E URBANISMO À REVISÃO DO REGULAMENTO ELEITORAL</w:t>
            </w:r>
          </w:p>
        </w:tc>
      </w:tr>
    </w:tbl>
    <w:p w:rsidR="00BE6790" w:rsidRDefault="0070666A">
      <w:pPr>
        <w:pBdr>
          <w:top w:val="single" w:sz="8" w:space="1" w:color="7F7F7F"/>
          <w:bottom w:val="single" w:sz="8" w:space="1" w:color="7F7F7F"/>
        </w:pBdr>
        <w:shd w:val="clear" w:color="auto" w:fill="F2F2F2"/>
        <w:spacing w:before="12pt" w:after="12pt"/>
        <w:jc w:val="center"/>
      </w:pPr>
      <w:r>
        <w:rPr>
          <w:rFonts w:ascii="Times New Roman" w:eastAsia="Times New Roman" w:hAnsi="Times New Roman"/>
          <w:b/>
          <w:smallCaps/>
          <w:sz w:val="22"/>
          <w:szCs w:val="22"/>
          <w:lang w:eastAsia="pt-BR"/>
        </w:rPr>
        <w:t>DELIBERAÇÃO Nº 007/2019 – CEN-CAU/BR</w:t>
      </w:r>
    </w:p>
    <w:p w:rsidR="00BE6790" w:rsidRDefault="0070666A">
      <w:pPr>
        <w:spacing w:before="10pt" w:after="10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A </w:t>
      </w:r>
      <w:r>
        <w:rPr>
          <w:rFonts w:ascii="Times New Roman" w:eastAsia="Times New Roman" w:hAnsi="Times New Roman"/>
          <w:sz w:val="22"/>
          <w:szCs w:val="22"/>
          <w:lang w:eastAsia="pt-BR"/>
        </w:rPr>
        <w:t>COMISSÃO ELEITORAL NACIONAL (CEN-CAU/BR), reunida extraordinariamente em Brasília- DF, na sede do CAU/BR, nos dias 27 e</w:t>
      </w:r>
      <w:bookmarkStart w:id="0" w:name="_Hlk1556259"/>
      <w:r>
        <w:rPr>
          <w:rFonts w:ascii="Times New Roman" w:eastAsia="Times New Roman" w:hAnsi="Times New Roman"/>
          <w:sz w:val="22"/>
          <w:szCs w:val="22"/>
          <w:lang w:eastAsia="pt-BR"/>
        </w:rPr>
        <w:t xml:space="preserve"> 28 de fevereiro </w:t>
      </w:r>
      <w:bookmarkEnd w:id="0"/>
      <w:r>
        <w:rPr>
          <w:rFonts w:ascii="Times New Roman" w:eastAsia="Times New Roman" w:hAnsi="Times New Roman"/>
          <w:sz w:val="22"/>
          <w:szCs w:val="22"/>
          <w:lang w:eastAsia="pt-BR"/>
        </w:rPr>
        <w:t>de 2019, no uso das competências que lhe conferem o art. 127 do Regimento Interno do CAU/BR, aprovado pela Deliberação P</w:t>
      </w:r>
      <w:r>
        <w:rPr>
          <w:rFonts w:ascii="Times New Roman" w:eastAsia="Times New Roman" w:hAnsi="Times New Roman"/>
          <w:sz w:val="22"/>
          <w:szCs w:val="22"/>
          <w:lang w:eastAsia="pt-BR"/>
        </w:rPr>
        <w:t>lenária Ordinária DPOBR n° 0065-05/2017, de 28 de abril de 2017, e instituído pela Resolução CAU/BR n° 139, de 28 de abril de 2017, e o art. 6º da Resolução CAU/BR nº 105, de 26 de junho de 2015, após análise do assunto em epígrafe, e</w:t>
      </w:r>
    </w:p>
    <w:p w:rsidR="00BE6790" w:rsidRDefault="0070666A">
      <w:pPr>
        <w:spacing w:line="14.40pt" w:lineRule="auto"/>
        <w:jc w:val="both"/>
      </w:pPr>
      <w:r>
        <w:rPr>
          <w:rFonts w:ascii="Times New Roman" w:eastAsia="Times New Roman" w:hAnsi="Times New Roman"/>
          <w:sz w:val="22"/>
          <w:szCs w:val="22"/>
          <w:lang w:eastAsia="pt-BR"/>
        </w:rPr>
        <w:t>Considerando a Delibe</w:t>
      </w:r>
      <w:r>
        <w:rPr>
          <w:rFonts w:ascii="Times New Roman" w:eastAsia="Times New Roman" w:hAnsi="Times New Roman"/>
          <w:sz w:val="22"/>
          <w:szCs w:val="22"/>
          <w:lang w:eastAsia="pt-BR"/>
        </w:rPr>
        <w:t>ração nº 05/2018 – CEN-CAU/BR, que solicita às entidades nacionais de Arquitetura e Urbanismo o envio de contribuições propositivas à revisão do Regulamento Eleitoral do CAU à CEN-CAU/BR</w:t>
      </w:r>
      <w:r>
        <w:rPr>
          <w:rFonts w:ascii="Times New Roman" w:hAnsi="Times New Roman"/>
          <w:sz w:val="22"/>
          <w:szCs w:val="22"/>
        </w:rPr>
        <w:t xml:space="preserve">; </w:t>
      </w:r>
    </w:p>
    <w:p w:rsidR="00BE6790" w:rsidRDefault="0070666A">
      <w:pPr>
        <w:spacing w:before="10pt" w:after="10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o recebimento de contribuições da Associação Brasileir</w:t>
      </w:r>
      <w:r>
        <w:rPr>
          <w:rFonts w:ascii="Times New Roman" w:eastAsia="Times New Roman" w:hAnsi="Times New Roman"/>
          <w:sz w:val="22"/>
          <w:szCs w:val="22"/>
          <w:lang w:eastAsia="pt-BR"/>
        </w:rPr>
        <w:t>a de Ensino de Arquitetura e Urbanismo (ABEA) via correio eletrônico (e-mail) em 1º de agosto de 2018;</w:t>
      </w:r>
    </w:p>
    <w:p w:rsidR="00BE6790" w:rsidRDefault="0070666A">
      <w:pPr>
        <w:pStyle w:val="Default"/>
        <w:jc w:val="both"/>
      </w:pPr>
      <w:r>
        <w:rPr>
          <w:rFonts w:ascii="Times New Roman" w:eastAsia="Times New Roman" w:hAnsi="Times New Roman" w:cs="Times New Roman"/>
          <w:sz w:val="22"/>
          <w:szCs w:val="22"/>
        </w:rPr>
        <w:t xml:space="preserve">Considerando o recebimento de contribuições da Federação Nacional dos Arquitetos e Urbanistas (FNA), Ofício FNA nº 19/18, de </w:t>
      </w:r>
      <w:r>
        <w:rPr>
          <w:rFonts w:ascii="Times New Roman" w:hAnsi="Times New Roman" w:cs="Times New Roman"/>
          <w:sz w:val="22"/>
          <w:szCs w:val="22"/>
        </w:rPr>
        <w:t>14 de setembro de 2018;</w:t>
      </w:r>
    </w:p>
    <w:p w:rsidR="00BE6790" w:rsidRDefault="0070666A">
      <w:pPr>
        <w:spacing w:before="10pt" w:after="10pt"/>
        <w:jc w:val="both"/>
      </w:pPr>
      <w:r>
        <w:rPr>
          <w:rFonts w:ascii="Times New Roman" w:eastAsia="Times New Roman" w:hAnsi="Times New Roman"/>
          <w:sz w:val="22"/>
          <w:szCs w:val="22"/>
          <w:lang w:eastAsia="pt-BR"/>
        </w:rPr>
        <w:t xml:space="preserve">Considerando o recebimento de contribuições do Instituto de Arquitetos do Brasil – Direção Nacional (IAB), ofício sem número, de </w:t>
      </w:r>
      <w:r>
        <w:rPr>
          <w:rFonts w:ascii="Times New Roman" w:hAnsi="Times New Roman"/>
          <w:color w:val="000000"/>
          <w:sz w:val="22"/>
          <w:szCs w:val="22"/>
          <w:lang w:eastAsia="pt-BR"/>
        </w:rPr>
        <w:t xml:space="preserve">15 de setembro de 2018; </w:t>
      </w:r>
      <w:r>
        <w:rPr>
          <w:rFonts w:ascii="Times New Roman" w:eastAsia="Times New Roman" w:hAnsi="Times New Roman"/>
          <w:sz w:val="22"/>
          <w:szCs w:val="22"/>
          <w:lang w:eastAsia="pt-BR"/>
        </w:rPr>
        <w:t xml:space="preserve">e </w:t>
      </w:r>
    </w:p>
    <w:p w:rsidR="00BE6790" w:rsidRDefault="0070666A">
      <w:pPr>
        <w:spacing w:before="10pt" w:after="10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a Deliberação nº 023/2018 – CEN-CAU/BR, que aprova o anteprojeto de resolução que revog</w:t>
      </w:r>
      <w:r>
        <w:rPr>
          <w:rFonts w:ascii="Times New Roman" w:eastAsia="Times New Roman" w:hAnsi="Times New Roman"/>
          <w:sz w:val="22"/>
          <w:szCs w:val="22"/>
          <w:lang w:eastAsia="pt-BR"/>
        </w:rPr>
        <w:t>a o anexo I da Resolução CAU/BR nº 122/2016 e aprova o Regulamento Eleitoral do CAU.</w:t>
      </w:r>
    </w:p>
    <w:p w:rsidR="00BE6790" w:rsidRDefault="0070666A">
      <w:pPr>
        <w:spacing w:before="10pt" w:after="10pt"/>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rsidR="00BE6790" w:rsidRDefault="0070666A">
      <w:pPr>
        <w:numPr>
          <w:ilvl w:val="0"/>
          <w:numId w:val="1"/>
        </w:numPr>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Aprovar a análise das contribuições da Associação Brasileira de Ensino de Arquitetura e Urbanismo (ABEA), Federação Nacional dos Arquitetos e Urbanistas (FNA) e</w:t>
      </w:r>
      <w:r>
        <w:rPr>
          <w:rFonts w:ascii="Times New Roman" w:eastAsia="Times New Roman" w:hAnsi="Times New Roman"/>
          <w:sz w:val="22"/>
          <w:szCs w:val="22"/>
          <w:lang w:eastAsia="pt-BR"/>
        </w:rPr>
        <w:t xml:space="preserve"> Instituto de Arquitetos do Brasil – Direção Nacional (IAB-DN) na forma dos anexos I a III; </w:t>
      </w:r>
    </w:p>
    <w:p w:rsidR="00BE6790" w:rsidRDefault="0070666A">
      <w:pPr>
        <w:numPr>
          <w:ilvl w:val="0"/>
          <w:numId w:val="1"/>
        </w:numPr>
        <w:spacing w:after="6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Solicitar à Presidência do CAU/BR a comunicação ao CEAU do CAU/BR os termos da presente deliberação e o envio de ofício à ABEA, FNA e IAB-DN acompanhado do corresp</w:t>
      </w:r>
      <w:r>
        <w:rPr>
          <w:rFonts w:ascii="Times New Roman" w:eastAsia="Times New Roman" w:hAnsi="Times New Roman"/>
          <w:sz w:val="22"/>
          <w:szCs w:val="22"/>
          <w:lang w:eastAsia="pt-BR"/>
        </w:rPr>
        <w:t>ondente anexo, em agradecimento ao envio de contribuições ao Regulamento Eleitoral do CAU; e</w:t>
      </w:r>
    </w:p>
    <w:p w:rsidR="00BE6790" w:rsidRDefault="0070666A">
      <w:pPr>
        <w:numPr>
          <w:ilvl w:val="0"/>
          <w:numId w:val="1"/>
        </w:numPr>
        <w:spacing w:after="6pt"/>
        <w:ind w:start="17.85pt" w:hanging="17.85pt"/>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Enviar a presente deliberação à Secretaria Geral da Mesa do CAU/BR para ciência e devidas providências.</w:t>
      </w:r>
    </w:p>
    <w:p w:rsidR="00BE6790" w:rsidRDefault="0070666A">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Aprovado por unanimidade dos membros presentes.</w:t>
      </w:r>
    </w:p>
    <w:p w:rsidR="00BE6790" w:rsidRDefault="00BE6790">
      <w:pPr>
        <w:jc w:val="both"/>
        <w:rPr>
          <w:rFonts w:ascii="Times New Roman" w:eastAsia="Times New Roman" w:hAnsi="Times New Roman"/>
          <w:sz w:val="22"/>
          <w:szCs w:val="22"/>
          <w:lang w:eastAsia="pt-BR"/>
        </w:rPr>
      </w:pPr>
    </w:p>
    <w:p w:rsidR="00BE6790" w:rsidRDefault="00BE6790">
      <w:pPr>
        <w:jc w:val="both"/>
        <w:rPr>
          <w:rFonts w:ascii="Times New Roman" w:eastAsia="Times New Roman" w:hAnsi="Times New Roman"/>
          <w:sz w:val="22"/>
          <w:szCs w:val="22"/>
          <w:lang w:eastAsia="pt-BR"/>
        </w:rPr>
      </w:pPr>
    </w:p>
    <w:p w:rsidR="00BE6790" w:rsidRDefault="0070666A">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Brasília </w:t>
      </w:r>
      <w:r>
        <w:rPr>
          <w:rFonts w:ascii="Times New Roman" w:eastAsia="Times New Roman" w:hAnsi="Times New Roman"/>
          <w:sz w:val="22"/>
          <w:szCs w:val="22"/>
          <w:lang w:eastAsia="pt-BR"/>
        </w:rPr>
        <w:t>– DF, 28 de fevereiro de 2019.</w:t>
      </w:r>
    </w:p>
    <w:p w:rsidR="00BE6790" w:rsidRDefault="00BE6790">
      <w:pPr>
        <w:ind w:firstLine="85.05pt"/>
        <w:jc w:val="both"/>
        <w:rPr>
          <w:rFonts w:ascii="Times New Roman" w:eastAsia="Times New Roman" w:hAnsi="Times New Roman"/>
          <w:sz w:val="22"/>
          <w:szCs w:val="22"/>
          <w:lang w:eastAsia="pt-BR"/>
        </w:rPr>
      </w:pPr>
    </w:p>
    <w:p w:rsidR="00BE6790" w:rsidRDefault="00BE6790">
      <w:pPr>
        <w:ind w:firstLine="85.05pt"/>
        <w:jc w:val="both"/>
        <w:rPr>
          <w:rFonts w:ascii="Times New Roman" w:eastAsia="Times New Roman" w:hAnsi="Times New Roman"/>
          <w:sz w:val="22"/>
          <w:szCs w:val="22"/>
          <w:lang w:eastAsia="pt-BR"/>
        </w:rPr>
      </w:pPr>
    </w:p>
    <w:p w:rsidR="00BE6790" w:rsidRDefault="00BE6790">
      <w:pPr>
        <w:ind w:firstLine="85.05pt"/>
        <w:jc w:val="both"/>
        <w:rPr>
          <w:rFonts w:ascii="Times New Roman" w:eastAsia="Times New Roman" w:hAnsi="Times New Roman"/>
          <w:sz w:val="22"/>
          <w:szCs w:val="22"/>
          <w:lang w:eastAsia="pt-BR"/>
        </w:rPr>
      </w:pPr>
    </w:p>
    <w:p w:rsidR="00BE6790" w:rsidRDefault="0070666A">
      <w:r>
        <w:rPr>
          <w:rFonts w:ascii="Times New Roman" w:eastAsia="Times New Roman" w:hAnsi="Times New Roman"/>
          <w:b/>
          <w:spacing w:val="4"/>
          <w:sz w:val="22"/>
          <w:szCs w:val="22"/>
        </w:rPr>
        <w:t xml:space="preserve">MATOZALÉM SOUSA SANTANA                             </w:t>
      </w:r>
      <w:r>
        <w:rPr>
          <w:rFonts w:ascii="Times New Roman" w:eastAsia="Calibri" w:hAnsi="Times New Roman"/>
          <w:b/>
          <w:sz w:val="22"/>
          <w:szCs w:val="22"/>
          <w:lang w:eastAsia="pt-BR"/>
        </w:rPr>
        <w:t>____________________________________</w:t>
      </w:r>
    </w:p>
    <w:p w:rsidR="00BE6790" w:rsidRDefault="0070666A">
      <w:pPr>
        <w:tabs>
          <w:tab w:val="start" w:pos="232.55pt"/>
        </w:tabs>
        <w:autoSpaceDE w:val="0"/>
        <w:rPr>
          <w:rFonts w:ascii="Times New Roman" w:eastAsia="Times New Roman" w:hAnsi="Times New Roman"/>
          <w:sz w:val="22"/>
          <w:szCs w:val="22"/>
          <w:lang w:eastAsia="pt-BR"/>
        </w:rPr>
      </w:pPr>
      <w:r>
        <w:rPr>
          <w:rFonts w:ascii="Times New Roman" w:eastAsia="Times New Roman" w:hAnsi="Times New Roman"/>
          <w:sz w:val="22"/>
          <w:szCs w:val="22"/>
          <w:lang w:eastAsia="pt-BR"/>
        </w:rPr>
        <w:t>Coordenador Adjunto</w:t>
      </w:r>
    </w:p>
    <w:p w:rsidR="00BE6790" w:rsidRDefault="0070666A">
      <w:r>
        <w:rPr>
          <w:rFonts w:ascii="Times New Roman" w:eastAsia="Times New Roman" w:hAnsi="Times New Roman"/>
          <w:b/>
          <w:spacing w:val="4"/>
          <w:sz w:val="22"/>
          <w:szCs w:val="22"/>
        </w:rPr>
        <w:t xml:space="preserve">ANDREA LÚCIA VILELLA ARRUDA </w:t>
      </w:r>
      <w:r>
        <w:rPr>
          <w:rFonts w:ascii="Times New Roman" w:eastAsia="Times New Roman" w:hAnsi="Times New Roman"/>
          <w:b/>
          <w:caps/>
          <w:spacing w:val="4"/>
          <w:sz w:val="22"/>
          <w:szCs w:val="22"/>
        </w:rPr>
        <w:t xml:space="preserve">                      </w:t>
      </w:r>
      <w:r>
        <w:rPr>
          <w:rFonts w:ascii="Times New Roman" w:eastAsia="Calibri" w:hAnsi="Times New Roman"/>
          <w:b/>
          <w:sz w:val="22"/>
          <w:szCs w:val="22"/>
          <w:lang w:eastAsia="pt-BR"/>
        </w:rPr>
        <w:t>____________________________________</w:t>
      </w:r>
    </w:p>
    <w:p w:rsidR="00BE6790" w:rsidRDefault="0070666A">
      <w:pPr>
        <w:tabs>
          <w:tab w:val="start" w:pos="232.55pt"/>
        </w:tabs>
      </w:pPr>
      <w:r>
        <w:rPr>
          <w:rFonts w:ascii="Times New Roman" w:eastAsia="Times New Roman" w:hAnsi="Times New Roman"/>
          <w:sz w:val="22"/>
          <w:szCs w:val="22"/>
          <w:lang w:eastAsia="pt-BR"/>
        </w:rPr>
        <w:t>Membro</w:t>
      </w:r>
      <w:r>
        <w:rPr>
          <w:rFonts w:ascii="Times New Roman" w:eastAsia="Calibri" w:hAnsi="Times New Roman"/>
          <w:spacing w:val="-6"/>
          <w:sz w:val="22"/>
          <w:szCs w:val="22"/>
          <w:lang w:eastAsia="pt-BR"/>
        </w:rPr>
        <w:tab/>
      </w:r>
    </w:p>
    <w:p w:rsidR="00BE6790" w:rsidRDefault="0070666A">
      <w:r>
        <w:rPr>
          <w:rFonts w:ascii="Times New Roman" w:eastAsia="Times New Roman" w:hAnsi="Times New Roman"/>
          <w:b/>
          <w:spacing w:val="4"/>
          <w:sz w:val="22"/>
          <w:szCs w:val="22"/>
        </w:rPr>
        <w:lastRenderedPageBreak/>
        <w:t xml:space="preserve">EDNEZER RODRIGUES </w:t>
      </w:r>
      <w:r>
        <w:rPr>
          <w:rFonts w:ascii="Times New Roman" w:eastAsia="Times New Roman" w:hAnsi="Times New Roman"/>
          <w:b/>
          <w:spacing w:val="4"/>
          <w:sz w:val="22"/>
          <w:szCs w:val="22"/>
        </w:rPr>
        <w:t xml:space="preserve">FLORES </w:t>
      </w:r>
      <w:r>
        <w:rPr>
          <w:rFonts w:ascii="Times New Roman" w:eastAsia="Times New Roman" w:hAnsi="Times New Roman"/>
          <w:b/>
          <w:caps/>
          <w:spacing w:val="4"/>
          <w:sz w:val="22"/>
          <w:szCs w:val="22"/>
        </w:rPr>
        <w:t xml:space="preserve">                             </w:t>
      </w:r>
      <w:r>
        <w:rPr>
          <w:rFonts w:ascii="Times New Roman" w:eastAsia="Calibri" w:hAnsi="Times New Roman"/>
          <w:b/>
          <w:sz w:val="22"/>
          <w:szCs w:val="22"/>
          <w:lang w:eastAsia="pt-BR"/>
        </w:rPr>
        <w:t>____________________________________</w:t>
      </w:r>
    </w:p>
    <w:p w:rsidR="00BE6790" w:rsidRDefault="0070666A">
      <w:pPr>
        <w:tabs>
          <w:tab w:val="start" w:pos="232.55pt"/>
        </w:tabs>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Membro </w:t>
      </w:r>
    </w:p>
    <w:p w:rsidR="00BE6790" w:rsidRDefault="0070666A">
      <w:r>
        <w:rPr>
          <w:rFonts w:ascii="Times New Roman" w:eastAsia="Times New Roman" w:hAnsi="Times New Roman"/>
          <w:b/>
          <w:spacing w:val="4"/>
          <w:sz w:val="22"/>
          <w:szCs w:val="22"/>
        </w:rPr>
        <w:t>FÁBIO LUIS DA SILVA</w:t>
      </w:r>
      <w:r>
        <w:rPr>
          <w:rFonts w:ascii="Times New Roman" w:eastAsia="Times New Roman" w:hAnsi="Times New Roman"/>
          <w:b/>
          <w:spacing w:val="4"/>
          <w:sz w:val="22"/>
          <w:szCs w:val="22"/>
        </w:rPr>
        <w:tab/>
      </w:r>
      <w:r>
        <w:rPr>
          <w:rFonts w:ascii="Times New Roman" w:eastAsia="Times New Roman" w:hAnsi="Times New Roman"/>
          <w:b/>
          <w:spacing w:val="4"/>
          <w:sz w:val="22"/>
          <w:szCs w:val="22"/>
        </w:rPr>
        <w:tab/>
      </w:r>
      <w:r>
        <w:rPr>
          <w:rFonts w:ascii="Times New Roman" w:eastAsia="Times New Roman" w:hAnsi="Times New Roman"/>
          <w:b/>
          <w:spacing w:val="4"/>
          <w:sz w:val="22"/>
          <w:szCs w:val="22"/>
        </w:rPr>
        <w:tab/>
      </w:r>
      <w:r>
        <w:rPr>
          <w:rFonts w:ascii="Times New Roman" w:eastAsia="Times New Roman" w:hAnsi="Times New Roman"/>
          <w:b/>
          <w:spacing w:val="4"/>
          <w:sz w:val="22"/>
          <w:szCs w:val="22"/>
        </w:rPr>
        <w:tab/>
        <w:t xml:space="preserve">   </w:t>
      </w:r>
      <w:r>
        <w:rPr>
          <w:rFonts w:ascii="Times New Roman" w:eastAsia="Calibri" w:hAnsi="Times New Roman"/>
          <w:b/>
          <w:sz w:val="22"/>
          <w:szCs w:val="22"/>
          <w:lang w:eastAsia="pt-BR"/>
        </w:rPr>
        <w:t>____________________________________</w:t>
      </w:r>
    </w:p>
    <w:p w:rsidR="00BE6790" w:rsidRDefault="0070666A">
      <w:pPr>
        <w:tabs>
          <w:tab w:val="start" w:pos="232.55pt"/>
        </w:tabs>
        <w:rPr>
          <w:rFonts w:ascii="Times New Roman" w:eastAsia="Times New Roman" w:hAnsi="Times New Roman"/>
          <w:sz w:val="22"/>
          <w:szCs w:val="22"/>
          <w:lang w:eastAsia="pt-BR"/>
        </w:rPr>
      </w:pPr>
      <w:r>
        <w:rPr>
          <w:rFonts w:ascii="Times New Roman" w:eastAsia="Times New Roman" w:hAnsi="Times New Roman"/>
          <w:sz w:val="22"/>
          <w:szCs w:val="22"/>
          <w:lang w:eastAsia="pt-BR"/>
        </w:rPr>
        <w:t>Membro</w:t>
      </w:r>
    </w:p>
    <w:p w:rsidR="00BE6790" w:rsidRDefault="0070666A">
      <w:r>
        <w:rPr>
          <w:rFonts w:ascii="Times New Roman" w:eastAsia="Times New Roman" w:hAnsi="Times New Roman"/>
          <w:b/>
          <w:spacing w:val="4"/>
          <w:sz w:val="22"/>
          <w:szCs w:val="22"/>
        </w:rPr>
        <w:t>FABRÍCIO ESCÓRCIO BENEVIDES</w:t>
      </w:r>
      <w:r>
        <w:rPr>
          <w:rFonts w:ascii="Times New Roman" w:eastAsia="Times New Roman" w:hAnsi="Times New Roman"/>
          <w:b/>
          <w:spacing w:val="4"/>
          <w:sz w:val="22"/>
          <w:szCs w:val="22"/>
        </w:rPr>
        <w:tab/>
      </w:r>
      <w:r>
        <w:rPr>
          <w:rFonts w:ascii="Times New Roman" w:eastAsia="Times New Roman" w:hAnsi="Times New Roman"/>
          <w:b/>
          <w:spacing w:val="4"/>
          <w:sz w:val="22"/>
          <w:szCs w:val="22"/>
        </w:rPr>
        <w:tab/>
        <w:t xml:space="preserve">   </w:t>
      </w:r>
      <w:r>
        <w:rPr>
          <w:rFonts w:ascii="Times New Roman" w:eastAsia="Calibri" w:hAnsi="Times New Roman"/>
          <w:b/>
          <w:sz w:val="22"/>
          <w:szCs w:val="22"/>
          <w:lang w:eastAsia="pt-BR"/>
        </w:rPr>
        <w:t>____________________________________</w:t>
      </w:r>
    </w:p>
    <w:p w:rsidR="00BE6790" w:rsidRDefault="0070666A">
      <w:pPr>
        <w:tabs>
          <w:tab w:val="start" w:pos="232.55pt"/>
        </w:tabs>
        <w:rPr>
          <w:rFonts w:ascii="Times New Roman" w:eastAsia="Times New Roman" w:hAnsi="Times New Roman"/>
          <w:sz w:val="22"/>
          <w:szCs w:val="22"/>
          <w:lang w:eastAsia="pt-BR"/>
        </w:rPr>
      </w:pPr>
      <w:r>
        <w:rPr>
          <w:rFonts w:ascii="Times New Roman" w:eastAsia="Times New Roman" w:hAnsi="Times New Roman"/>
          <w:sz w:val="22"/>
          <w:szCs w:val="22"/>
          <w:lang w:eastAsia="pt-BR"/>
        </w:rPr>
        <w:t>Membro</w:t>
      </w:r>
    </w:p>
    <w:p w:rsidR="00BE6790" w:rsidRDefault="00BE6790">
      <w:pPr>
        <w:pageBreakBefore/>
        <w:rPr>
          <w:rFonts w:ascii="Times New Roman" w:eastAsia="Times New Roman" w:hAnsi="Times New Roman"/>
          <w:b/>
          <w:sz w:val="22"/>
          <w:szCs w:val="22"/>
          <w:lang w:eastAsia="pt-BR"/>
        </w:rPr>
      </w:pPr>
    </w:p>
    <w:p w:rsidR="00BE6790" w:rsidRDefault="0070666A">
      <w:pPr>
        <w:tabs>
          <w:tab w:val="start" w:pos="232.55pt"/>
        </w:tabs>
        <w:jc w:val="center"/>
        <w:rPr>
          <w:rFonts w:ascii="Times New Roman" w:eastAsia="Times New Roman" w:hAnsi="Times New Roman"/>
          <w:b/>
          <w:sz w:val="22"/>
          <w:szCs w:val="22"/>
          <w:lang w:eastAsia="pt-BR"/>
        </w:rPr>
      </w:pPr>
      <w:r>
        <w:rPr>
          <w:rFonts w:ascii="Times New Roman" w:eastAsia="Times New Roman" w:hAnsi="Times New Roman"/>
          <w:b/>
          <w:sz w:val="22"/>
          <w:szCs w:val="22"/>
          <w:lang w:eastAsia="pt-BR"/>
        </w:rPr>
        <w:t>ANEXO I</w:t>
      </w:r>
    </w:p>
    <w:p w:rsidR="00BE6790" w:rsidRDefault="00BE6790">
      <w:pPr>
        <w:tabs>
          <w:tab w:val="start" w:pos="232.55pt"/>
        </w:tabs>
        <w:jc w:val="center"/>
        <w:rPr>
          <w:rFonts w:ascii="Times New Roman" w:eastAsia="Times New Roman" w:hAnsi="Times New Roman"/>
          <w:b/>
          <w:sz w:val="22"/>
          <w:szCs w:val="22"/>
          <w:lang w:eastAsia="pt-BR"/>
        </w:rPr>
      </w:pPr>
    </w:p>
    <w:p w:rsidR="00BE6790" w:rsidRDefault="0070666A">
      <w:pPr>
        <w:tabs>
          <w:tab w:val="start" w:pos="232.55pt"/>
        </w:tabs>
        <w:jc w:val="center"/>
      </w:pPr>
      <w:r>
        <w:rPr>
          <w:rStyle w:val="TtulodoLivro"/>
          <w:sz w:val="22"/>
          <w:szCs w:val="22"/>
        </w:rPr>
        <w:t xml:space="preserve">ANÁLISE DAS </w:t>
      </w:r>
      <w:r>
        <w:rPr>
          <w:rStyle w:val="TtulodoLivro"/>
          <w:sz w:val="22"/>
          <w:szCs w:val="22"/>
        </w:rPr>
        <w:t>CONTRIBUIÇÕES DA ASSOCIAÇÃO BRASILEIRA DE ENSINO DE ARQUITETURA E URBANISMO (ABEA) À REVISÃO DO REGULAMENTO</w:t>
      </w:r>
      <w:r>
        <w:rPr>
          <w:rFonts w:ascii="Times New Roman" w:hAnsi="Times New Roman"/>
          <w:b/>
          <w:sz w:val="22"/>
          <w:szCs w:val="22"/>
        </w:rPr>
        <w:t xml:space="preserve"> ELEITORAL</w:t>
      </w:r>
    </w:p>
    <w:p w:rsidR="00BE6790" w:rsidRDefault="0070666A">
      <w:pPr>
        <w:spacing w:after="6pt"/>
        <w:jc w:val="both"/>
      </w:pPr>
      <w:r>
        <w:rPr>
          <w:rFonts w:ascii="Times New Roman" w:eastAsia="Times New Roman" w:hAnsi="Times New Roman"/>
          <w:b/>
          <w:sz w:val="22"/>
          <w:szCs w:val="22"/>
          <w:lang w:eastAsia="pt-BR"/>
        </w:rPr>
        <w:t xml:space="preserve">Contribuição 1: </w:t>
      </w:r>
      <w:r>
        <w:rPr>
          <w:rFonts w:ascii="Times New Roman" w:hAnsi="Times New Roman"/>
          <w:sz w:val="22"/>
          <w:szCs w:val="22"/>
        </w:rPr>
        <w:t xml:space="preserve">Art. 11. Estão impedidos de integrarem as comissões eleitorais os candidatos, seus pais, irmãos, filhos, cônjuges, </w:t>
      </w:r>
      <w:r>
        <w:rPr>
          <w:rFonts w:ascii="Times New Roman" w:hAnsi="Times New Roman"/>
          <w:b/>
          <w:bCs/>
          <w:sz w:val="22"/>
          <w:szCs w:val="22"/>
          <w:u w:val="single"/>
        </w:rPr>
        <w:t>companh</w:t>
      </w:r>
      <w:r>
        <w:rPr>
          <w:rFonts w:ascii="Times New Roman" w:hAnsi="Times New Roman"/>
          <w:b/>
          <w:bCs/>
          <w:sz w:val="22"/>
          <w:szCs w:val="22"/>
          <w:u w:val="single"/>
        </w:rPr>
        <w:t>eiros, cunhados(as)</w:t>
      </w:r>
      <w:r>
        <w:rPr>
          <w:rFonts w:ascii="Times New Roman" w:hAnsi="Times New Roman"/>
          <w:sz w:val="22"/>
          <w:szCs w:val="22"/>
        </w:rPr>
        <w:t>, sócios, empregados ou seus procuradores e funcionários do CAU/BR e dos CAU/UF.</w:t>
      </w:r>
    </w:p>
    <w:p w:rsidR="00BE6790" w:rsidRDefault="0070666A">
      <w:pPr>
        <w:spacing w:after="6pt"/>
        <w:ind w:start="36pt"/>
        <w:jc w:val="both"/>
      </w:pPr>
      <w:r>
        <w:rPr>
          <w:rFonts w:ascii="Times New Roman" w:eastAsia="Times New Roman" w:hAnsi="Times New Roman"/>
          <w:b/>
          <w:sz w:val="22"/>
          <w:szCs w:val="22"/>
          <w:lang w:eastAsia="pt-BR"/>
        </w:rPr>
        <w:t xml:space="preserve">Análise 1: </w:t>
      </w:r>
      <w:r>
        <w:rPr>
          <w:rFonts w:ascii="Times New Roman" w:hAnsi="Times New Roman"/>
          <w:color w:val="0000FF"/>
          <w:sz w:val="22"/>
          <w:szCs w:val="22"/>
        </w:rPr>
        <w:t>Para o novo regulamento é proposta uma seção que trate dos impedimentos e suspeição, com conteúdo da Lei de Processo Administrativo (Lei nº 9784/</w:t>
      </w:r>
      <w:r>
        <w:rPr>
          <w:rFonts w:ascii="Times New Roman" w:hAnsi="Times New Roman"/>
          <w:color w:val="0000FF"/>
          <w:sz w:val="22"/>
          <w:szCs w:val="22"/>
        </w:rPr>
        <w:t>99) que trata do assunto e engloba o conteúdo do art. 11.</w:t>
      </w:r>
    </w:p>
    <w:p w:rsidR="00BE6790" w:rsidRDefault="0070666A">
      <w:pPr>
        <w:spacing w:after="6pt"/>
        <w:jc w:val="both"/>
      </w:pPr>
      <w:r>
        <w:rPr>
          <w:rFonts w:ascii="Times New Roman" w:eastAsia="Times New Roman" w:hAnsi="Times New Roman"/>
          <w:b/>
          <w:sz w:val="22"/>
          <w:szCs w:val="22"/>
          <w:lang w:eastAsia="pt-BR"/>
        </w:rPr>
        <w:t xml:space="preserve">Contribuição 2: </w:t>
      </w:r>
      <w:r>
        <w:rPr>
          <w:rFonts w:ascii="Times New Roman" w:hAnsi="Times New Roman"/>
          <w:sz w:val="22"/>
          <w:szCs w:val="22"/>
        </w:rPr>
        <w:t>Art. 12. Compete à Comissão Eleitoral Nacional (CEN) durante o ano de realização das eleições:</w:t>
      </w:r>
    </w:p>
    <w:p w:rsidR="00BE6790" w:rsidRDefault="0070666A">
      <w:pPr>
        <w:spacing w:after="6pt"/>
        <w:jc w:val="both"/>
      </w:pPr>
      <w:r>
        <w:rPr>
          <w:rFonts w:ascii="Times New Roman" w:hAnsi="Times New Roman"/>
          <w:sz w:val="22"/>
          <w:szCs w:val="22"/>
        </w:rPr>
        <w:t xml:space="preserve">I – conhecer </w:t>
      </w:r>
      <w:r>
        <w:rPr>
          <w:rFonts w:ascii="Times New Roman" w:hAnsi="Times New Roman"/>
          <w:b/>
          <w:bCs/>
          <w:sz w:val="22"/>
          <w:szCs w:val="22"/>
          <w:u w:val="single"/>
        </w:rPr>
        <w:t>e respeitar</w:t>
      </w:r>
      <w:r>
        <w:rPr>
          <w:rFonts w:ascii="Times New Roman" w:hAnsi="Times New Roman"/>
          <w:sz w:val="22"/>
          <w:szCs w:val="22"/>
        </w:rPr>
        <w:t xml:space="preserve"> o Regulamento Eleitoral e demais legislações pertinentes;</w:t>
      </w:r>
    </w:p>
    <w:p w:rsidR="00BE6790" w:rsidRDefault="0070666A">
      <w:pPr>
        <w:spacing w:after="6pt"/>
        <w:jc w:val="both"/>
      </w:pPr>
      <w:r>
        <w:rPr>
          <w:rFonts w:ascii="Times New Roman" w:hAnsi="Times New Roman"/>
          <w:sz w:val="22"/>
          <w:szCs w:val="22"/>
        </w:rPr>
        <w:t>VIII</w:t>
      </w:r>
      <w:r>
        <w:rPr>
          <w:rFonts w:ascii="Times New Roman" w:hAnsi="Times New Roman"/>
          <w:sz w:val="22"/>
          <w:szCs w:val="22"/>
        </w:rPr>
        <w:t xml:space="preserve"> – publicar o resultado final das eleições no Diário Oficial da </w:t>
      </w:r>
      <w:r>
        <w:rPr>
          <w:rFonts w:ascii="Times New Roman" w:hAnsi="Times New Roman"/>
          <w:b/>
          <w:bCs/>
          <w:sz w:val="22"/>
          <w:szCs w:val="22"/>
          <w:u w:val="single"/>
        </w:rPr>
        <w:t>União e nos respectivos sites dos CAU/BR e CAUs/UF;</w:t>
      </w:r>
    </w:p>
    <w:p w:rsidR="00BE6790" w:rsidRDefault="0070666A">
      <w:pPr>
        <w:spacing w:after="6pt"/>
        <w:ind w:start="36pt"/>
        <w:jc w:val="both"/>
      </w:pPr>
      <w:r>
        <w:rPr>
          <w:rFonts w:ascii="Times New Roman" w:eastAsia="Times New Roman" w:hAnsi="Times New Roman"/>
          <w:b/>
          <w:sz w:val="22"/>
          <w:szCs w:val="22"/>
          <w:lang w:eastAsia="pt-BR"/>
        </w:rPr>
        <w:t xml:space="preserve">Análise 2: </w:t>
      </w:r>
      <w:r>
        <w:rPr>
          <w:rFonts w:ascii="Times New Roman" w:hAnsi="Times New Roman"/>
          <w:color w:val="0000FF"/>
          <w:sz w:val="22"/>
          <w:szCs w:val="22"/>
        </w:rPr>
        <w:t>A sugestão é contemplada pelos art. 6º, XIV, art. 6º § único, I, art. 9º § único, I e art. 104 do anteprojeto de resolução.</w:t>
      </w:r>
    </w:p>
    <w:p w:rsidR="00BE6790" w:rsidRDefault="0070666A">
      <w:pPr>
        <w:spacing w:after="6pt"/>
        <w:jc w:val="both"/>
      </w:pPr>
      <w:r>
        <w:rPr>
          <w:rFonts w:ascii="Times New Roman" w:eastAsia="Times New Roman" w:hAnsi="Times New Roman"/>
          <w:b/>
          <w:sz w:val="22"/>
          <w:szCs w:val="22"/>
          <w:lang w:eastAsia="pt-BR"/>
        </w:rPr>
        <w:t>Contr</w:t>
      </w:r>
      <w:r>
        <w:rPr>
          <w:rFonts w:ascii="Times New Roman" w:eastAsia="Times New Roman" w:hAnsi="Times New Roman"/>
          <w:b/>
          <w:sz w:val="22"/>
          <w:szCs w:val="22"/>
          <w:lang w:eastAsia="pt-BR"/>
        </w:rPr>
        <w:t xml:space="preserve">ibuição 3: </w:t>
      </w:r>
      <w:r>
        <w:rPr>
          <w:rFonts w:ascii="Times New Roman" w:hAnsi="Times New Roman"/>
          <w:sz w:val="22"/>
          <w:szCs w:val="22"/>
        </w:rPr>
        <w:t>Art. 14. Na eleição do conselheiro titular e respectivo suplente de conselheiro representantes das Instituições de Ensino Superior de Arquitetura e Urbanismo, compete à Comissão Eleitoral Nacional:</w:t>
      </w:r>
    </w:p>
    <w:p w:rsidR="00BE6790" w:rsidRDefault="0070666A">
      <w:pPr>
        <w:spacing w:after="6pt"/>
        <w:jc w:val="both"/>
      </w:pPr>
      <w:r>
        <w:rPr>
          <w:rFonts w:ascii="Times New Roman" w:hAnsi="Times New Roman"/>
          <w:sz w:val="22"/>
          <w:szCs w:val="22"/>
        </w:rPr>
        <w:t xml:space="preserve"> I – conhecer </w:t>
      </w:r>
      <w:r>
        <w:rPr>
          <w:rFonts w:ascii="Times New Roman" w:hAnsi="Times New Roman"/>
          <w:b/>
          <w:bCs/>
          <w:sz w:val="22"/>
          <w:szCs w:val="22"/>
          <w:u w:val="single"/>
        </w:rPr>
        <w:t xml:space="preserve">e respeitar </w:t>
      </w:r>
      <w:r>
        <w:rPr>
          <w:rFonts w:ascii="Times New Roman" w:hAnsi="Times New Roman"/>
          <w:sz w:val="22"/>
          <w:szCs w:val="22"/>
        </w:rPr>
        <w:t>o Regulamento Eleitor</w:t>
      </w:r>
      <w:r>
        <w:rPr>
          <w:rFonts w:ascii="Times New Roman" w:hAnsi="Times New Roman"/>
          <w:sz w:val="22"/>
          <w:szCs w:val="22"/>
        </w:rPr>
        <w:t>al e demais legislações pertinentes;</w:t>
      </w:r>
    </w:p>
    <w:p w:rsidR="00BE6790" w:rsidRDefault="0070666A">
      <w:pPr>
        <w:spacing w:after="6pt"/>
        <w:ind w:start="36pt"/>
        <w:jc w:val="both"/>
      </w:pPr>
      <w:r>
        <w:rPr>
          <w:rFonts w:ascii="Times New Roman" w:eastAsia="Times New Roman" w:hAnsi="Times New Roman"/>
          <w:b/>
          <w:sz w:val="22"/>
          <w:szCs w:val="22"/>
          <w:lang w:eastAsia="pt-BR"/>
        </w:rPr>
        <w:t xml:space="preserve">Análise 3: </w:t>
      </w:r>
      <w:r>
        <w:rPr>
          <w:rFonts w:ascii="Times New Roman" w:hAnsi="Times New Roman"/>
          <w:color w:val="0000FF"/>
          <w:sz w:val="22"/>
          <w:szCs w:val="22"/>
        </w:rPr>
        <w:t>A proposta é contemplada pelo art. 7º, I e art. 3º §4º do anteprojeto de resolução.</w:t>
      </w:r>
    </w:p>
    <w:p w:rsidR="00BE6790" w:rsidRDefault="0070666A">
      <w:pPr>
        <w:spacing w:after="6pt"/>
        <w:jc w:val="both"/>
      </w:pPr>
      <w:r>
        <w:rPr>
          <w:rFonts w:ascii="Times New Roman" w:eastAsia="Times New Roman" w:hAnsi="Times New Roman"/>
          <w:b/>
          <w:sz w:val="22"/>
          <w:szCs w:val="22"/>
          <w:lang w:eastAsia="pt-BR"/>
        </w:rPr>
        <w:t xml:space="preserve">Contribuição 4: </w:t>
      </w:r>
      <w:r>
        <w:rPr>
          <w:rFonts w:ascii="Times New Roman" w:hAnsi="Times New Roman"/>
          <w:sz w:val="22"/>
          <w:szCs w:val="22"/>
        </w:rPr>
        <w:t>Art. 15. Compete às Comissões Eleitorais das Unidades da Federação (CE-UF):</w:t>
      </w:r>
    </w:p>
    <w:p w:rsidR="00BE6790" w:rsidRDefault="0070666A">
      <w:pPr>
        <w:spacing w:after="6pt"/>
        <w:jc w:val="both"/>
      </w:pPr>
      <w:r>
        <w:rPr>
          <w:rFonts w:ascii="Times New Roman" w:hAnsi="Times New Roman"/>
          <w:sz w:val="22"/>
          <w:szCs w:val="22"/>
        </w:rPr>
        <w:t xml:space="preserve"> I – conhecer </w:t>
      </w:r>
      <w:r>
        <w:rPr>
          <w:rFonts w:ascii="Times New Roman" w:hAnsi="Times New Roman"/>
          <w:b/>
          <w:bCs/>
          <w:sz w:val="22"/>
          <w:szCs w:val="22"/>
        </w:rPr>
        <w:t>e respeitar</w:t>
      </w:r>
      <w:r>
        <w:rPr>
          <w:rFonts w:ascii="Times New Roman" w:hAnsi="Times New Roman"/>
          <w:sz w:val="22"/>
          <w:szCs w:val="22"/>
        </w:rPr>
        <w:t xml:space="preserve"> o Regu</w:t>
      </w:r>
      <w:r>
        <w:rPr>
          <w:rFonts w:ascii="Times New Roman" w:hAnsi="Times New Roman"/>
          <w:sz w:val="22"/>
          <w:szCs w:val="22"/>
        </w:rPr>
        <w:t>lamento Eleitoral e demais legislações pertinentes;</w:t>
      </w:r>
    </w:p>
    <w:p w:rsidR="00BE6790" w:rsidRDefault="0070666A">
      <w:pPr>
        <w:spacing w:after="6pt"/>
        <w:ind w:start="36pt"/>
        <w:jc w:val="both"/>
      </w:pPr>
      <w:r>
        <w:rPr>
          <w:rFonts w:ascii="Times New Roman" w:eastAsia="Times New Roman" w:hAnsi="Times New Roman"/>
          <w:b/>
          <w:sz w:val="22"/>
          <w:szCs w:val="22"/>
          <w:lang w:eastAsia="pt-BR"/>
        </w:rPr>
        <w:t xml:space="preserve">Análise 4: </w:t>
      </w:r>
      <w:r>
        <w:rPr>
          <w:rFonts w:ascii="Times New Roman" w:hAnsi="Times New Roman"/>
          <w:color w:val="0000FF"/>
          <w:sz w:val="22"/>
          <w:szCs w:val="22"/>
        </w:rPr>
        <w:t>A proposta é contemplada pelo art. 9º, I e art. 3º §4º do anteprojeto de resolução.</w:t>
      </w:r>
    </w:p>
    <w:p w:rsidR="00BE6790" w:rsidRDefault="0070666A">
      <w:pPr>
        <w:spacing w:after="6pt"/>
        <w:jc w:val="both"/>
      </w:pPr>
      <w:r>
        <w:rPr>
          <w:rFonts w:ascii="Times New Roman" w:eastAsia="Times New Roman" w:hAnsi="Times New Roman"/>
          <w:b/>
          <w:sz w:val="22"/>
          <w:szCs w:val="22"/>
          <w:lang w:eastAsia="pt-BR"/>
        </w:rPr>
        <w:t xml:space="preserve">Contribuição 5: </w:t>
      </w:r>
      <w:r>
        <w:rPr>
          <w:rFonts w:ascii="Times New Roman" w:hAnsi="Times New Roman"/>
          <w:sz w:val="22"/>
          <w:szCs w:val="22"/>
        </w:rPr>
        <w:t>Art. 18. As candidaturas serão registradas por chapas, as quais conterão os nomes dos candida</w:t>
      </w:r>
      <w:r>
        <w:rPr>
          <w:rFonts w:ascii="Times New Roman" w:hAnsi="Times New Roman"/>
          <w:sz w:val="22"/>
          <w:szCs w:val="22"/>
        </w:rPr>
        <w:t>tos às vagas de conselheiros titulares e respectivos suplentes de conselheiros para o CAU/BR e para o CAU/UF.</w:t>
      </w:r>
    </w:p>
    <w:p w:rsidR="00BE6790" w:rsidRDefault="0070666A">
      <w:pPr>
        <w:spacing w:after="6pt"/>
        <w:jc w:val="both"/>
      </w:pPr>
      <w:r>
        <w:rPr>
          <w:rFonts w:ascii="Times New Roman" w:hAnsi="Times New Roman"/>
          <w:sz w:val="22"/>
          <w:szCs w:val="22"/>
        </w:rPr>
        <w:t> </w:t>
      </w:r>
      <w:r>
        <w:rPr>
          <w:rFonts w:ascii="Times New Roman" w:hAnsi="Times New Roman"/>
          <w:b/>
          <w:bCs/>
          <w:sz w:val="22"/>
          <w:szCs w:val="22"/>
        </w:rPr>
        <w:t>§ 5º - vedada a reserva antecipada de número de chapa.</w:t>
      </w:r>
    </w:p>
    <w:p w:rsidR="00BE6790" w:rsidRDefault="0070666A">
      <w:pPr>
        <w:spacing w:after="6pt"/>
        <w:ind w:start="36pt"/>
        <w:jc w:val="both"/>
      </w:pPr>
      <w:r>
        <w:rPr>
          <w:rFonts w:ascii="Times New Roman" w:eastAsia="Times New Roman" w:hAnsi="Times New Roman"/>
          <w:b/>
          <w:sz w:val="22"/>
          <w:szCs w:val="22"/>
          <w:lang w:eastAsia="pt-BR"/>
        </w:rPr>
        <w:t>Análise 5:</w:t>
      </w:r>
      <w:r>
        <w:rPr>
          <w:rFonts w:ascii="Times New Roman" w:hAnsi="Times New Roman"/>
          <w:color w:val="0000FF"/>
          <w:sz w:val="22"/>
          <w:szCs w:val="22"/>
        </w:rPr>
        <w:t xml:space="preserve"> A CEN-CAU/BR propõe a realização de sorteio para a definição da numeração de </w:t>
      </w:r>
      <w:r>
        <w:rPr>
          <w:rFonts w:ascii="Times New Roman" w:hAnsi="Times New Roman"/>
          <w:color w:val="0000FF"/>
          <w:sz w:val="22"/>
          <w:szCs w:val="22"/>
        </w:rPr>
        <w:t>chapa, conforme disposto no art. 47 do anteprojeto de resolução. </w:t>
      </w:r>
    </w:p>
    <w:p w:rsidR="00BE6790" w:rsidRDefault="0070666A">
      <w:pPr>
        <w:spacing w:after="6pt"/>
        <w:jc w:val="both"/>
      </w:pPr>
      <w:r>
        <w:rPr>
          <w:rFonts w:ascii="Times New Roman" w:eastAsia="Times New Roman" w:hAnsi="Times New Roman"/>
          <w:b/>
          <w:sz w:val="22"/>
          <w:szCs w:val="22"/>
          <w:lang w:eastAsia="pt-BR"/>
        </w:rPr>
        <w:t xml:space="preserve">Contribuição 6: </w:t>
      </w:r>
      <w:r>
        <w:rPr>
          <w:rFonts w:ascii="Times New Roman" w:hAnsi="Times New Roman"/>
          <w:sz w:val="22"/>
          <w:szCs w:val="22"/>
        </w:rPr>
        <w:t>Inserir no CAPÍTULO IX - DAS DISPOSIÇÕES FINAIS</w:t>
      </w:r>
      <w:r>
        <w:rPr>
          <w:rFonts w:ascii="Times New Roman" w:hAnsi="Times New Roman"/>
          <w:b/>
          <w:bCs/>
          <w:sz w:val="22"/>
          <w:szCs w:val="22"/>
        </w:rPr>
        <w:t xml:space="preserve"> </w:t>
      </w:r>
      <w:r>
        <w:rPr>
          <w:rFonts w:ascii="Times New Roman" w:hAnsi="Times New Roman"/>
          <w:sz w:val="22"/>
          <w:szCs w:val="22"/>
        </w:rPr>
        <w:t>o seguinte artigo:</w:t>
      </w:r>
    </w:p>
    <w:p w:rsidR="00BE6790" w:rsidRDefault="0070666A">
      <w:pPr>
        <w:spacing w:after="6pt"/>
        <w:jc w:val="both"/>
      </w:pPr>
      <w:r>
        <w:rPr>
          <w:rFonts w:ascii="Times New Roman" w:hAnsi="Times New Roman"/>
          <w:b/>
          <w:bCs/>
          <w:sz w:val="22"/>
          <w:szCs w:val="22"/>
        </w:rPr>
        <w:t>Art. XX – Considera-se adimplente para as compor as eleições em qualquer configuração o arquiteto e urbanis</w:t>
      </w:r>
      <w:r>
        <w:rPr>
          <w:rFonts w:ascii="Times New Roman" w:hAnsi="Times New Roman"/>
          <w:b/>
          <w:bCs/>
          <w:sz w:val="22"/>
          <w:szCs w:val="22"/>
        </w:rPr>
        <w:t>ta que estiver com suas anuidades ou outras pendencias financeiras inteiramente quitadas e sem qualquer vinculo com parcelamento sobre as mesmas.</w:t>
      </w:r>
    </w:p>
    <w:p w:rsidR="00BE6790" w:rsidRDefault="0070666A">
      <w:pPr>
        <w:spacing w:after="6pt"/>
        <w:ind w:start="36pt"/>
        <w:jc w:val="both"/>
      </w:pPr>
      <w:r>
        <w:rPr>
          <w:rFonts w:ascii="Times New Roman" w:eastAsia="Times New Roman" w:hAnsi="Times New Roman"/>
          <w:b/>
          <w:sz w:val="22"/>
          <w:szCs w:val="22"/>
          <w:lang w:eastAsia="pt-BR"/>
        </w:rPr>
        <w:t xml:space="preserve">Análise 6: </w:t>
      </w:r>
      <w:r>
        <w:rPr>
          <w:rFonts w:ascii="Times New Roman" w:hAnsi="Times New Roman"/>
          <w:color w:val="0000FF"/>
          <w:sz w:val="22"/>
          <w:szCs w:val="22"/>
        </w:rPr>
        <w:t xml:space="preserve">A CEN-CAU/BR propõe ampliar a possibilidade de candidatar-se, sem restringir o princípio de </w:t>
      </w:r>
      <w:r>
        <w:rPr>
          <w:rFonts w:ascii="Times New Roman" w:hAnsi="Times New Roman"/>
          <w:color w:val="0000FF"/>
          <w:sz w:val="22"/>
          <w:szCs w:val="22"/>
        </w:rPr>
        <w:t>isonomia ente as candidaturas e garantindo o exercício da capacidade eleitoral passiva (de candidatar-se). Há que se preocupar com outras situações mais discrepantes dentre os requisitos de candidatura e causas de inelegibilidade.</w:t>
      </w:r>
    </w:p>
    <w:p w:rsidR="00BE6790" w:rsidRDefault="00BE6790">
      <w:pPr>
        <w:rPr>
          <w:rFonts w:ascii="Times New Roman" w:eastAsia="Times New Roman" w:hAnsi="Times New Roman"/>
          <w:sz w:val="22"/>
          <w:szCs w:val="22"/>
          <w:lang w:eastAsia="pt-BR"/>
        </w:rPr>
      </w:pPr>
    </w:p>
    <w:p w:rsidR="00BE6790" w:rsidRDefault="00BE6790">
      <w:pPr>
        <w:pageBreakBefore/>
        <w:rPr>
          <w:rFonts w:ascii="Times New Roman" w:eastAsia="Times New Roman" w:hAnsi="Times New Roman"/>
          <w:sz w:val="22"/>
          <w:szCs w:val="22"/>
          <w:lang w:eastAsia="pt-BR"/>
        </w:rPr>
      </w:pPr>
    </w:p>
    <w:p w:rsidR="00BE6790" w:rsidRDefault="0070666A">
      <w:pPr>
        <w:tabs>
          <w:tab w:val="start" w:pos="232.55pt"/>
        </w:tabs>
        <w:jc w:val="center"/>
        <w:rPr>
          <w:rFonts w:ascii="Times New Roman" w:eastAsia="Times New Roman" w:hAnsi="Times New Roman"/>
          <w:b/>
          <w:sz w:val="22"/>
          <w:szCs w:val="22"/>
          <w:lang w:eastAsia="pt-BR"/>
        </w:rPr>
      </w:pPr>
      <w:r>
        <w:rPr>
          <w:rFonts w:ascii="Times New Roman" w:eastAsia="Times New Roman" w:hAnsi="Times New Roman"/>
          <w:b/>
          <w:sz w:val="22"/>
          <w:szCs w:val="22"/>
          <w:lang w:eastAsia="pt-BR"/>
        </w:rPr>
        <w:t>ANEXO II</w:t>
      </w:r>
    </w:p>
    <w:p w:rsidR="00BE6790" w:rsidRDefault="00BE6790">
      <w:pPr>
        <w:tabs>
          <w:tab w:val="start" w:pos="232.55pt"/>
        </w:tabs>
        <w:jc w:val="center"/>
        <w:rPr>
          <w:rFonts w:ascii="Times New Roman" w:eastAsia="Times New Roman" w:hAnsi="Times New Roman"/>
          <w:b/>
          <w:sz w:val="22"/>
          <w:szCs w:val="22"/>
          <w:lang w:eastAsia="pt-BR"/>
        </w:rPr>
      </w:pPr>
    </w:p>
    <w:p w:rsidR="00BE6790" w:rsidRDefault="0070666A">
      <w:pPr>
        <w:tabs>
          <w:tab w:val="start" w:pos="232.55pt"/>
        </w:tabs>
        <w:jc w:val="center"/>
      </w:pPr>
      <w:r>
        <w:rPr>
          <w:rStyle w:val="TtulodoLivro"/>
          <w:sz w:val="22"/>
          <w:szCs w:val="22"/>
        </w:rPr>
        <w:t>ANÁLISE DAS C</w:t>
      </w:r>
      <w:r>
        <w:rPr>
          <w:rStyle w:val="TtulodoLivro"/>
          <w:sz w:val="22"/>
          <w:szCs w:val="22"/>
        </w:rPr>
        <w:t>ONTRIBUIÇÕES DA FEDERAÇÃO NACIONAL DOS ARQUITETOS E URBANISTAS (FNA) À REVISÃO DO REGULAMENTO</w:t>
      </w:r>
      <w:r>
        <w:rPr>
          <w:rFonts w:ascii="Times New Roman" w:hAnsi="Times New Roman"/>
          <w:b/>
          <w:sz w:val="22"/>
          <w:szCs w:val="22"/>
        </w:rPr>
        <w:t xml:space="preserve"> ELEITORAL</w:t>
      </w:r>
    </w:p>
    <w:p w:rsidR="00BE6790" w:rsidRDefault="00BE6790">
      <w:pPr>
        <w:spacing w:before="10pt" w:after="10pt"/>
        <w:jc w:val="both"/>
        <w:rPr>
          <w:rFonts w:ascii="Times New Roman" w:eastAsia="Times New Roman" w:hAnsi="Times New Roman"/>
          <w:sz w:val="22"/>
          <w:szCs w:val="22"/>
          <w:lang w:eastAsia="pt-BR"/>
        </w:rPr>
      </w:pPr>
    </w:p>
    <w:p w:rsidR="00BE6790" w:rsidRDefault="0070666A">
      <w:pPr>
        <w:spacing w:before="10pt" w:after="10pt"/>
        <w:jc w:val="both"/>
      </w:pPr>
      <w:r>
        <w:rPr>
          <w:rFonts w:ascii="Times New Roman" w:eastAsia="Times New Roman" w:hAnsi="Times New Roman"/>
          <w:b/>
          <w:sz w:val="22"/>
          <w:szCs w:val="22"/>
          <w:lang w:eastAsia="pt-BR"/>
        </w:rPr>
        <w:t xml:space="preserve">Contribuição 1: </w:t>
      </w:r>
      <w:r>
        <w:rPr>
          <w:rFonts w:ascii="Times New Roman" w:hAnsi="Times New Roman"/>
          <w:sz w:val="22"/>
          <w:szCs w:val="22"/>
        </w:rPr>
        <w:t xml:space="preserve">Restringir a reeleição a uma única recondução, em todos os cargos (quer seja a conselheiro estadual, quer seja a conselheiro federal). </w:t>
      </w:r>
      <w:r>
        <w:rPr>
          <w:rFonts w:ascii="Times New Roman" w:hAnsi="Times New Roman"/>
          <w:sz w:val="22"/>
          <w:szCs w:val="22"/>
        </w:rPr>
        <w:t xml:space="preserve">Entende-se que a intenção do artigo 36 da Lei Federal n. 12.378/2010, quando determina que é “permitida apenas uma recondução” aos “conselheiros do CAU/BR e dos CAUs”, é no sentido da </w:t>
      </w:r>
      <w:bookmarkStart w:id="1" w:name="_Hlk2174952"/>
      <w:r>
        <w:rPr>
          <w:rFonts w:ascii="Times New Roman" w:hAnsi="Times New Roman"/>
          <w:sz w:val="22"/>
          <w:szCs w:val="22"/>
        </w:rPr>
        <w:t>não perpetuação do conselheiro no CAU</w:t>
      </w:r>
      <w:bookmarkEnd w:id="1"/>
      <w:r>
        <w:rPr>
          <w:rFonts w:ascii="Times New Roman" w:hAnsi="Times New Roman"/>
          <w:sz w:val="22"/>
          <w:szCs w:val="22"/>
        </w:rPr>
        <w:t>, inibindo incontáveis candidaturas</w:t>
      </w:r>
      <w:r>
        <w:rPr>
          <w:rFonts w:ascii="Times New Roman" w:hAnsi="Times New Roman"/>
          <w:sz w:val="22"/>
          <w:szCs w:val="22"/>
        </w:rPr>
        <w:t xml:space="preserve"> alternadas ao Conselho Estadual e ao Conselho Federal. (sugestão compartilhada entre o IAB e a FNA); </w:t>
      </w:r>
    </w:p>
    <w:p w:rsidR="00BE6790" w:rsidRDefault="0070666A">
      <w:pPr>
        <w:spacing w:after="6pt"/>
        <w:ind w:start="36pt"/>
        <w:jc w:val="both"/>
      </w:pPr>
      <w:r>
        <w:rPr>
          <w:rFonts w:ascii="Times New Roman" w:eastAsia="Times New Roman" w:hAnsi="Times New Roman"/>
          <w:b/>
          <w:sz w:val="22"/>
          <w:szCs w:val="22"/>
          <w:lang w:eastAsia="pt-BR"/>
        </w:rPr>
        <w:t xml:space="preserve">Análise 1: </w:t>
      </w:r>
      <w:r>
        <w:rPr>
          <w:rFonts w:ascii="Times New Roman" w:hAnsi="Times New Roman"/>
          <w:color w:val="0000FF"/>
          <w:sz w:val="22"/>
          <w:szCs w:val="22"/>
        </w:rPr>
        <w:t>As reconduções possuem previsão legal (Lei nº 12.378/2010) e disposição normativa no âmbito do Regimento Geral do CAU. O Regimento Geral prevê</w:t>
      </w:r>
      <w:r>
        <w:rPr>
          <w:rFonts w:ascii="Times New Roman" w:hAnsi="Times New Roman"/>
          <w:color w:val="0000FF"/>
          <w:sz w:val="22"/>
          <w:szCs w:val="22"/>
        </w:rPr>
        <w:t xml:space="preserve">: </w:t>
      </w:r>
    </w:p>
    <w:p w:rsidR="00BE6790" w:rsidRDefault="0070666A">
      <w:pPr>
        <w:spacing w:after="6pt"/>
        <w:ind w:start="71.40pt"/>
        <w:jc w:val="both"/>
        <w:rPr>
          <w:rFonts w:ascii="Times New Roman" w:hAnsi="Times New Roman"/>
          <w:i/>
          <w:color w:val="0000FF"/>
          <w:sz w:val="22"/>
          <w:szCs w:val="22"/>
        </w:rPr>
      </w:pPr>
      <w:r>
        <w:rPr>
          <w:rFonts w:ascii="Times New Roman" w:hAnsi="Times New Roman"/>
          <w:i/>
          <w:color w:val="0000FF"/>
          <w:sz w:val="22"/>
          <w:szCs w:val="22"/>
        </w:rPr>
        <w:t>Art. 19. Os mandatos de conselheiro titular e de suplente de conselheiro terão duração de 3 (três) anos, iniciando-se em 1º de janeiro do primeiro ano, e encerrando-se em 31 de dezembro do terceiro ano do mandato para o qual foram eleitos, sendo permiti</w:t>
      </w:r>
      <w:r>
        <w:rPr>
          <w:rFonts w:ascii="Times New Roman" w:hAnsi="Times New Roman"/>
          <w:i/>
          <w:color w:val="0000FF"/>
          <w:sz w:val="22"/>
          <w:szCs w:val="22"/>
        </w:rPr>
        <w:t xml:space="preserve">da apenas uma recondução para o mesmo mandato. </w:t>
      </w:r>
    </w:p>
    <w:p w:rsidR="00BE6790" w:rsidRDefault="0070666A">
      <w:pPr>
        <w:spacing w:after="6pt"/>
        <w:ind w:start="71.40pt"/>
        <w:jc w:val="both"/>
        <w:rPr>
          <w:rFonts w:ascii="Times New Roman" w:hAnsi="Times New Roman"/>
          <w:i/>
          <w:color w:val="0000FF"/>
          <w:sz w:val="22"/>
          <w:szCs w:val="22"/>
        </w:rPr>
      </w:pPr>
      <w:r>
        <w:rPr>
          <w:rFonts w:ascii="Times New Roman" w:hAnsi="Times New Roman"/>
          <w:i/>
          <w:color w:val="0000FF"/>
          <w:sz w:val="22"/>
          <w:szCs w:val="22"/>
        </w:rPr>
        <w:t>(...)</w:t>
      </w:r>
    </w:p>
    <w:p w:rsidR="00BE6790" w:rsidRDefault="0070666A">
      <w:pPr>
        <w:spacing w:after="6pt"/>
        <w:ind w:start="71.40pt"/>
        <w:jc w:val="both"/>
        <w:rPr>
          <w:rFonts w:ascii="Times New Roman" w:hAnsi="Times New Roman"/>
          <w:i/>
          <w:color w:val="0000FF"/>
          <w:sz w:val="22"/>
          <w:szCs w:val="22"/>
        </w:rPr>
      </w:pPr>
      <w:r>
        <w:rPr>
          <w:rFonts w:ascii="Times New Roman" w:hAnsi="Times New Roman"/>
          <w:i/>
          <w:color w:val="0000FF"/>
          <w:sz w:val="22"/>
          <w:szCs w:val="22"/>
        </w:rPr>
        <w:t>Art. 21. É vedado ao arquiteto e urbanista ocupar o cargo de conselheiro de um mesmo conselho, federal, estadual ou distrital, por mais de 2 (dois) mandatos sucessivos, estando ele na condição de consel</w:t>
      </w:r>
      <w:r>
        <w:rPr>
          <w:rFonts w:ascii="Times New Roman" w:hAnsi="Times New Roman"/>
          <w:i/>
          <w:color w:val="0000FF"/>
          <w:sz w:val="22"/>
          <w:szCs w:val="22"/>
        </w:rPr>
        <w:t xml:space="preserve">heiro titular ou de suplente de conselheiro, conforme atos normativos do CAU/BR. </w:t>
      </w:r>
    </w:p>
    <w:p w:rsidR="00BE6790" w:rsidRDefault="0070666A">
      <w:pPr>
        <w:spacing w:after="6pt"/>
        <w:ind w:start="71.40pt"/>
        <w:jc w:val="both"/>
      </w:pPr>
      <w:r>
        <w:rPr>
          <w:rFonts w:ascii="Times New Roman" w:hAnsi="Times New Roman"/>
          <w:i/>
          <w:color w:val="0000FF"/>
          <w:sz w:val="22"/>
          <w:szCs w:val="22"/>
        </w:rPr>
        <w:t xml:space="preserve">Parágrafo único. Será considerado mandato sucessivo aquele no qual o conselheiro, titular ou suplente de conselheiro, estiver no exercício do mandato no CAU/BR ou em CAU/UF, </w:t>
      </w:r>
      <w:r>
        <w:rPr>
          <w:rFonts w:ascii="Times New Roman" w:hAnsi="Times New Roman"/>
          <w:i/>
          <w:color w:val="0000FF"/>
          <w:sz w:val="22"/>
          <w:szCs w:val="22"/>
        </w:rPr>
        <w:t>e tenha sido reconduzido por uma vez ao exercício do mesmo mandato, em CAU/UF ou no CAU/BR.</w:t>
      </w:r>
      <w:r>
        <w:rPr>
          <w:rFonts w:ascii="Times New Roman" w:hAnsi="Times New Roman"/>
          <w:color w:val="0000FF"/>
          <w:sz w:val="22"/>
          <w:szCs w:val="22"/>
        </w:rPr>
        <w:t xml:space="preserve">  </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Por se tratar de disposição abrangida pelo Regimento Geral, a COA-CAU/BR é a Comissão legitimada a promover a análise e proposta de alteração de suas disposições.</w:t>
      </w:r>
      <w:r>
        <w:rPr>
          <w:rFonts w:ascii="Times New Roman" w:hAnsi="Times New Roman"/>
          <w:color w:val="0000FF"/>
          <w:sz w:val="22"/>
          <w:szCs w:val="22"/>
        </w:rPr>
        <w:t xml:space="preserve"> </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As propostas do IAB e FNA foram encaminhadas àquela comissão em 03 de outubro de 2018 por meio da Deliberação CEN-CAU/BR nº 018/2018.</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 xml:space="preserve">Ainda assim, tendo em vista as proposições recebidas por esta comissão, no intuito da não perpetuação do conselheiro no </w:t>
      </w:r>
      <w:r>
        <w:rPr>
          <w:rFonts w:ascii="Times New Roman" w:hAnsi="Times New Roman"/>
          <w:color w:val="0000FF"/>
          <w:sz w:val="22"/>
          <w:szCs w:val="22"/>
        </w:rPr>
        <w:t>sistema CAU, está sendo estudada a possibilidade de limitar sucessivos mandatos consecutivos.</w:t>
      </w:r>
    </w:p>
    <w:p w:rsidR="00BE6790" w:rsidRDefault="0070666A">
      <w:pPr>
        <w:spacing w:after="6pt"/>
        <w:jc w:val="both"/>
      </w:pPr>
      <w:r>
        <w:rPr>
          <w:rFonts w:ascii="Times New Roman" w:eastAsia="Times New Roman" w:hAnsi="Times New Roman"/>
          <w:b/>
          <w:sz w:val="22"/>
          <w:szCs w:val="22"/>
          <w:lang w:eastAsia="pt-BR"/>
        </w:rPr>
        <w:t xml:space="preserve">Contribuição 2: </w:t>
      </w:r>
      <w:r>
        <w:rPr>
          <w:rFonts w:ascii="Times New Roman" w:hAnsi="Times New Roman"/>
          <w:sz w:val="22"/>
          <w:szCs w:val="22"/>
        </w:rPr>
        <w:t xml:space="preserve">Que o Colégio Eleitoral deverá ser composto por todos os arquitetos e urbanistas com registro ativo no SICCAU, residentes no estado do CAU/UF; </w:t>
      </w:r>
    </w:p>
    <w:p w:rsidR="00BE6790" w:rsidRDefault="0070666A">
      <w:pPr>
        <w:spacing w:after="6pt"/>
        <w:ind w:start="36pt"/>
        <w:jc w:val="both"/>
      </w:pPr>
      <w:r>
        <w:rPr>
          <w:rFonts w:ascii="Times New Roman" w:eastAsia="Times New Roman" w:hAnsi="Times New Roman"/>
          <w:b/>
          <w:sz w:val="22"/>
          <w:szCs w:val="22"/>
          <w:lang w:eastAsia="pt-BR"/>
        </w:rPr>
        <w:t>An</w:t>
      </w:r>
      <w:r>
        <w:rPr>
          <w:rFonts w:ascii="Times New Roman" w:eastAsia="Times New Roman" w:hAnsi="Times New Roman"/>
          <w:b/>
          <w:sz w:val="22"/>
          <w:szCs w:val="22"/>
          <w:lang w:eastAsia="pt-BR"/>
        </w:rPr>
        <w:t xml:space="preserve">álise 2: </w:t>
      </w:r>
      <w:r>
        <w:rPr>
          <w:rFonts w:ascii="Times New Roman" w:hAnsi="Times New Roman"/>
          <w:color w:val="0000FF"/>
          <w:sz w:val="22"/>
          <w:szCs w:val="22"/>
        </w:rPr>
        <w:t>Entendimento alinhado com o pensamento da CEN. Está previsto no art. 82 do anteprojeto posto em consulta pública.</w:t>
      </w:r>
    </w:p>
    <w:p w:rsidR="00BE6790" w:rsidRDefault="0070666A">
      <w:pPr>
        <w:spacing w:after="6pt"/>
        <w:jc w:val="both"/>
      </w:pPr>
      <w:r>
        <w:rPr>
          <w:rFonts w:ascii="Times New Roman" w:eastAsia="Times New Roman" w:hAnsi="Times New Roman"/>
          <w:b/>
          <w:sz w:val="22"/>
          <w:szCs w:val="22"/>
          <w:lang w:eastAsia="pt-BR"/>
        </w:rPr>
        <w:t xml:space="preserve">Contribuição 3: </w:t>
      </w:r>
      <w:r>
        <w:rPr>
          <w:rFonts w:ascii="Times New Roman" w:hAnsi="Times New Roman"/>
          <w:sz w:val="22"/>
          <w:szCs w:val="22"/>
        </w:rPr>
        <w:t>Que as chapas deverão ser compostas por, no mínimo, 50% de mulheres;</w:t>
      </w:r>
    </w:p>
    <w:p w:rsidR="00BE6790" w:rsidRDefault="0070666A">
      <w:pPr>
        <w:spacing w:after="6pt"/>
        <w:ind w:start="36pt"/>
        <w:jc w:val="both"/>
      </w:pPr>
      <w:r>
        <w:rPr>
          <w:rFonts w:ascii="Times New Roman" w:eastAsia="Times New Roman" w:hAnsi="Times New Roman"/>
          <w:b/>
          <w:sz w:val="22"/>
          <w:szCs w:val="22"/>
          <w:lang w:eastAsia="pt-BR"/>
        </w:rPr>
        <w:t xml:space="preserve">Análise 3: </w:t>
      </w:r>
      <w:r>
        <w:rPr>
          <w:rFonts w:ascii="Times New Roman" w:hAnsi="Times New Roman"/>
          <w:color w:val="0000FF"/>
          <w:sz w:val="22"/>
          <w:szCs w:val="22"/>
        </w:rPr>
        <w:t>A composição deve ser natural, espont</w:t>
      </w:r>
      <w:r>
        <w:rPr>
          <w:rFonts w:ascii="Times New Roman" w:hAnsi="Times New Roman"/>
          <w:color w:val="0000FF"/>
          <w:sz w:val="22"/>
          <w:szCs w:val="22"/>
        </w:rPr>
        <w:t xml:space="preserve">ânea. Eventualmente alguma chapa pode não ser integralmente composta devido esta exigência. A participação feminina não pode ocorrer apenas por imposição, sem que haja o real interesse de assumir o mandato caso eleita. </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A composição de chapas no formato pr</w:t>
      </w:r>
      <w:r>
        <w:rPr>
          <w:rFonts w:ascii="Times New Roman" w:hAnsi="Times New Roman"/>
          <w:color w:val="0000FF"/>
          <w:sz w:val="22"/>
          <w:szCs w:val="22"/>
        </w:rPr>
        <w:t>oposto poderia vir a ocorrer somente para cumprimento regulamentar, sem o devido interesse, o que pode incorrer em eventuais renúncias e desistências durante o processo eleitoral ou ainda na fase de recomposição de plenário.</w:t>
      </w:r>
    </w:p>
    <w:p w:rsidR="00BE6790" w:rsidRDefault="0070666A">
      <w:pPr>
        <w:spacing w:after="6pt"/>
        <w:jc w:val="both"/>
      </w:pPr>
      <w:r>
        <w:rPr>
          <w:rFonts w:ascii="Times New Roman" w:eastAsia="Times New Roman" w:hAnsi="Times New Roman"/>
          <w:b/>
          <w:sz w:val="22"/>
          <w:szCs w:val="22"/>
          <w:lang w:eastAsia="pt-BR"/>
        </w:rPr>
        <w:t xml:space="preserve">Contribuição 4: </w:t>
      </w:r>
      <w:r>
        <w:rPr>
          <w:rFonts w:ascii="Times New Roman" w:hAnsi="Times New Roman"/>
          <w:sz w:val="22"/>
          <w:szCs w:val="22"/>
        </w:rPr>
        <w:t>Que no cronogra</w:t>
      </w:r>
      <w:r>
        <w:rPr>
          <w:rFonts w:ascii="Times New Roman" w:hAnsi="Times New Roman"/>
          <w:sz w:val="22"/>
          <w:szCs w:val="22"/>
        </w:rPr>
        <w:t xml:space="preserve">ma do processo eleitoral deverá haver um único prazo para impugnação ou indeferimento das chapas, de modo a evitar impugnações tardias como o do processo de 2017. A chapa que tiver candidatos impugnados deverá ter prazo para substituição. Entende-se que a </w:t>
      </w:r>
      <w:r>
        <w:rPr>
          <w:rFonts w:ascii="Times New Roman" w:hAnsi="Times New Roman"/>
          <w:sz w:val="22"/>
          <w:szCs w:val="22"/>
        </w:rPr>
        <w:t xml:space="preserve">eliminação do candidato não deve ser motivo de impugnação da chapa; </w:t>
      </w:r>
    </w:p>
    <w:p w:rsidR="00BE6790" w:rsidRDefault="0070666A">
      <w:pPr>
        <w:spacing w:after="6pt"/>
        <w:ind w:start="36pt"/>
        <w:jc w:val="both"/>
      </w:pPr>
      <w:r>
        <w:rPr>
          <w:rFonts w:ascii="Times New Roman" w:eastAsia="Times New Roman" w:hAnsi="Times New Roman"/>
          <w:b/>
          <w:sz w:val="22"/>
          <w:szCs w:val="22"/>
          <w:lang w:eastAsia="pt-BR"/>
        </w:rPr>
        <w:t xml:space="preserve">Análise 4: </w:t>
      </w:r>
      <w:r>
        <w:rPr>
          <w:rFonts w:ascii="Times New Roman" w:hAnsi="Times New Roman"/>
          <w:color w:val="0000FF"/>
          <w:sz w:val="22"/>
          <w:szCs w:val="22"/>
        </w:rPr>
        <w:t xml:space="preserve">Primeiramente é necessário esclarecer que impugnação é o “ato de oposição, discrepância, contradição ou refutação no âmbito do processo eleitoral”, ao contrário do senso comum </w:t>
      </w:r>
      <w:r>
        <w:rPr>
          <w:rFonts w:ascii="Times New Roman" w:hAnsi="Times New Roman"/>
          <w:color w:val="0000FF"/>
          <w:sz w:val="22"/>
          <w:szCs w:val="22"/>
        </w:rPr>
        <w:t>que entende como indeferimento ou cassação de registro de candidatura.</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A verificação do cumprimento do requisito de adimplência, que pela previsão do normativo em vigor ocorre somente “até 15 (quinze) dias antes da data de transposição do banco de dados do</w:t>
      </w:r>
      <w:r>
        <w:rPr>
          <w:rFonts w:ascii="Times New Roman" w:hAnsi="Times New Roman"/>
          <w:color w:val="0000FF"/>
          <w:sz w:val="22"/>
          <w:szCs w:val="22"/>
        </w:rPr>
        <w:t xml:space="preserve"> SICCAU para o SiEN”, ou seja, 30 dias antes do dia da votação para as eleições 2017 (arts. 19, I e 25, I do Regulamento Eleitoral vigente).</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A nova proposta se adequa ao solicitado e à legislação eleitoral, pois será verificado no julgamento do pedido regi</w:t>
      </w:r>
      <w:r>
        <w:rPr>
          <w:rFonts w:ascii="Times New Roman" w:hAnsi="Times New Roman"/>
          <w:color w:val="0000FF"/>
          <w:sz w:val="22"/>
          <w:szCs w:val="22"/>
        </w:rPr>
        <w:t>stro de candidatura.</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Para as denúncias a comissão eleitoral deverá avaliar os casos em que a sanção se dará individualmente ao candidato ou à coletividade da chapa, não excluindo a possibilidade de cassação do registro da candidatura ao longo do processo e</w:t>
      </w:r>
      <w:r>
        <w:rPr>
          <w:rFonts w:ascii="Times New Roman" w:hAnsi="Times New Roman"/>
          <w:color w:val="0000FF"/>
          <w:sz w:val="22"/>
          <w:szCs w:val="22"/>
        </w:rPr>
        <w:t>leitoral. (art. 72, § 2º).</w:t>
      </w:r>
    </w:p>
    <w:p w:rsidR="00BE6790" w:rsidRDefault="0070666A">
      <w:pPr>
        <w:spacing w:after="6pt"/>
        <w:jc w:val="both"/>
      </w:pPr>
      <w:r>
        <w:rPr>
          <w:rFonts w:ascii="Times New Roman" w:eastAsia="Times New Roman" w:hAnsi="Times New Roman"/>
          <w:b/>
          <w:sz w:val="22"/>
          <w:szCs w:val="22"/>
          <w:lang w:eastAsia="pt-BR"/>
        </w:rPr>
        <w:t xml:space="preserve">Contribuição 5: </w:t>
      </w:r>
      <w:r>
        <w:rPr>
          <w:rFonts w:ascii="Times New Roman" w:hAnsi="Times New Roman"/>
          <w:sz w:val="22"/>
          <w:szCs w:val="22"/>
        </w:rPr>
        <w:t>Detalhar melhor as formas de campanha via internet e as regras dos debates para evitar impugnações e incentivar a discussão das propostas. No processo de 2017, a insuficiência de detalhamento criou insegurança par</w:t>
      </w:r>
      <w:r>
        <w:rPr>
          <w:rFonts w:ascii="Times New Roman" w:hAnsi="Times New Roman"/>
          <w:sz w:val="22"/>
          <w:szCs w:val="22"/>
        </w:rPr>
        <w:t xml:space="preserve">a os concorrentes; </w:t>
      </w:r>
    </w:p>
    <w:p w:rsidR="00BE6790" w:rsidRDefault="0070666A">
      <w:pPr>
        <w:spacing w:after="6pt"/>
        <w:ind w:start="36pt"/>
        <w:jc w:val="both"/>
      </w:pPr>
      <w:r>
        <w:rPr>
          <w:rFonts w:ascii="Times New Roman" w:eastAsia="Times New Roman" w:hAnsi="Times New Roman"/>
          <w:b/>
          <w:sz w:val="22"/>
          <w:szCs w:val="22"/>
          <w:lang w:eastAsia="pt-BR"/>
        </w:rPr>
        <w:t xml:space="preserve">Análise 5: </w:t>
      </w:r>
      <w:r>
        <w:rPr>
          <w:rFonts w:ascii="Times New Roman" w:hAnsi="Times New Roman"/>
          <w:color w:val="0000FF"/>
          <w:sz w:val="22"/>
          <w:szCs w:val="22"/>
        </w:rPr>
        <w:t>As regras de campanha foram alinhadas ao previsto na legislação eleitoral, com adaptações ao contexto do CAU, veja a criação de capítulos específicos para estes temas (art. 20 a 26).</w:t>
      </w:r>
    </w:p>
    <w:p w:rsidR="00BE6790" w:rsidRDefault="0070666A">
      <w:pPr>
        <w:spacing w:after="6pt"/>
        <w:jc w:val="both"/>
      </w:pPr>
      <w:r>
        <w:rPr>
          <w:rFonts w:ascii="Times New Roman" w:eastAsia="Times New Roman" w:hAnsi="Times New Roman"/>
          <w:b/>
          <w:sz w:val="22"/>
          <w:szCs w:val="22"/>
          <w:lang w:eastAsia="pt-BR"/>
        </w:rPr>
        <w:t xml:space="preserve">Contribuição 6: </w:t>
      </w:r>
      <w:r>
        <w:rPr>
          <w:rFonts w:ascii="Times New Roman" w:hAnsi="Times New Roman"/>
          <w:sz w:val="22"/>
          <w:szCs w:val="22"/>
        </w:rPr>
        <w:t>Que os CAU/UFs deverão env</w:t>
      </w:r>
      <w:r>
        <w:rPr>
          <w:rFonts w:ascii="Times New Roman" w:hAnsi="Times New Roman"/>
          <w:sz w:val="22"/>
          <w:szCs w:val="22"/>
        </w:rPr>
        <w:t xml:space="preserve">iar periodicamente material de campanha de todas as chapas homologadas para todo o colégio eleitoral; </w:t>
      </w:r>
    </w:p>
    <w:p w:rsidR="00BE6790" w:rsidRDefault="0070666A">
      <w:pPr>
        <w:spacing w:after="6pt"/>
        <w:ind w:start="36pt"/>
        <w:jc w:val="both"/>
      </w:pPr>
      <w:r>
        <w:rPr>
          <w:rFonts w:ascii="Times New Roman" w:eastAsia="Times New Roman" w:hAnsi="Times New Roman"/>
          <w:b/>
          <w:sz w:val="22"/>
          <w:szCs w:val="22"/>
          <w:lang w:eastAsia="pt-BR"/>
        </w:rPr>
        <w:t xml:space="preserve">Análise 6: </w:t>
      </w:r>
      <w:r>
        <w:rPr>
          <w:rFonts w:ascii="Times New Roman" w:hAnsi="Times New Roman"/>
          <w:color w:val="0000FF"/>
          <w:sz w:val="22"/>
          <w:szCs w:val="22"/>
        </w:rPr>
        <w:t>Atualmente já temos a divulgação das chapas e seus planos de trabalho no capítulo V do Regulamento Eleitoral (arts. 39 a 42). É realizada a di</w:t>
      </w:r>
      <w:r>
        <w:rPr>
          <w:rFonts w:ascii="Times New Roman" w:hAnsi="Times New Roman"/>
          <w:color w:val="0000FF"/>
          <w:sz w:val="22"/>
          <w:szCs w:val="22"/>
        </w:rPr>
        <w:t>vulgação da composição da chapa, com os currículos dos candidatos, e seu plano de trabalho, e ainda o envio de mensagem única ao respectivo colégio eleitoral (SMS e e-mail). Esta comunicação com os eleitores será ampliada em relação às eleições 2017, sendo</w:t>
      </w:r>
      <w:r>
        <w:rPr>
          <w:rFonts w:ascii="Times New Roman" w:hAnsi="Times New Roman"/>
          <w:color w:val="0000FF"/>
          <w:sz w:val="22"/>
          <w:szCs w:val="22"/>
        </w:rPr>
        <w:t xml:space="preserve"> prevista a divulgação em 3 momentos distinto durante o processo eleitoral.</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Para o novo regulamento é proposto também que a chapa deverá informar os endereços de propaganda à comissão eleitoral, que por sua vez promoverá a divulgação pelo site do CAU. Pode</w:t>
      </w:r>
      <w:r>
        <w:rPr>
          <w:rFonts w:ascii="Times New Roman" w:hAnsi="Times New Roman"/>
          <w:color w:val="0000FF"/>
          <w:sz w:val="22"/>
          <w:szCs w:val="22"/>
        </w:rPr>
        <w:t xml:space="preserve">rá ser prevista a ampliação destas ações ou a criação de outras que se fizerem necessárias. </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O CAU, no entanto, não poderá promover a propaganda das chapas, pois esta atividade é de competência única dos candidatos, primordialmente para que não haja eventu</w:t>
      </w:r>
      <w:r>
        <w:rPr>
          <w:rFonts w:ascii="Times New Roman" w:hAnsi="Times New Roman"/>
          <w:color w:val="0000FF"/>
          <w:sz w:val="22"/>
          <w:szCs w:val="22"/>
        </w:rPr>
        <w:t>al alegação de favorecimento de campanha a determinada candidatura.</w:t>
      </w:r>
    </w:p>
    <w:p w:rsidR="00BE6790" w:rsidRDefault="0070666A">
      <w:pPr>
        <w:spacing w:after="6pt"/>
        <w:jc w:val="both"/>
      </w:pPr>
      <w:r>
        <w:rPr>
          <w:rFonts w:ascii="Times New Roman" w:eastAsia="Times New Roman" w:hAnsi="Times New Roman"/>
          <w:b/>
          <w:sz w:val="22"/>
          <w:szCs w:val="22"/>
          <w:lang w:eastAsia="pt-BR"/>
        </w:rPr>
        <w:t xml:space="preserve">Contribuição 7: </w:t>
      </w:r>
      <w:r>
        <w:rPr>
          <w:rFonts w:ascii="Times New Roman" w:hAnsi="Times New Roman"/>
          <w:sz w:val="22"/>
          <w:szCs w:val="22"/>
        </w:rPr>
        <w:t xml:space="preserve">Que cada CAU/UF deverá promover pelo menos um debate aberto aos arquitetos e urbanistas entre todas as chapas concorrentes e de preferência com transmissão pela internet; </w:t>
      </w:r>
    </w:p>
    <w:p w:rsidR="00BE6790" w:rsidRDefault="0070666A">
      <w:pPr>
        <w:spacing w:after="6pt"/>
        <w:ind w:start="36pt"/>
        <w:jc w:val="both"/>
      </w:pPr>
      <w:r>
        <w:rPr>
          <w:rFonts w:ascii="Times New Roman" w:eastAsia="Times New Roman" w:hAnsi="Times New Roman"/>
          <w:b/>
          <w:sz w:val="22"/>
          <w:szCs w:val="22"/>
          <w:lang w:eastAsia="pt-BR"/>
        </w:rPr>
        <w:t xml:space="preserve">Análise 7: </w:t>
      </w:r>
      <w:r>
        <w:rPr>
          <w:rFonts w:ascii="Times New Roman" w:hAnsi="Times New Roman"/>
          <w:color w:val="0000FF"/>
          <w:sz w:val="22"/>
          <w:szCs w:val="22"/>
        </w:rPr>
        <w:t>O CAU (CAU/UF ou CAU/BR) como interessado no processo eleitoral se torna impedido nas ações das eleições, em especial por haver conselheiros com mandato em curso. Portanto o conselho deve se afastar da temática eleitoral durante as eleições.</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Par</w:t>
      </w:r>
      <w:r>
        <w:rPr>
          <w:rFonts w:ascii="Times New Roman" w:hAnsi="Times New Roman"/>
          <w:color w:val="0000FF"/>
          <w:sz w:val="22"/>
          <w:szCs w:val="22"/>
        </w:rPr>
        <w:t>a o novo regulamento é proposto que o CAU/BR ou CAU/UF possa ceder espaço físico para a realização de debate, mas eximindo-se de organizar ou promover a sua realização.</w:t>
      </w:r>
    </w:p>
    <w:p w:rsidR="00BE6790" w:rsidRDefault="0070666A">
      <w:pPr>
        <w:spacing w:after="6pt"/>
        <w:jc w:val="both"/>
      </w:pPr>
      <w:r>
        <w:rPr>
          <w:rFonts w:ascii="Times New Roman" w:eastAsia="Times New Roman" w:hAnsi="Times New Roman"/>
          <w:b/>
          <w:sz w:val="22"/>
          <w:szCs w:val="22"/>
          <w:lang w:eastAsia="pt-BR"/>
        </w:rPr>
        <w:t xml:space="preserve">Contribuição 8: </w:t>
      </w:r>
      <w:r>
        <w:rPr>
          <w:rFonts w:ascii="Times New Roman" w:hAnsi="Times New Roman"/>
          <w:sz w:val="22"/>
          <w:szCs w:val="22"/>
        </w:rPr>
        <w:t>Que deverá ser estabelecido um critério de numeração das chapas, após a</w:t>
      </w:r>
      <w:r>
        <w:rPr>
          <w:rFonts w:ascii="Times New Roman" w:hAnsi="Times New Roman"/>
          <w:sz w:val="22"/>
          <w:szCs w:val="22"/>
        </w:rPr>
        <w:t xml:space="preserve">s inscrições, de modo a evitar que a numeração das mesmas tenha intervalos não preenchidos ou não seja sequencial. Sugere-se, após a homologação das chapas, que a numeração seja definida por sorteio; </w:t>
      </w:r>
    </w:p>
    <w:p w:rsidR="00BE6790" w:rsidRDefault="0070666A">
      <w:pPr>
        <w:spacing w:after="6pt"/>
        <w:ind w:start="36pt"/>
        <w:jc w:val="both"/>
      </w:pPr>
      <w:r>
        <w:rPr>
          <w:rFonts w:ascii="Times New Roman" w:eastAsia="Times New Roman" w:hAnsi="Times New Roman"/>
          <w:b/>
          <w:sz w:val="22"/>
          <w:szCs w:val="22"/>
          <w:lang w:eastAsia="pt-BR"/>
        </w:rPr>
        <w:t xml:space="preserve">Análise 8: </w:t>
      </w:r>
      <w:r>
        <w:rPr>
          <w:rFonts w:ascii="Times New Roman" w:hAnsi="Times New Roman"/>
          <w:color w:val="0000FF"/>
          <w:sz w:val="22"/>
          <w:szCs w:val="22"/>
        </w:rPr>
        <w:t>Para o novo regulamento é proposta a realiza</w:t>
      </w:r>
      <w:r>
        <w:rPr>
          <w:rFonts w:ascii="Times New Roman" w:hAnsi="Times New Roman"/>
          <w:color w:val="0000FF"/>
          <w:sz w:val="22"/>
          <w:szCs w:val="22"/>
        </w:rPr>
        <w:t>ção de sorteio para a definição da numeração, conforme disposto no art. 47. Entretanto ao longo do processo eleitoral, caso haja o indeferimento do pedido de registro de candidatura ou a cassação de registro de candidatura haverá intervalos na numeração da</w:t>
      </w:r>
      <w:r>
        <w:rPr>
          <w:rFonts w:ascii="Times New Roman" w:hAnsi="Times New Roman"/>
          <w:color w:val="0000FF"/>
          <w:sz w:val="22"/>
          <w:szCs w:val="22"/>
        </w:rPr>
        <w:t>s chapas.</w:t>
      </w:r>
    </w:p>
    <w:p w:rsidR="00BE6790" w:rsidRDefault="0070666A">
      <w:pPr>
        <w:spacing w:after="6pt"/>
        <w:jc w:val="both"/>
      </w:pPr>
      <w:r>
        <w:rPr>
          <w:rFonts w:ascii="Times New Roman" w:eastAsia="Times New Roman" w:hAnsi="Times New Roman"/>
          <w:b/>
          <w:sz w:val="22"/>
          <w:szCs w:val="22"/>
          <w:lang w:eastAsia="pt-BR"/>
        </w:rPr>
        <w:t xml:space="preserve">Contribuição 9: </w:t>
      </w:r>
      <w:r>
        <w:rPr>
          <w:rFonts w:ascii="Times New Roman" w:hAnsi="Times New Roman"/>
          <w:sz w:val="22"/>
          <w:szCs w:val="22"/>
        </w:rPr>
        <w:t xml:space="preserve">Que seja estabelecida a obrigatoriedade de divulgação pública da lista de votantes e, posteriormente, a ampla divulgação do mapa regional destes, para o conhecimento do nome dos eleitores. (sugestão compartilhada entre o IAB e a </w:t>
      </w:r>
      <w:r>
        <w:rPr>
          <w:rFonts w:ascii="Times New Roman" w:hAnsi="Times New Roman"/>
          <w:sz w:val="22"/>
          <w:szCs w:val="22"/>
        </w:rPr>
        <w:t>FNA);</w:t>
      </w:r>
    </w:p>
    <w:p w:rsidR="00BE6790" w:rsidRDefault="0070666A">
      <w:pPr>
        <w:spacing w:after="6pt"/>
        <w:ind w:start="36pt"/>
        <w:jc w:val="both"/>
      </w:pPr>
      <w:r>
        <w:rPr>
          <w:rFonts w:ascii="Times New Roman" w:eastAsia="Times New Roman" w:hAnsi="Times New Roman"/>
          <w:b/>
          <w:sz w:val="22"/>
          <w:szCs w:val="22"/>
          <w:lang w:eastAsia="pt-BR"/>
        </w:rPr>
        <w:t xml:space="preserve">Análise 9: </w:t>
      </w:r>
      <w:r>
        <w:rPr>
          <w:rFonts w:ascii="Times New Roman" w:hAnsi="Times New Roman"/>
          <w:color w:val="0000FF"/>
          <w:sz w:val="22"/>
          <w:szCs w:val="22"/>
        </w:rPr>
        <w:t xml:space="preserve">O regramento em vigor prevê a divulgação do colégio eleitoral, relação de votantes e de não votantes. </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A lista do colégio eleitoral é divulgada em sua forma preliminar para divulgação do cálculo do número de conselheiros e em seu formato f</w:t>
      </w:r>
      <w:r>
        <w:rPr>
          <w:rFonts w:ascii="Times New Roman" w:hAnsi="Times New Roman"/>
          <w:color w:val="0000FF"/>
          <w:sz w:val="22"/>
          <w:szCs w:val="22"/>
        </w:rPr>
        <w:t>inal, como colégio eleitoral devidamente homologado, devidamente distribuído por Unidade da Federação.</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As eleições do CAU se dão por colégios eleitorais reunidos por Unidade da Federação e sem qualquer divisão interna, diferentemente das eleições gerais, p</w:t>
      </w:r>
      <w:r>
        <w:rPr>
          <w:rFonts w:ascii="Times New Roman" w:hAnsi="Times New Roman"/>
          <w:color w:val="0000FF"/>
          <w:sz w:val="22"/>
          <w:szCs w:val="22"/>
        </w:rPr>
        <w:t>ara cargos dos Poderes Executivo e Legislativo, que possuem distribuição municipal subdividida por seções eleitorais, o que possibilita a criação de mapas regionais claros com a garantia do sigilo do voto.</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A divulgação de um mapa regional de votação nas el</w:t>
      </w:r>
      <w:r>
        <w:rPr>
          <w:rFonts w:ascii="Times New Roman" w:hAnsi="Times New Roman"/>
          <w:color w:val="0000FF"/>
          <w:sz w:val="22"/>
          <w:szCs w:val="22"/>
        </w:rPr>
        <w:t>eições do CAU é prejudicada pois a votação é secreta via sistema licitado para este fim, pelo qual o CAU não tem qualquer atuação, não sendo possível o cruzamento de dados do eleitor com o registro da opção de voto, em respeito constitucional da garantia d</w:t>
      </w:r>
      <w:r>
        <w:rPr>
          <w:rFonts w:ascii="Times New Roman" w:hAnsi="Times New Roman"/>
          <w:color w:val="0000FF"/>
          <w:sz w:val="22"/>
          <w:szCs w:val="22"/>
        </w:rPr>
        <w:t>o sigilo do voto.</w:t>
      </w:r>
    </w:p>
    <w:p w:rsidR="00BE6790" w:rsidRDefault="00BE6790">
      <w:pPr>
        <w:spacing w:before="10pt" w:after="10pt"/>
        <w:jc w:val="both"/>
        <w:rPr>
          <w:rFonts w:ascii="Times New Roman" w:eastAsia="Times New Roman" w:hAnsi="Times New Roman"/>
          <w:sz w:val="22"/>
          <w:szCs w:val="22"/>
          <w:lang w:eastAsia="pt-BR"/>
        </w:rPr>
      </w:pPr>
    </w:p>
    <w:p w:rsidR="00BE6790" w:rsidRDefault="00BE6790">
      <w:pPr>
        <w:pageBreakBefore/>
        <w:rPr>
          <w:rFonts w:ascii="Times New Roman" w:eastAsia="Times New Roman" w:hAnsi="Times New Roman"/>
          <w:sz w:val="22"/>
          <w:szCs w:val="22"/>
          <w:lang w:eastAsia="pt-BR"/>
        </w:rPr>
      </w:pPr>
    </w:p>
    <w:p w:rsidR="00BE6790" w:rsidRDefault="0070666A">
      <w:pPr>
        <w:tabs>
          <w:tab w:val="start" w:pos="232.55pt"/>
        </w:tabs>
        <w:jc w:val="center"/>
        <w:rPr>
          <w:rFonts w:ascii="Times New Roman" w:eastAsia="Times New Roman" w:hAnsi="Times New Roman"/>
          <w:b/>
          <w:sz w:val="22"/>
          <w:szCs w:val="22"/>
          <w:lang w:eastAsia="pt-BR"/>
        </w:rPr>
      </w:pPr>
      <w:r>
        <w:rPr>
          <w:rFonts w:ascii="Times New Roman" w:eastAsia="Times New Roman" w:hAnsi="Times New Roman"/>
          <w:b/>
          <w:sz w:val="22"/>
          <w:szCs w:val="22"/>
          <w:lang w:eastAsia="pt-BR"/>
        </w:rPr>
        <w:t>ANEXO III</w:t>
      </w:r>
    </w:p>
    <w:p w:rsidR="00BE6790" w:rsidRDefault="00BE6790">
      <w:pPr>
        <w:tabs>
          <w:tab w:val="start" w:pos="232.55pt"/>
        </w:tabs>
        <w:jc w:val="center"/>
        <w:rPr>
          <w:rFonts w:ascii="Times New Roman" w:eastAsia="Times New Roman" w:hAnsi="Times New Roman"/>
          <w:b/>
          <w:sz w:val="22"/>
          <w:szCs w:val="22"/>
          <w:lang w:eastAsia="pt-BR"/>
        </w:rPr>
      </w:pPr>
    </w:p>
    <w:p w:rsidR="00BE6790" w:rsidRDefault="0070666A">
      <w:pPr>
        <w:tabs>
          <w:tab w:val="start" w:pos="232.55pt"/>
        </w:tabs>
        <w:jc w:val="center"/>
      </w:pPr>
      <w:r>
        <w:rPr>
          <w:rStyle w:val="TtulodoLivro"/>
          <w:sz w:val="22"/>
          <w:szCs w:val="22"/>
        </w:rPr>
        <w:t>ANÁLISE DAS CONTRIBUIÇÕES DO INSTITUTO DE ARQUITETOS DO BRASIL – DIREÇÃO NACIONAL (IAB) À REVISÃO DO REGULAMENTO</w:t>
      </w:r>
      <w:r>
        <w:rPr>
          <w:rFonts w:ascii="Times New Roman" w:hAnsi="Times New Roman"/>
          <w:b/>
          <w:sz w:val="22"/>
          <w:szCs w:val="22"/>
        </w:rPr>
        <w:t xml:space="preserve"> ELEITORAL</w:t>
      </w:r>
    </w:p>
    <w:p w:rsidR="00BE6790" w:rsidRDefault="00BE6790">
      <w:pPr>
        <w:spacing w:before="10pt" w:after="10pt"/>
        <w:jc w:val="both"/>
        <w:rPr>
          <w:rFonts w:ascii="Times New Roman" w:eastAsia="Times New Roman" w:hAnsi="Times New Roman"/>
          <w:sz w:val="22"/>
          <w:szCs w:val="22"/>
          <w:lang w:eastAsia="pt-BR"/>
        </w:rPr>
      </w:pPr>
    </w:p>
    <w:p w:rsidR="00BE6790" w:rsidRDefault="0070666A">
      <w:pPr>
        <w:spacing w:after="6pt"/>
        <w:jc w:val="both"/>
      </w:pPr>
      <w:r>
        <w:rPr>
          <w:rFonts w:ascii="Times New Roman" w:eastAsia="Times New Roman" w:hAnsi="Times New Roman"/>
          <w:b/>
          <w:sz w:val="22"/>
          <w:szCs w:val="22"/>
          <w:lang w:eastAsia="pt-BR"/>
        </w:rPr>
        <w:t xml:space="preserve">Contribuição 1: </w:t>
      </w:r>
      <w:r>
        <w:rPr>
          <w:rFonts w:ascii="Times New Roman" w:hAnsi="Times New Roman"/>
          <w:sz w:val="22"/>
          <w:szCs w:val="22"/>
        </w:rPr>
        <w:t xml:space="preserve">Restringir a reeleição a uma única recondução, em todos os cargos (quer seja a </w:t>
      </w:r>
      <w:r>
        <w:rPr>
          <w:rFonts w:ascii="Times New Roman" w:hAnsi="Times New Roman"/>
          <w:sz w:val="22"/>
          <w:szCs w:val="22"/>
        </w:rPr>
        <w:t xml:space="preserve">conselheiro estadual, quer seja a conselheiro federal). Entendemos que a intenção do artigo 36 da Lei Federal nº 12.378/2010, quando determina que é “permitida apenas uma recondução” aos “conselheiros do CAU/BR e dos CAUs”, é no sentido da não perpetuação </w:t>
      </w:r>
      <w:r>
        <w:rPr>
          <w:rFonts w:ascii="Times New Roman" w:hAnsi="Times New Roman"/>
          <w:sz w:val="22"/>
          <w:szCs w:val="22"/>
        </w:rPr>
        <w:t>do conselheiro no CAU, inibindo incontáveis candidaturas alternadas ao Conselho Estadual e ao Conselho Federal, o que resulta na perpetuação da participação dos mesmos conselheiros nos CAUs.</w:t>
      </w:r>
    </w:p>
    <w:p w:rsidR="00BE6790" w:rsidRDefault="0070666A">
      <w:pPr>
        <w:spacing w:after="6pt"/>
        <w:ind w:start="36pt"/>
        <w:jc w:val="both"/>
      </w:pPr>
      <w:r>
        <w:rPr>
          <w:rFonts w:ascii="Times New Roman" w:eastAsia="Times New Roman" w:hAnsi="Times New Roman"/>
          <w:b/>
          <w:sz w:val="22"/>
          <w:szCs w:val="22"/>
          <w:lang w:eastAsia="pt-BR"/>
        </w:rPr>
        <w:t xml:space="preserve">Análise 1: </w:t>
      </w:r>
      <w:r>
        <w:rPr>
          <w:rFonts w:ascii="Times New Roman" w:hAnsi="Times New Roman"/>
          <w:color w:val="0000FF"/>
          <w:sz w:val="22"/>
          <w:szCs w:val="22"/>
        </w:rPr>
        <w:t>As reconduções possuem previsão legal (Lei nº 12.378/2</w:t>
      </w:r>
      <w:r>
        <w:rPr>
          <w:rFonts w:ascii="Times New Roman" w:hAnsi="Times New Roman"/>
          <w:color w:val="0000FF"/>
          <w:sz w:val="22"/>
          <w:szCs w:val="22"/>
        </w:rPr>
        <w:t xml:space="preserve">010) e disposição normativa no âmbito do Regimento Geral do CAU. O Regimento Geral prevê: </w:t>
      </w:r>
    </w:p>
    <w:p w:rsidR="00BE6790" w:rsidRDefault="0070666A">
      <w:pPr>
        <w:spacing w:after="6pt"/>
        <w:ind w:start="71.40pt"/>
        <w:jc w:val="both"/>
        <w:rPr>
          <w:rFonts w:ascii="Times New Roman" w:hAnsi="Times New Roman"/>
          <w:i/>
          <w:color w:val="0000FF"/>
          <w:sz w:val="22"/>
          <w:szCs w:val="22"/>
        </w:rPr>
      </w:pPr>
      <w:r>
        <w:rPr>
          <w:rFonts w:ascii="Times New Roman" w:hAnsi="Times New Roman"/>
          <w:i/>
          <w:color w:val="0000FF"/>
          <w:sz w:val="22"/>
          <w:szCs w:val="22"/>
        </w:rPr>
        <w:t>Art. 19. Os mandatos de conselheiro titular e de suplente de conselheiro terão duração de 3 (três) anos, iniciando-se em 1º de janeiro do primeiro ano, e encerrando-</w:t>
      </w:r>
      <w:r>
        <w:rPr>
          <w:rFonts w:ascii="Times New Roman" w:hAnsi="Times New Roman"/>
          <w:i/>
          <w:color w:val="0000FF"/>
          <w:sz w:val="22"/>
          <w:szCs w:val="22"/>
        </w:rPr>
        <w:t xml:space="preserve">se em 31 de dezembro do terceiro ano do mandato para o qual foram eleitos, sendo permitida apenas uma recondução para o mesmo mandato. </w:t>
      </w:r>
    </w:p>
    <w:p w:rsidR="00BE6790" w:rsidRDefault="0070666A">
      <w:pPr>
        <w:spacing w:after="6pt"/>
        <w:ind w:start="71.40pt"/>
        <w:jc w:val="both"/>
        <w:rPr>
          <w:rFonts w:ascii="Times New Roman" w:hAnsi="Times New Roman"/>
          <w:i/>
          <w:color w:val="0000FF"/>
          <w:sz w:val="22"/>
          <w:szCs w:val="22"/>
        </w:rPr>
      </w:pPr>
      <w:r>
        <w:rPr>
          <w:rFonts w:ascii="Times New Roman" w:hAnsi="Times New Roman"/>
          <w:i/>
          <w:color w:val="0000FF"/>
          <w:sz w:val="22"/>
          <w:szCs w:val="22"/>
        </w:rPr>
        <w:t>(...)</w:t>
      </w:r>
    </w:p>
    <w:p w:rsidR="00BE6790" w:rsidRDefault="0070666A">
      <w:pPr>
        <w:spacing w:after="6pt"/>
        <w:ind w:start="71.40pt"/>
        <w:jc w:val="both"/>
        <w:rPr>
          <w:rFonts w:ascii="Times New Roman" w:hAnsi="Times New Roman"/>
          <w:i/>
          <w:color w:val="0000FF"/>
          <w:sz w:val="22"/>
          <w:szCs w:val="22"/>
        </w:rPr>
      </w:pPr>
      <w:r>
        <w:rPr>
          <w:rFonts w:ascii="Times New Roman" w:hAnsi="Times New Roman"/>
          <w:i/>
          <w:color w:val="0000FF"/>
          <w:sz w:val="22"/>
          <w:szCs w:val="22"/>
        </w:rPr>
        <w:t>Art. 21. É vedado ao arquiteto e urbanista ocupar o cargo de conselheiro de um mesmo conselho, federal, estadual o</w:t>
      </w:r>
      <w:r>
        <w:rPr>
          <w:rFonts w:ascii="Times New Roman" w:hAnsi="Times New Roman"/>
          <w:i/>
          <w:color w:val="0000FF"/>
          <w:sz w:val="22"/>
          <w:szCs w:val="22"/>
        </w:rPr>
        <w:t xml:space="preserve">u distrital, por mais de 2 (dois) mandatos sucessivos, estando ele na condição de conselheiro titular ou de suplente de conselheiro, conforme atos normativos do CAU/BR. </w:t>
      </w:r>
    </w:p>
    <w:p w:rsidR="00BE6790" w:rsidRDefault="0070666A">
      <w:pPr>
        <w:spacing w:after="6pt"/>
        <w:ind w:start="71.40pt"/>
        <w:jc w:val="both"/>
      </w:pPr>
      <w:r>
        <w:rPr>
          <w:rFonts w:ascii="Times New Roman" w:hAnsi="Times New Roman"/>
          <w:i/>
          <w:color w:val="0000FF"/>
          <w:sz w:val="22"/>
          <w:szCs w:val="22"/>
        </w:rPr>
        <w:t xml:space="preserve">Parágrafo único. Será considerado mandato sucessivo aquele no qual o conselheiro, </w:t>
      </w:r>
      <w:r>
        <w:rPr>
          <w:rFonts w:ascii="Times New Roman" w:hAnsi="Times New Roman"/>
          <w:i/>
          <w:color w:val="0000FF"/>
          <w:sz w:val="22"/>
          <w:szCs w:val="22"/>
        </w:rPr>
        <w:t>titular ou suplente de conselheiro, estiver no exercício do mandato no CAU/BR ou em CAU/UF, e tenha sido reconduzido por uma vez ao exercício do mesmo mandato, em CAU/UF ou no CAU/BR.</w:t>
      </w:r>
      <w:r>
        <w:rPr>
          <w:rFonts w:ascii="Times New Roman" w:hAnsi="Times New Roman"/>
          <w:color w:val="0000FF"/>
          <w:sz w:val="22"/>
          <w:szCs w:val="22"/>
        </w:rPr>
        <w:t xml:space="preserve">  </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Por se tratar de disposição abrangida pelo Regimento Geral, a COA-CAU/</w:t>
      </w:r>
      <w:r>
        <w:rPr>
          <w:rFonts w:ascii="Times New Roman" w:hAnsi="Times New Roman"/>
          <w:color w:val="0000FF"/>
          <w:sz w:val="22"/>
          <w:szCs w:val="22"/>
        </w:rPr>
        <w:t xml:space="preserve">BR é a Comissão legitimada a promover a análise e proposta de alteração de suas disposições. </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As propostas do IAB e FNA foram encaminhadas àquela comissão em 03 de outubro de 2018 por meio da Deliberação CEN-CAU/BR nº 018/2018.</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 xml:space="preserve">Ainda assim, tendo em vista </w:t>
      </w:r>
      <w:r>
        <w:rPr>
          <w:rFonts w:ascii="Times New Roman" w:hAnsi="Times New Roman"/>
          <w:color w:val="0000FF"/>
          <w:sz w:val="22"/>
          <w:szCs w:val="22"/>
        </w:rPr>
        <w:t>as proposições recebidas por esta comissão, no intuito da não perpetuação do conselheiro no sistema CAU, está sendo estudada a possibilidade de limitar sucessivos mandatos consecutivos.</w:t>
      </w:r>
    </w:p>
    <w:p w:rsidR="00BE6790" w:rsidRDefault="0070666A">
      <w:pPr>
        <w:spacing w:after="6pt"/>
        <w:jc w:val="both"/>
      </w:pPr>
      <w:r>
        <w:rPr>
          <w:rFonts w:ascii="Times New Roman" w:eastAsia="Times New Roman" w:hAnsi="Times New Roman"/>
          <w:b/>
          <w:sz w:val="22"/>
          <w:szCs w:val="22"/>
          <w:lang w:eastAsia="pt-BR"/>
        </w:rPr>
        <w:t xml:space="preserve">Contribuição 2: </w:t>
      </w:r>
      <w:r>
        <w:rPr>
          <w:rFonts w:ascii="Times New Roman" w:hAnsi="Times New Roman"/>
          <w:sz w:val="22"/>
          <w:szCs w:val="22"/>
        </w:rPr>
        <w:t>Estipular o prazo de adimplência mínimo de um ano para</w:t>
      </w:r>
      <w:r>
        <w:rPr>
          <w:rFonts w:ascii="Times New Roman" w:hAnsi="Times New Roman"/>
          <w:sz w:val="22"/>
          <w:szCs w:val="22"/>
        </w:rPr>
        <w:t xml:space="preserve"> todos os candidatos, visando evitar situações que têm sido relativamente comuns, de candidatos que sempre estiveram inadimplentes e que quitam sua inscrição e seus débitos apenas para concorrer ao cargo.</w:t>
      </w:r>
    </w:p>
    <w:p w:rsidR="00BE6790" w:rsidRDefault="0070666A">
      <w:pPr>
        <w:spacing w:after="6pt"/>
        <w:ind w:start="36pt"/>
        <w:jc w:val="both"/>
      </w:pPr>
      <w:r>
        <w:rPr>
          <w:rFonts w:ascii="Times New Roman" w:eastAsia="Times New Roman" w:hAnsi="Times New Roman"/>
          <w:b/>
          <w:sz w:val="22"/>
          <w:szCs w:val="22"/>
          <w:lang w:eastAsia="pt-BR"/>
        </w:rPr>
        <w:t xml:space="preserve">Análise 2: </w:t>
      </w:r>
      <w:r>
        <w:rPr>
          <w:rFonts w:ascii="Times New Roman" w:hAnsi="Times New Roman"/>
          <w:color w:val="0000FF"/>
          <w:sz w:val="22"/>
          <w:szCs w:val="22"/>
        </w:rPr>
        <w:t xml:space="preserve">Não é plausível restringir o direito de </w:t>
      </w:r>
      <w:r>
        <w:rPr>
          <w:rFonts w:ascii="Times New Roman" w:hAnsi="Times New Roman"/>
          <w:color w:val="0000FF"/>
          <w:sz w:val="22"/>
          <w:szCs w:val="22"/>
        </w:rPr>
        <w:t>regularizar-se para concorrer às eleições do CAU. Isto fere o princípio de isonomia ente as candidaturas ao inibir a garantia da capacidade eleitoral passiva (direito de ser votado).</w:t>
      </w:r>
    </w:p>
    <w:p w:rsidR="00BE6790" w:rsidRDefault="0070666A">
      <w:pPr>
        <w:spacing w:after="6pt"/>
        <w:jc w:val="both"/>
      </w:pPr>
      <w:r>
        <w:rPr>
          <w:rFonts w:ascii="Times New Roman" w:eastAsia="Times New Roman" w:hAnsi="Times New Roman"/>
          <w:b/>
          <w:sz w:val="22"/>
          <w:szCs w:val="22"/>
          <w:lang w:eastAsia="pt-BR"/>
        </w:rPr>
        <w:t xml:space="preserve">Contribuição 3: </w:t>
      </w:r>
      <w:r>
        <w:rPr>
          <w:rFonts w:ascii="Times New Roman" w:hAnsi="Times New Roman"/>
          <w:sz w:val="22"/>
          <w:szCs w:val="22"/>
        </w:rPr>
        <w:t xml:space="preserve">Desincompatibilização do cargo de presidente do CAU/BR e </w:t>
      </w:r>
      <w:r>
        <w:rPr>
          <w:rFonts w:ascii="Times New Roman" w:hAnsi="Times New Roman"/>
          <w:sz w:val="22"/>
          <w:szCs w:val="22"/>
        </w:rPr>
        <w:t>dos CAU/UF, no período eleitoral, no caso de reeleição, de modo a evitar qualquer influência ou privilegio no processo eleitoral.</w:t>
      </w:r>
    </w:p>
    <w:p w:rsidR="00BE6790" w:rsidRDefault="0070666A">
      <w:pPr>
        <w:spacing w:after="6pt"/>
        <w:ind w:start="36pt"/>
        <w:jc w:val="both"/>
      </w:pPr>
      <w:r>
        <w:rPr>
          <w:rFonts w:ascii="Times New Roman" w:eastAsia="Times New Roman" w:hAnsi="Times New Roman"/>
          <w:b/>
          <w:sz w:val="22"/>
          <w:szCs w:val="22"/>
          <w:lang w:eastAsia="pt-BR"/>
        </w:rPr>
        <w:t xml:space="preserve">Análise 3: </w:t>
      </w:r>
      <w:r>
        <w:rPr>
          <w:rFonts w:ascii="Times New Roman" w:hAnsi="Times New Roman"/>
          <w:color w:val="0000FF"/>
          <w:sz w:val="22"/>
          <w:szCs w:val="22"/>
        </w:rPr>
        <w:t xml:space="preserve">A desincompatibilização é instrumento não recomendado, visando garantir a manutenção da condução administrativa do </w:t>
      </w:r>
      <w:r>
        <w:rPr>
          <w:rFonts w:ascii="Times New Roman" w:hAnsi="Times New Roman"/>
          <w:color w:val="0000FF"/>
          <w:sz w:val="22"/>
          <w:szCs w:val="22"/>
        </w:rPr>
        <w:t>conselho, principalmente naqueles que possuem reduzido número de conselheiros. Num cenário hipotético em que todos os conselheiros se candidatem nas eleições a presidência restaria vaga, sendo necessária a criação de artifícios para condução administrativa</w:t>
      </w:r>
      <w:r>
        <w:rPr>
          <w:rFonts w:ascii="Times New Roman" w:hAnsi="Times New Roman"/>
          <w:color w:val="0000FF"/>
          <w:sz w:val="22"/>
          <w:szCs w:val="22"/>
        </w:rPr>
        <w:t xml:space="preserve"> da instituição.</w:t>
      </w:r>
    </w:p>
    <w:p w:rsidR="00BE6790" w:rsidRDefault="0070666A">
      <w:pPr>
        <w:spacing w:after="6pt"/>
        <w:jc w:val="both"/>
      </w:pPr>
      <w:r>
        <w:rPr>
          <w:rFonts w:ascii="Times New Roman" w:eastAsia="Times New Roman" w:hAnsi="Times New Roman"/>
          <w:b/>
          <w:sz w:val="22"/>
          <w:szCs w:val="22"/>
          <w:lang w:eastAsia="pt-BR"/>
        </w:rPr>
        <w:t xml:space="preserve">Contribuição 4: </w:t>
      </w:r>
      <w:r>
        <w:rPr>
          <w:rFonts w:ascii="Times New Roman" w:hAnsi="Times New Roman"/>
          <w:sz w:val="22"/>
          <w:szCs w:val="22"/>
        </w:rPr>
        <w:t>Criar uma quarentena de conselheiros para exercer cargo empregatício no Conselho (CAU/BR ou CAU/UF), bem como quarentena de funcionários para se candidatar ao cargo de conselheiro. Tal procedimento impede a barganha eleitor</w:t>
      </w:r>
      <w:r>
        <w:rPr>
          <w:rFonts w:ascii="Times New Roman" w:hAnsi="Times New Roman"/>
          <w:sz w:val="22"/>
          <w:szCs w:val="22"/>
        </w:rPr>
        <w:t>al, que paga compromissos políticos com a contratação de conselheiros, ou ex conselheiros de gestão anterior. O mesmo serve para funcionários, que se candidatam a conselheiros com conhecimento privilegiado do funcionamento da instituição.</w:t>
      </w:r>
    </w:p>
    <w:p w:rsidR="00BE6790" w:rsidRDefault="0070666A">
      <w:pPr>
        <w:spacing w:after="6pt"/>
        <w:ind w:start="36pt"/>
        <w:jc w:val="both"/>
      </w:pPr>
      <w:r>
        <w:rPr>
          <w:rFonts w:ascii="Times New Roman" w:eastAsia="Times New Roman" w:hAnsi="Times New Roman"/>
          <w:b/>
          <w:sz w:val="22"/>
          <w:szCs w:val="22"/>
          <w:lang w:eastAsia="pt-BR"/>
        </w:rPr>
        <w:t xml:space="preserve">Análise 4: </w:t>
      </w:r>
      <w:r>
        <w:rPr>
          <w:rFonts w:ascii="Times New Roman" w:hAnsi="Times New Roman"/>
          <w:color w:val="0000FF"/>
          <w:sz w:val="22"/>
          <w:szCs w:val="22"/>
        </w:rPr>
        <w:t xml:space="preserve">Pelos </w:t>
      </w:r>
      <w:r>
        <w:rPr>
          <w:rFonts w:ascii="Times New Roman" w:hAnsi="Times New Roman"/>
          <w:color w:val="0000FF"/>
          <w:sz w:val="22"/>
          <w:szCs w:val="22"/>
        </w:rPr>
        <w:t>mesmos motivos apresentados na análise anterior, a desincompatibilização para funcionários do conselho é instrumento não recomendado. Para os funcionários do CAU, há atualmente a obrigatoriedade de licenciamento do cargo ocupado, pelo prazo mínimo de 3 mes</w:t>
      </w:r>
      <w:r>
        <w:rPr>
          <w:rFonts w:ascii="Times New Roman" w:hAnsi="Times New Roman"/>
          <w:color w:val="0000FF"/>
          <w:sz w:val="22"/>
          <w:szCs w:val="22"/>
        </w:rPr>
        <w:t xml:space="preserve">es. </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A nomeação ou designação aos cargos de livre provimento não consiste de matéria eleitoral, não pertencendo escopo da revisão do Regulamento Eleitoral. No entanto, cabe ao gestor administrativo a devida atenção aos princípios éticos na prática destes a</w:t>
      </w:r>
      <w:r>
        <w:rPr>
          <w:rFonts w:ascii="Times New Roman" w:hAnsi="Times New Roman"/>
          <w:color w:val="0000FF"/>
          <w:sz w:val="22"/>
          <w:szCs w:val="22"/>
        </w:rPr>
        <w:t>tos.</w:t>
      </w:r>
    </w:p>
    <w:p w:rsidR="00BE6790" w:rsidRDefault="0070666A">
      <w:pPr>
        <w:spacing w:after="6pt"/>
        <w:jc w:val="both"/>
      </w:pPr>
      <w:r>
        <w:rPr>
          <w:rFonts w:ascii="Times New Roman" w:eastAsia="Times New Roman" w:hAnsi="Times New Roman"/>
          <w:b/>
          <w:sz w:val="22"/>
          <w:szCs w:val="22"/>
          <w:lang w:eastAsia="pt-BR"/>
        </w:rPr>
        <w:t xml:space="preserve">Contribuição 5: </w:t>
      </w:r>
      <w:r>
        <w:rPr>
          <w:rFonts w:ascii="Times New Roman" w:hAnsi="Times New Roman"/>
          <w:sz w:val="22"/>
          <w:szCs w:val="22"/>
        </w:rPr>
        <w:t>Criar cláusula de barreira de 20% dos votantes para eleição de conselheiros por chapa, para impedir a participação de chapas que não tenham atingido pelo menos 1/5 dos votos e que, portanto, possuem baixa representatividade.</w:t>
      </w:r>
    </w:p>
    <w:p w:rsidR="00BE6790" w:rsidRDefault="0070666A">
      <w:pPr>
        <w:spacing w:after="6pt"/>
        <w:ind w:start="36pt"/>
        <w:jc w:val="both"/>
      </w:pPr>
      <w:r>
        <w:rPr>
          <w:rFonts w:ascii="Times New Roman" w:eastAsia="Times New Roman" w:hAnsi="Times New Roman"/>
          <w:b/>
          <w:sz w:val="22"/>
          <w:szCs w:val="22"/>
          <w:lang w:eastAsia="pt-BR"/>
        </w:rPr>
        <w:t>Análise 5:</w:t>
      </w:r>
      <w:r>
        <w:rPr>
          <w:rFonts w:ascii="Times New Roman" w:eastAsia="Times New Roman" w:hAnsi="Times New Roman"/>
          <w:b/>
          <w:sz w:val="22"/>
          <w:szCs w:val="22"/>
          <w:lang w:eastAsia="pt-BR"/>
        </w:rPr>
        <w:t xml:space="preserve"> </w:t>
      </w:r>
      <w:r>
        <w:rPr>
          <w:rFonts w:ascii="Times New Roman" w:hAnsi="Times New Roman"/>
          <w:color w:val="0000FF"/>
          <w:sz w:val="22"/>
          <w:szCs w:val="22"/>
        </w:rPr>
        <w:t>A “cláusula de barreira”, também interpretada como “linha de corte” é instrumento previsto no regramento em vigor, conforme disposição do caput do art. 60 do Regulamento Eleitoral:</w:t>
      </w:r>
    </w:p>
    <w:p w:rsidR="00BE6790" w:rsidRDefault="0070666A">
      <w:pPr>
        <w:spacing w:after="6pt"/>
        <w:ind w:start="71.40pt"/>
        <w:jc w:val="both"/>
        <w:rPr>
          <w:rFonts w:ascii="Times New Roman" w:hAnsi="Times New Roman"/>
          <w:i/>
          <w:color w:val="0000FF"/>
          <w:sz w:val="22"/>
          <w:szCs w:val="22"/>
        </w:rPr>
      </w:pPr>
      <w:r>
        <w:rPr>
          <w:rFonts w:ascii="Times New Roman" w:hAnsi="Times New Roman"/>
          <w:i/>
          <w:color w:val="0000FF"/>
          <w:sz w:val="22"/>
          <w:szCs w:val="22"/>
        </w:rPr>
        <w:t>“Art. 60. Nos CAU/UF será assegurada a representação proporcional das chap</w:t>
      </w:r>
      <w:r>
        <w:rPr>
          <w:rFonts w:ascii="Times New Roman" w:hAnsi="Times New Roman"/>
          <w:i/>
          <w:color w:val="0000FF"/>
          <w:sz w:val="22"/>
          <w:szCs w:val="22"/>
        </w:rPr>
        <w:t>as concorrentes que obtiverem quantidade de votos igual ou superior ao número de votos válidos, em cada Estado ou no Distrito Federal, dividido pelo respectivo número de conselheiros titulares, definido na forma do § 1°, art. 32, da Lei n° 12.378, de 2010.</w:t>
      </w:r>
    </w:p>
    <w:p w:rsidR="00BE6790" w:rsidRDefault="0070666A">
      <w:pPr>
        <w:spacing w:after="6pt"/>
        <w:ind w:start="71.40pt"/>
        <w:jc w:val="both"/>
        <w:rPr>
          <w:rFonts w:ascii="Times New Roman" w:hAnsi="Times New Roman"/>
          <w:i/>
          <w:color w:val="0000FF"/>
          <w:sz w:val="22"/>
          <w:szCs w:val="22"/>
        </w:rPr>
      </w:pPr>
      <w:r>
        <w:rPr>
          <w:rFonts w:ascii="Times New Roman" w:hAnsi="Times New Roman"/>
          <w:i/>
          <w:color w:val="0000FF"/>
          <w:sz w:val="22"/>
          <w:szCs w:val="22"/>
        </w:rPr>
        <w:t>(...)”</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Assim, a chapa que não alcançar o índice previsto neste dispositivo não terá representação no plenário a que concorre. Veja o caso da Chapa 01-AP, nas eleições do CAU/AP em 2017, que não elegeu candidato por este motivo.</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 xml:space="preserve">O anteprojeto de resolução </w:t>
      </w:r>
      <w:r>
        <w:rPr>
          <w:rFonts w:ascii="Times New Roman" w:hAnsi="Times New Roman"/>
          <w:color w:val="0000FF"/>
          <w:sz w:val="22"/>
          <w:szCs w:val="22"/>
        </w:rPr>
        <w:t>posto em consulta pública prevê a dispositivo similar, conforme texto dos arts. 33 e 34.</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Complementarmente, tendo em vista as contribuições recebidas por esta comissão, foi avaliado e será proposto uma linha de corte com índice mínimo preestabelecido.</w:t>
      </w:r>
    </w:p>
    <w:p w:rsidR="00BE6790" w:rsidRDefault="0070666A">
      <w:pPr>
        <w:spacing w:after="6pt"/>
        <w:jc w:val="both"/>
      </w:pPr>
      <w:r>
        <w:rPr>
          <w:rFonts w:ascii="Times New Roman" w:eastAsia="Times New Roman" w:hAnsi="Times New Roman"/>
          <w:b/>
          <w:sz w:val="22"/>
          <w:szCs w:val="22"/>
          <w:lang w:eastAsia="pt-BR"/>
        </w:rPr>
        <w:t>Cont</w:t>
      </w:r>
      <w:r>
        <w:rPr>
          <w:rFonts w:ascii="Times New Roman" w:eastAsia="Times New Roman" w:hAnsi="Times New Roman"/>
          <w:b/>
          <w:sz w:val="22"/>
          <w:szCs w:val="22"/>
          <w:lang w:eastAsia="pt-BR"/>
        </w:rPr>
        <w:t xml:space="preserve">ribuição 6: </w:t>
      </w:r>
      <w:r>
        <w:rPr>
          <w:rFonts w:ascii="Times New Roman" w:hAnsi="Times New Roman"/>
          <w:sz w:val="22"/>
          <w:szCs w:val="22"/>
        </w:rPr>
        <w:t>Criar a possibilidade de votação autônoma para os Conselheiros Federais em relação aos Conselheiros Estaduais. As eleições para os Conselheiros Federais e Estaduais podem continuar ocorrendo de forma simultânea, porém a proposta é de eliminar a</w:t>
      </w:r>
      <w:r>
        <w:rPr>
          <w:rFonts w:ascii="Times New Roman" w:hAnsi="Times New Roman"/>
          <w:sz w:val="22"/>
          <w:szCs w:val="22"/>
        </w:rPr>
        <w:t xml:space="preserve"> obrigatoriedade de vinculação de cada um dos candidatos ao cargo de Conselheiro Federal a uma das chapas que concorrem para o Conselho Estadual.</w:t>
      </w:r>
    </w:p>
    <w:p w:rsidR="00BE6790" w:rsidRDefault="0070666A">
      <w:pPr>
        <w:spacing w:after="6pt"/>
        <w:ind w:start="36pt"/>
        <w:jc w:val="both"/>
      </w:pPr>
      <w:r>
        <w:rPr>
          <w:rFonts w:ascii="Times New Roman" w:eastAsia="Times New Roman" w:hAnsi="Times New Roman"/>
          <w:b/>
          <w:sz w:val="22"/>
          <w:szCs w:val="22"/>
          <w:lang w:eastAsia="pt-BR"/>
        </w:rPr>
        <w:t xml:space="preserve">Análise 6: </w:t>
      </w:r>
      <w:r>
        <w:rPr>
          <w:rFonts w:ascii="Times New Roman" w:hAnsi="Times New Roman"/>
          <w:color w:val="0000FF"/>
          <w:sz w:val="22"/>
          <w:szCs w:val="22"/>
        </w:rPr>
        <w:t>O modelo atualmente proposto visa manter o vínculo de proposições entre a chapa com maioria dos vot</w:t>
      </w:r>
      <w:r>
        <w:rPr>
          <w:rFonts w:ascii="Times New Roman" w:hAnsi="Times New Roman"/>
          <w:color w:val="0000FF"/>
          <w:sz w:val="22"/>
          <w:szCs w:val="22"/>
        </w:rPr>
        <w:t>os e o conselheiro do CAU/BR, além de inibir a concorrência acirrada ao cargo de conselheiro do CAU/BR. É vislumbrado que as ações do conselheiro do CAU/BR sejam consoantes aos interesses do CAU/UF, caso que seria inibido com as candidaturas avulsas.</w:t>
      </w:r>
    </w:p>
    <w:p w:rsidR="00BE6790" w:rsidRDefault="0070666A">
      <w:pPr>
        <w:spacing w:after="6pt"/>
        <w:jc w:val="both"/>
      </w:pPr>
      <w:r>
        <w:rPr>
          <w:rFonts w:ascii="Times New Roman" w:eastAsia="Times New Roman" w:hAnsi="Times New Roman"/>
          <w:b/>
          <w:sz w:val="22"/>
          <w:szCs w:val="22"/>
          <w:lang w:eastAsia="pt-BR"/>
        </w:rPr>
        <w:t>Contr</w:t>
      </w:r>
      <w:r>
        <w:rPr>
          <w:rFonts w:ascii="Times New Roman" w:eastAsia="Times New Roman" w:hAnsi="Times New Roman"/>
          <w:b/>
          <w:sz w:val="22"/>
          <w:szCs w:val="22"/>
          <w:lang w:eastAsia="pt-BR"/>
        </w:rPr>
        <w:t xml:space="preserve">ibuição 7: </w:t>
      </w:r>
      <w:r>
        <w:rPr>
          <w:rFonts w:ascii="Times New Roman" w:hAnsi="Times New Roman"/>
          <w:sz w:val="22"/>
          <w:szCs w:val="22"/>
        </w:rPr>
        <w:t>Estabelecer a obrigatoriedade de divulgação da lista de votantes publicamente e posteriormente, bem como de divulgação pública do mapa regional de votação, para possibilitar amplo conhecimento do nome de todos os votantes.</w:t>
      </w:r>
    </w:p>
    <w:p w:rsidR="00BE6790" w:rsidRDefault="0070666A">
      <w:pPr>
        <w:spacing w:after="6pt"/>
        <w:ind w:start="36pt"/>
        <w:jc w:val="both"/>
      </w:pPr>
      <w:r>
        <w:rPr>
          <w:rFonts w:ascii="Times New Roman" w:eastAsia="Times New Roman" w:hAnsi="Times New Roman"/>
          <w:b/>
          <w:sz w:val="22"/>
          <w:szCs w:val="22"/>
          <w:lang w:eastAsia="pt-BR"/>
        </w:rPr>
        <w:t xml:space="preserve">Análise 7: </w:t>
      </w:r>
      <w:r>
        <w:rPr>
          <w:rFonts w:ascii="Times New Roman" w:hAnsi="Times New Roman"/>
          <w:color w:val="0000FF"/>
          <w:sz w:val="22"/>
          <w:szCs w:val="22"/>
        </w:rPr>
        <w:t xml:space="preserve">O </w:t>
      </w:r>
      <w:r>
        <w:rPr>
          <w:rFonts w:ascii="Times New Roman" w:hAnsi="Times New Roman"/>
          <w:color w:val="0000FF"/>
          <w:sz w:val="22"/>
          <w:szCs w:val="22"/>
        </w:rPr>
        <w:t xml:space="preserve">regramento em vigor prevê a divulgação do colégio eleitoral, relação de votantes e não votantes. </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A lista do colégio eleitoral é divulgada em sua forma preliminar para divulgação do cálculo do número de conselheiros e em seu formato final, como colégio ele</w:t>
      </w:r>
      <w:r>
        <w:rPr>
          <w:rFonts w:ascii="Times New Roman" w:hAnsi="Times New Roman"/>
          <w:color w:val="0000FF"/>
          <w:sz w:val="22"/>
          <w:szCs w:val="22"/>
        </w:rPr>
        <w:t>itoral devidamente homologado, devidamente distribuído por Unidade da Federação.</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As eleições do CAU se dão por colégios eleitorais reunidos por Unidade da Federação e sem qualquer divisão interna, diferentemente das eleições para cargos do executivo e legi</w:t>
      </w:r>
      <w:r>
        <w:rPr>
          <w:rFonts w:ascii="Times New Roman" w:hAnsi="Times New Roman"/>
          <w:color w:val="0000FF"/>
          <w:sz w:val="22"/>
          <w:szCs w:val="22"/>
        </w:rPr>
        <w:t>slativo, que possuem distribuição municipal subdividida por seções eleitorais, o que possibilita a criação de mapas regionais claros com a garantia do sigilo do voto.</w:t>
      </w:r>
    </w:p>
    <w:p w:rsidR="00BE6790" w:rsidRDefault="0070666A">
      <w:pPr>
        <w:spacing w:after="6pt"/>
        <w:ind w:start="36pt"/>
        <w:jc w:val="both"/>
        <w:rPr>
          <w:rFonts w:ascii="Times New Roman" w:hAnsi="Times New Roman"/>
          <w:color w:val="0000FF"/>
          <w:sz w:val="22"/>
          <w:szCs w:val="22"/>
        </w:rPr>
      </w:pPr>
      <w:r>
        <w:rPr>
          <w:rFonts w:ascii="Times New Roman" w:hAnsi="Times New Roman"/>
          <w:color w:val="0000FF"/>
          <w:sz w:val="22"/>
          <w:szCs w:val="22"/>
        </w:rPr>
        <w:t>A divulgação de um mapa regional de votação nas eleições do CAU é prejudicada pois a vota</w:t>
      </w:r>
      <w:r>
        <w:rPr>
          <w:rFonts w:ascii="Times New Roman" w:hAnsi="Times New Roman"/>
          <w:color w:val="0000FF"/>
          <w:sz w:val="22"/>
          <w:szCs w:val="22"/>
        </w:rPr>
        <w:t>ção é secreta via sistema licitado para este fim, pelo qual o CAU não tem qualquer atuação, não sendo possível o cruzamento de dados do eleitor com o registro da opção de voto, em respeito constitucional da garantia do sigilo do voto.</w:t>
      </w:r>
    </w:p>
    <w:p w:rsidR="00BE6790" w:rsidRDefault="00BE6790">
      <w:pPr>
        <w:spacing w:before="10pt" w:after="10pt"/>
        <w:jc w:val="both"/>
        <w:rPr>
          <w:rFonts w:ascii="Times New Roman" w:eastAsia="Times New Roman" w:hAnsi="Times New Roman"/>
          <w:sz w:val="22"/>
          <w:szCs w:val="22"/>
          <w:lang w:eastAsia="pt-BR"/>
        </w:rPr>
      </w:pPr>
    </w:p>
    <w:p w:rsidR="00BE6790" w:rsidRDefault="00BE6790">
      <w:pPr>
        <w:spacing w:before="10pt" w:after="10pt"/>
        <w:jc w:val="both"/>
        <w:rPr>
          <w:rFonts w:ascii="Times New Roman" w:eastAsia="Times New Roman" w:hAnsi="Times New Roman"/>
          <w:sz w:val="22"/>
          <w:szCs w:val="22"/>
          <w:lang w:eastAsia="pt-BR"/>
        </w:rPr>
      </w:pPr>
    </w:p>
    <w:sectPr w:rsidR="00BE6790">
      <w:headerReference w:type="default" r:id="rId7"/>
      <w:footerReference w:type="default" r:id="rId8"/>
      <w:pgSz w:w="595pt" w:h="842pt"/>
      <w:pgMar w:top="99.25pt" w:right="56.40pt" w:bottom="77.95pt" w:left="77.95pt" w:header="66.35pt" w:footer="29.2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00000" w:rsidRDefault="0070666A">
      <w:r>
        <w:separator/>
      </w:r>
    </w:p>
  </w:endnote>
  <w:endnote w:type="continuationSeparator" w:id="0">
    <w:p w:rsidR="00000000" w:rsidRDefault="0070666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mbria">
    <w:panose1 w:val="02040503050406030204"/>
    <w:charset w:characterSet="iso-8859-1"/>
    <w:family w:val="roman"/>
    <w:pitch w:val="variable"/>
    <w:sig w:usb0="E00002FF" w:usb1="400004FF" w:usb2="00000000"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Times">
    <w:panose1 w:val="02020603050405020304"/>
    <w:charset w:characterSet="iso-8859-1"/>
    <w:family w:val="roman"/>
    <w:pitch w:val="variable"/>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81441" w:rsidRDefault="0070666A">
    <w:pPr>
      <w:pStyle w:val="Rodap"/>
      <w:ind w:end="18pt"/>
      <w:jc w:val="center"/>
    </w:pPr>
    <w:r>
      <w:rPr>
        <w:noProof/>
        <w:lang w:eastAsia="pt-BR"/>
      </w:rPr>
      <w:drawing>
        <wp:anchor distT="0" distB="0" distL="114300" distR="114300" simplePos="0" relativeHeight="251661312" behindDoc="0" locked="0" layoutInCell="1" allowOverlap="1">
          <wp:simplePos x="0" y="0"/>
          <wp:positionH relativeFrom="page">
            <wp:posOffset>6553779</wp:posOffset>
          </wp:positionH>
          <wp:positionV relativeFrom="paragraph">
            <wp:posOffset>-196778</wp:posOffset>
          </wp:positionV>
          <wp:extent cx="676838" cy="229788"/>
          <wp:effectExtent l="0" t="0" r="0" b="0"/>
          <wp:wrapSquare wrapText="bothSides"/>
          <wp:docPr id="2" name="Caixa de texto 2"/>
          <wp:cNvGraphicFramePr/>
          <a:graphic xmlns:a="http://purl.oclc.org/ooxml/drawingml/main">
            <a:graphicData uri="http://schemas.microsoft.com/office/word/2010/wordprocessingShape">
              <wp:wsp>
                <wp:cNvSpPr txBox="1"/>
                <wp:spPr>
                  <a:xfrm>
                    <a:off x="0" y="0"/>
                    <a:ext cx="676838" cy="229788"/>
                  </a:xfrm>
                  <a:prstGeom prst="rect">
                    <a:avLst/>
                  </a:prstGeom>
                  <a:ln>
                    <a:noFill/>
                    <a:prstDash/>
                  </a:ln>
                </wp:spPr>
                <wp:txbx>
                  <wne:txbxContent>
                    <w:p w:rsidR="00F81441" w:rsidRDefault="0070666A">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2</w:t>
                      </w:r>
                      <w:r>
                        <w:rPr>
                          <w:rStyle w:val="Nmerodepgina"/>
                          <w:rFonts w:ascii="Arial" w:hAnsi="Arial"/>
                          <w:color w:val="296D7A"/>
                          <w:sz w:val="18"/>
                        </w:rPr>
                        <w:fldChar w:fldCharType="end"/>
                      </w:r>
                    </w:p>
                  </wne:txbxContent>
                </wp:txbx>
                <wp:bodyPr lIns="0" tIns="0" rIns="0" bIns="0"/>
              </wp:wsp>
            </a:graphicData>
          </a:graphic>
        </wp:anchor>
      </w:drawing>
    </w:r>
    <w:r>
      <w:rPr>
        <w:rFonts w:ascii="Times New Roman" w:hAnsi="Times New Roman"/>
        <w:color w:val="296D7A"/>
        <w:sz w:val="20"/>
      </w:rPr>
      <w:t>DELIBERAÇÃO Nº 007/2019 – CEN-CAU/BR</w:t>
    </w:r>
    <w:r>
      <w:rPr>
        <w:rFonts w:ascii="Times New Roman" w:hAnsi="Times New Roman"/>
        <w:noProof/>
        <w:color w:val="296D7A"/>
        <w:sz w:val="20"/>
        <w:lang w:eastAsia="pt-BR"/>
      </w:rPr>
      <w:drawing>
        <wp:anchor distT="0" distB="0" distL="114300" distR="114300" simplePos="0" relativeHeight="251662336" behindDoc="1" locked="0" layoutInCell="1" allowOverlap="1">
          <wp:simplePos x="0" y="0"/>
          <wp:positionH relativeFrom="column">
            <wp:posOffset>-1010283</wp:posOffset>
          </wp:positionH>
          <wp:positionV relativeFrom="paragraph">
            <wp:posOffset>-517522</wp:posOffset>
          </wp:positionV>
          <wp:extent cx="7578720" cy="1078233"/>
          <wp:effectExtent l="0" t="0" r="3180" b="7617"/>
          <wp:wrapNone/>
          <wp:docPr id="3" name="Imagem 46" descr="CAU-BR-timbrado2015--rodape"/>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78720" cy="1078233"/>
                  </a:xfrm>
                  <a:prstGeom prst="rect">
                    <a:avLst/>
                  </a:prstGeom>
                  <a:noFill/>
                  <a:ln>
                    <a:noFill/>
                    <a:prstDash/>
                  </a:ln>
                </pic:spPr>
              </pic:pic>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00000" w:rsidRDefault="0070666A">
      <w:r>
        <w:rPr>
          <w:color w:val="000000"/>
        </w:rPr>
        <w:separator/>
      </w:r>
    </w:p>
  </w:footnote>
  <w:footnote w:type="continuationSeparator" w:id="0">
    <w:p w:rsidR="00000000" w:rsidRDefault="0070666A">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F81441" w:rsidRDefault="0070666A">
    <w:pPr>
      <w:pStyle w:val="Cabealho"/>
      <w:tabs>
        <w:tab w:val="clear" w:pos="216pt"/>
        <w:tab w:val="start" w:pos="144pt"/>
        <w:tab w:val="start" w:pos="306pt"/>
      </w:tabs>
      <w:ind w:start="29.35pt"/>
    </w:pPr>
    <w:r>
      <w:rPr>
        <w:rFonts w:ascii="Arial" w:hAnsi="Arial"/>
        <w:noProof/>
        <w:color w:val="296D7A"/>
        <w:sz w:val="22"/>
        <w:lang w:eastAsia="pt-BR"/>
      </w:rPr>
      <w:drawing>
        <wp:anchor distT="0" distB="0" distL="114300" distR="114300" simplePos="0" relativeHeight="251659264" behindDoc="1" locked="0" layoutInCell="1" allowOverlap="1">
          <wp:simplePos x="0" y="0"/>
          <wp:positionH relativeFrom="column">
            <wp:posOffset>-995681</wp:posOffset>
          </wp:positionH>
          <wp:positionV relativeFrom="paragraph">
            <wp:posOffset>-839474</wp:posOffset>
          </wp:positionV>
          <wp:extent cx="7559043" cy="1078233"/>
          <wp:effectExtent l="0" t="0" r="3807" b="7617"/>
          <wp:wrapNone/>
          <wp:docPr id="1" name="Imagem 48" descr="CAU-BR-timbrado2015-edit-23"/>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59043" cy="1078233"/>
                  </a:xfrm>
                  <a:prstGeom prst="rect">
                    <a:avLst/>
                  </a:prstGeom>
                  <a:noFill/>
                  <a:ln>
                    <a:noFill/>
                    <a:prstDash/>
                  </a:ln>
                </pic:spPr>
              </pic:pic>
            </a:graphicData>
          </a:graphic>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1D7E2D66"/>
    <w:multiLevelType w:val="multilevel"/>
    <w:tmpl w:val="C150AC96"/>
    <w:lvl w:ilvl="0">
      <w:start w:val="1"/>
      <w:numFmt w:val="decimal"/>
      <w:lvlText w:val="%1 - "/>
      <w:lvlJc w:val="start"/>
      <w:pPr>
        <w:ind w:start="18pt" w:hanging="18pt"/>
      </w:pPr>
    </w:lvl>
    <w:lvl w:ilvl="1">
      <w:start w:val="1"/>
      <w:numFmt w:val="lowerLetter"/>
      <w:lvlText w:val="%2."/>
      <w:lvlJc w:val="start"/>
      <w:pPr>
        <w:ind w:start="54pt" w:hanging="18pt"/>
      </w:pPr>
    </w:lvl>
    <w:lvl w:ilvl="2">
      <w:start w:val="1"/>
      <w:numFmt w:val="lowerRoman"/>
      <w:lvlText w:val="%3."/>
      <w:lvlJc w:val="end"/>
      <w:pPr>
        <w:ind w:start="90pt" w:hanging="9pt"/>
      </w:pPr>
    </w:lvl>
    <w:lvl w:ilvl="3">
      <w:start w:val="1"/>
      <w:numFmt w:val="decimal"/>
      <w:lvlText w:val="%4."/>
      <w:lvlJc w:val="start"/>
      <w:pPr>
        <w:ind w:start="126pt" w:hanging="18pt"/>
      </w:pPr>
    </w:lvl>
    <w:lvl w:ilvl="4">
      <w:start w:val="1"/>
      <w:numFmt w:val="lowerLetter"/>
      <w:lvlText w:val="%5."/>
      <w:lvlJc w:val="start"/>
      <w:pPr>
        <w:ind w:start="162pt" w:hanging="18pt"/>
      </w:pPr>
    </w:lvl>
    <w:lvl w:ilvl="5">
      <w:start w:val="1"/>
      <w:numFmt w:val="lowerRoman"/>
      <w:lvlText w:val="%6."/>
      <w:lvlJc w:val="end"/>
      <w:pPr>
        <w:ind w:start="198pt" w:hanging="9pt"/>
      </w:pPr>
    </w:lvl>
    <w:lvl w:ilvl="6">
      <w:start w:val="1"/>
      <w:numFmt w:val="decimal"/>
      <w:lvlText w:val="%7."/>
      <w:lvlJc w:val="start"/>
      <w:pPr>
        <w:ind w:start="234pt" w:hanging="18pt"/>
      </w:pPr>
    </w:lvl>
    <w:lvl w:ilvl="7">
      <w:start w:val="1"/>
      <w:numFmt w:val="lowerLetter"/>
      <w:lvlText w:val="%8."/>
      <w:lvlJc w:val="start"/>
      <w:pPr>
        <w:ind w:start="270pt" w:hanging="18pt"/>
      </w:pPr>
    </w:lvl>
    <w:lvl w:ilvl="8">
      <w:start w:val="1"/>
      <w:numFmt w:val="lowerRoman"/>
      <w:lvlText w:val="%9."/>
      <w:lvlJc w:val="end"/>
      <w:pPr>
        <w:ind w:start="306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BE6790"/>
    <w:rsid w:val="0070666A"/>
    <w:rsid w:val="00BE67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FB5C4A7D-A6EF-4F1A-92F4-35AD706D1A2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pPr>
      <w:tabs>
        <w:tab w:val="center" w:pos="216pt"/>
        <w:tab w:val="end" w:pos="432pt"/>
      </w:tabs>
    </w:pPr>
  </w:style>
  <w:style w:type="character" w:customStyle="1" w:styleId="CabealhoChar">
    <w:name w:val="Cabeçalho Char"/>
    <w:basedOn w:val="Fontepargpadro"/>
  </w:style>
  <w:style w:type="paragraph" w:styleId="Rodap">
    <w:name w:val="footer"/>
    <w:basedOn w:val="Normal"/>
    <w:pPr>
      <w:tabs>
        <w:tab w:val="center" w:pos="216pt"/>
        <w:tab w:val="end" w:pos="432pt"/>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Calibri" w:hAnsi="Calibri" w:cs="Calibri"/>
      <w:color w:val="000000"/>
      <w:sz w:val="24"/>
      <w:szCs w:val="24"/>
    </w:rPr>
  </w:style>
  <w:style w:type="paragraph" w:styleId="PargrafodaLista">
    <w:name w:val="List Paragraph"/>
    <w:basedOn w:val="Normal"/>
    <w:pPr>
      <w:ind w:start="35.40pt"/>
    </w:pPr>
  </w:style>
  <w:style w:type="character" w:styleId="TextodoEspaoReservado">
    <w:name w:val="Placeholder Text"/>
    <w:basedOn w:val="Fontepargpadro"/>
    <w:rPr>
      <w:color w:val="808080"/>
    </w:rPr>
  </w:style>
  <w:style w:type="character" w:styleId="TtulodoLivro">
    <w:name w:val="Book Title"/>
    <w:rPr>
      <w:rFonts w:ascii="Times New Roman" w:hAnsi="Times New Roman" w:cs="Times New Roman"/>
      <w:b/>
      <w:sz w:val="24"/>
      <w:szCs w:val="3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9</Pages>
  <Words>3379</Words>
  <Characters>18248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DELIBERAÇÃO Nº 007/2019 – CEN-CAU/BR</vt:lpstr>
    </vt:vector>
  </TitlesOfParts>
  <Company>Hewlett-Packard Company</Company>
  <LinksUpToDate>false</LinksUpToDate>
  <CharactersWithSpaces>21584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Nº 007/2019 – CEN-CAU/BR</dc:title>
  <dc:subject/>
  <dc:creator>comunica</dc:creator>
  <cp:lastModifiedBy>Viviane Nota Machado</cp:lastModifiedBy>
  <cp:revision>2</cp:revision>
  <cp:lastPrinted>2015-03-04T21:55:00Z</cp:lastPrinted>
  <dcterms:created xsi:type="dcterms:W3CDTF">2019-04-26T14:24:00Z</dcterms:created>
  <dcterms:modified xsi:type="dcterms:W3CDTF">2019-04-26T14:24:00Z</dcterms:modified>
</cp:coreProperties>
</file>